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B146E" w14:textId="77777777" w:rsidR="003953D6" w:rsidRPr="00346CBB" w:rsidRDefault="003953D6" w:rsidP="00CF6BC5">
      <w:pPr>
        <w:pStyle w:val="PublTittel"/>
        <w:suppressAutoHyphens/>
      </w:pPr>
      <w:r w:rsidRPr="00346CBB">
        <w:t>Notat fra Teknisk beregningsutvalg for spesialisthelsetjenestens økonomi</w:t>
      </w:r>
    </w:p>
    <w:p w14:paraId="641B838B" w14:textId="77777777" w:rsidR="003953D6" w:rsidRDefault="003953D6" w:rsidP="00346CBB">
      <w:pPr>
        <w:pStyle w:val="Undertittel"/>
      </w:pPr>
      <w:r w:rsidRPr="00346CBB">
        <w:t>TBU-Spesialisthelsetjenesten – 23. juni 2025</w:t>
      </w:r>
    </w:p>
    <w:p w14:paraId="780ECA75" w14:textId="4FAFCAEA" w:rsidR="00BE7760" w:rsidRPr="00BE7760" w:rsidRDefault="00BE7760" w:rsidP="00BE7760">
      <w:r>
        <w:rPr>
          <w:noProof/>
        </w:rPr>
        <w:drawing>
          <wp:inline distT="0" distB="0" distL="0" distR="0" wp14:anchorId="685D9A28" wp14:editId="3CCA90E2">
            <wp:extent cx="4166743" cy="5891841"/>
            <wp:effectExtent l="19050" t="19050" r="24765" b="13970"/>
            <wp:docPr id="2002511970" name="Bilde 12" descr="Bilde av forsi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511970" name="Bilde 12" descr="Bilde av forsid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72735" cy="5900313"/>
                    </a:xfrm>
                    <a:prstGeom prst="rect">
                      <a:avLst/>
                    </a:prstGeom>
                    <a:noFill/>
                    <a:ln>
                      <a:solidFill>
                        <a:schemeClr val="bg1">
                          <a:lumMod val="85000"/>
                        </a:schemeClr>
                      </a:solidFill>
                    </a:ln>
                  </pic:spPr>
                </pic:pic>
              </a:graphicData>
            </a:graphic>
          </wp:inline>
        </w:drawing>
      </w:r>
    </w:p>
    <w:p w14:paraId="0E92658F" w14:textId="77777777" w:rsidR="003953D6" w:rsidRPr="00346CBB" w:rsidRDefault="003953D6" w:rsidP="00346CBB">
      <w:pPr>
        <w:pStyle w:val="Overskrift1"/>
      </w:pPr>
      <w:r w:rsidRPr="00346CBB">
        <w:lastRenderedPageBreak/>
        <w:t>Om utvalget, utvalgets mandat og sammensetning</w:t>
      </w:r>
    </w:p>
    <w:p w14:paraId="214ECE4E" w14:textId="77777777" w:rsidR="003953D6" w:rsidRPr="00346CBB" w:rsidRDefault="003953D6" w:rsidP="00346CBB">
      <w:pPr>
        <w:pStyle w:val="Overskrift2"/>
      </w:pPr>
      <w:r w:rsidRPr="00346CBB">
        <w:t>Innledning</w:t>
      </w:r>
    </w:p>
    <w:p w14:paraId="674D5861" w14:textId="7185E627" w:rsidR="003953D6" w:rsidRPr="00346CBB" w:rsidRDefault="003953D6" w:rsidP="00346CBB">
      <w:r w:rsidRPr="00346CBB">
        <w:t>Teknisk beregningsutvalg for spesialisthelsetjenestens økonomi (TBU-spesialisthelsetjenesten) ble opprettet i juni 2024. Utvalget ble oppnevnt i statsråd og blir nedsatt for tre år om gangen.</w:t>
      </w:r>
    </w:p>
    <w:p w14:paraId="1D447D79" w14:textId="77777777" w:rsidR="003953D6" w:rsidRPr="00346CBB" w:rsidRDefault="003953D6" w:rsidP="00346CBB">
      <w:r w:rsidRPr="00346CBB">
        <w:t>Ifølge mandatet skal utvalget gi en faglig vurdering av data som gjelder økonomien i spesialisthelsetjenesten. Utvalget skal skape en felles forståelse for den økonomiske situasjonen i spesialisthelsetjenesten. Utvalget er bedt om særlig å vurdere utviklingen i sykehusøkonomien, herunder realveksten i bevilgningene, og merkostnader som den demografiske utviklingen anslås å gi sektoren. Utvalgets mandat, sammensetning og sekretariat følger nedenfor.</w:t>
      </w:r>
    </w:p>
    <w:p w14:paraId="678E4493" w14:textId="77777777" w:rsidR="003953D6" w:rsidRPr="00346CBB" w:rsidRDefault="003953D6" w:rsidP="00346CBB">
      <w:r w:rsidRPr="00346CBB">
        <w:t xml:space="preserve">Det framgår av mandatet at utvalget skal levere årlige rapporter til Helse- og omsorgsdepartementet i november. Utvalgets første rapport fra desember 2024 beskrev utviklingen i sykehusøkonomien etter 2013 med særlig vekt på 2023 og 2024. I tråd med mandatet skal utvalget i tillegg </w:t>
      </w:r>
      <w:proofErr w:type="gramStart"/>
      <w:r w:rsidRPr="00346CBB">
        <w:t>avgi</w:t>
      </w:r>
      <w:proofErr w:type="gramEnd"/>
      <w:r w:rsidRPr="00346CBB">
        <w:t xml:space="preserve"> årlige notater i løpet av første halvår med oppdaterte demografianslag og andre forhold av betydning, basert på oppdatert informasjon.</w:t>
      </w:r>
    </w:p>
    <w:p w14:paraId="57E9AF64" w14:textId="77777777" w:rsidR="003953D6" w:rsidRPr="00346CBB" w:rsidRDefault="003953D6" w:rsidP="00346CBB">
      <w:r w:rsidRPr="00346CBB">
        <w:t>Utvalget legger med dette fram sitt første årlige notat med en oppdatert beskrivelse og vurdering av data om utviklingen i sykehusøkonomien etter 2015 med særlig vekt på 2024 og 2025, samt oppdaterte demografianslag for 2025 og 2026. Sammenlignet med utvalgets rapport fra desember 2024 er tallgrunnlaget oppdatert med følgende endringer:</w:t>
      </w:r>
    </w:p>
    <w:p w14:paraId="3AFA7010" w14:textId="77777777" w:rsidR="003953D6" w:rsidRPr="00346CBB" w:rsidRDefault="003953D6" w:rsidP="00346CBB">
      <w:pPr>
        <w:pStyle w:val="Liste"/>
      </w:pPr>
      <w:r w:rsidRPr="00346CBB">
        <w:t>Finansdepartementet har oppdatert</w:t>
      </w:r>
      <w:r w:rsidRPr="00346CBB">
        <w:rPr>
          <w:rStyle w:val="kursiv"/>
        </w:rPr>
        <w:t xml:space="preserve"> </w:t>
      </w:r>
      <w:proofErr w:type="spellStart"/>
      <w:r w:rsidRPr="00346CBB">
        <w:rPr>
          <w:rStyle w:val="kursiv"/>
        </w:rPr>
        <w:t>deflatoren</w:t>
      </w:r>
      <w:proofErr w:type="spellEnd"/>
      <w:r w:rsidRPr="00346CBB">
        <w:t xml:space="preserve"> som benyttes for å justere nominelle endringer for lønns- og prisvekst. Oppdateringen er gjort i tråd med de anbefalinger utvalget ga i sin rapport i desember 2024. I tillegg er </w:t>
      </w:r>
      <w:proofErr w:type="spellStart"/>
      <w:r w:rsidRPr="00346CBB">
        <w:t>deflatoren</w:t>
      </w:r>
      <w:proofErr w:type="spellEnd"/>
      <w:r w:rsidRPr="00346CBB">
        <w:t xml:space="preserve"> for 2024 og 2025 oppdatert med nye lønns- og prisvekstanslag i forbindelse med revidert nasjonalbudsjett 2025.</w:t>
      </w:r>
    </w:p>
    <w:p w14:paraId="34A9DC65" w14:textId="77777777" w:rsidR="003953D6" w:rsidRPr="00346CBB" w:rsidRDefault="003953D6" w:rsidP="00346CBB">
      <w:pPr>
        <w:pStyle w:val="Liste"/>
      </w:pPr>
      <w:r w:rsidRPr="00346CBB">
        <w:t xml:space="preserve">Helsedirektoratets anslag over endringer i behov for tjenester som følge av </w:t>
      </w:r>
      <w:r w:rsidRPr="00346CBB">
        <w:rPr>
          <w:rStyle w:val="kursiv"/>
        </w:rPr>
        <w:t xml:space="preserve">demografiske endringer </w:t>
      </w:r>
      <w:r w:rsidRPr="00346CBB">
        <w:t>er erstattet med endringer i faktisk demografidrevet behov.</w:t>
      </w:r>
    </w:p>
    <w:p w14:paraId="7378EC93" w14:textId="77777777" w:rsidR="003953D6" w:rsidRPr="00346CBB" w:rsidRDefault="003953D6" w:rsidP="00346CBB">
      <w:pPr>
        <w:pStyle w:val="Liste"/>
      </w:pPr>
      <w:r w:rsidRPr="00346CBB">
        <w:lastRenderedPageBreak/>
        <w:t xml:space="preserve">Utvalget legger i sine beregninger til grunn at </w:t>
      </w:r>
      <w:r w:rsidRPr="00346CBB">
        <w:rPr>
          <w:rStyle w:val="kursiv"/>
        </w:rPr>
        <w:t>marginalkostnaden</w:t>
      </w:r>
      <w:r w:rsidRPr="00346CBB">
        <w:t xml:space="preserve"> i spesialisthelsetjenesten i denne perioden har vært 92,5 prosent.</w:t>
      </w:r>
    </w:p>
    <w:p w14:paraId="0118B419" w14:textId="77777777" w:rsidR="003953D6" w:rsidRPr="00346CBB" w:rsidRDefault="003953D6" w:rsidP="00346CBB">
      <w:r w:rsidRPr="00346CBB">
        <w:t xml:space="preserve">Notatet er lagt ut på utvalgets nettside </w:t>
      </w:r>
      <w:hyperlink r:id="rId9" w:history="1">
        <w:r w:rsidRPr="00346CBB">
          <w:rPr>
            <w:rStyle w:val="Hyperkobling"/>
          </w:rPr>
          <w:t>Teknisk beregningsutvalg for spesialisthelsetjenestens økonomi (TBU-spesialisthelsetjenesten) – regjeringen.no</w:t>
        </w:r>
      </w:hyperlink>
    </w:p>
    <w:p w14:paraId="2BC1DDC1" w14:textId="77777777" w:rsidR="003953D6" w:rsidRPr="00346CBB" w:rsidRDefault="003953D6" w:rsidP="00346CBB">
      <w:r w:rsidRPr="00346CBB">
        <w:t>Eventuelle kommentarer eller spørsmål kan rettes til sekretariatet.</w:t>
      </w:r>
    </w:p>
    <w:p w14:paraId="4764F135" w14:textId="77777777" w:rsidR="003953D6" w:rsidRPr="00346CBB" w:rsidRDefault="003953D6" w:rsidP="00346CBB">
      <w:pPr>
        <w:pStyle w:val="Overskrift2"/>
      </w:pPr>
      <w:r w:rsidRPr="00346CBB">
        <w:t>Mandat</w:t>
      </w:r>
    </w:p>
    <w:p w14:paraId="06865729" w14:textId="77777777" w:rsidR="003953D6" w:rsidRPr="00346CBB" w:rsidRDefault="003953D6" w:rsidP="00346CBB">
      <w:r w:rsidRPr="00346CBB">
        <w:t>Det tekniske beregningsutvalget for spesialisthelsetjenesten skal gi en faglig vurdering av data som gjelder økonomien i spesialisthelsetjenesten.</w:t>
      </w:r>
    </w:p>
    <w:p w14:paraId="6ACA740B" w14:textId="77777777" w:rsidR="003953D6" w:rsidRPr="00346CBB" w:rsidRDefault="003953D6" w:rsidP="00346CBB">
      <w:r w:rsidRPr="00346CBB">
        <w:t>Utvalget skal skape felles forståelse for den økonomiske situasjonen i spesialisthelsetjenesten. Utvalget skal særlig vurdere utviklingen i sykehusøkonomien, herunder realveksten i bevilgningene, og merkostnader som den demografiske utviklingen anslås å gi sektoren.</w:t>
      </w:r>
    </w:p>
    <w:p w14:paraId="73D2B404" w14:textId="77777777" w:rsidR="003953D6" w:rsidRPr="00346CBB" w:rsidRDefault="003953D6" w:rsidP="00346CBB">
      <w:r w:rsidRPr="00346CBB">
        <w:t>Bakgrunnsmaterialet bør inneholde en oversikt over forhold som utvalget mener er viktig for vurdering av sykehusøkonomien, en vurdering av disse forholdene, og utsiktene for sykehusøkonomien framover. Vurderingene bør gjelde de regionale helseforetakene under ett, og gi oversikt over variasjoner mellom de regionale helseforetakene der dette er aktuelt. Det er videre ønskelig at utvalget vurderer aktivitet, ventetider og produktivitetsutvikling.</w:t>
      </w:r>
    </w:p>
    <w:p w14:paraId="7550FE8D" w14:textId="77777777" w:rsidR="003953D6" w:rsidRPr="00346CBB" w:rsidRDefault="003953D6" w:rsidP="00346CBB">
      <w:r w:rsidRPr="00346CBB">
        <w:t>Så langt utvalget finner det hensiktsmessig, kan det selv ta opp særskilte problemstillinger.</w:t>
      </w:r>
    </w:p>
    <w:p w14:paraId="3F42663A" w14:textId="77777777" w:rsidR="003953D6" w:rsidRPr="00346CBB" w:rsidRDefault="003953D6" w:rsidP="00346CBB">
      <w:r w:rsidRPr="00346CBB">
        <w:t>Helse- og omsorgsdepartementet har fullmakt til å gi tilleggsoppdrag til utvalget.</w:t>
      </w:r>
    </w:p>
    <w:p w14:paraId="71589469" w14:textId="77777777" w:rsidR="003953D6" w:rsidRPr="00346CBB" w:rsidRDefault="003953D6" w:rsidP="00346CBB">
      <w:r w:rsidRPr="00346CBB">
        <w:t xml:space="preserve">Utredningen fra utvalget skal </w:t>
      </w:r>
      <w:proofErr w:type="gramStart"/>
      <w:r w:rsidRPr="00346CBB">
        <w:t>avgis</w:t>
      </w:r>
      <w:proofErr w:type="gramEnd"/>
      <w:r w:rsidRPr="00346CBB">
        <w:t xml:space="preserve"> til Helse- og omsorgsdepartementet i november. Det skal i tillegg </w:t>
      </w:r>
      <w:proofErr w:type="gramStart"/>
      <w:r w:rsidRPr="00346CBB">
        <w:t>avgis</w:t>
      </w:r>
      <w:proofErr w:type="gramEnd"/>
      <w:r w:rsidRPr="00346CBB">
        <w:t xml:space="preserve"> et notat i løpet av første halvår med oppdaterte demografianslag og andre forhold av betydning basert på oppdatert informasjon.</w:t>
      </w:r>
    </w:p>
    <w:p w14:paraId="6E427C13" w14:textId="77777777" w:rsidR="003953D6" w:rsidRPr="00346CBB" w:rsidRDefault="003953D6" w:rsidP="00346CBB">
      <w:r w:rsidRPr="00346CBB">
        <w:t xml:space="preserve">Utvalget skal være bredt sammensatt. Oppnevningen gjelder i 3 år. Helse- og omsorgsdepartementet har fullmakt til å løse medlemmer fra vervet og til å utnevne nye medlemmer. Helse- og omsorgsdepartementet leder </w:t>
      </w:r>
      <w:proofErr w:type="spellStart"/>
      <w:r w:rsidRPr="00346CBB">
        <w:t>sekretariatsarbeidet</w:t>
      </w:r>
      <w:proofErr w:type="spellEnd"/>
      <w:r w:rsidRPr="00346CBB">
        <w:t xml:space="preserve"> for utvalget.</w:t>
      </w:r>
    </w:p>
    <w:p w14:paraId="079ECF87" w14:textId="77777777" w:rsidR="003953D6" w:rsidRPr="00346CBB" w:rsidRDefault="003953D6" w:rsidP="00346CBB">
      <w:pPr>
        <w:pStyle w:val="Overskrift2"/>
      </w:pPr>
      <w:r w:rsidRPr="00346CBB">
        <w:lastRenderedPageBreak/>
        <w:t>Utvalgets sammensetning. Sekretariat</w:t>
      </w:r>
    </w:p>
    <w:p w14:paraId="728C33CC" w14:textId="77777777" w:rsidR="003953D6" w:rsidRPr="00346CBB" w:rsidRDefault="003953D6" w:rsidP="00346CBB">
      <w:pPr>
        <w:pStyle w:val="Liste"/>
      </w:pPr>
      <w:r w:rsidRPr="00346CBB">
        <w:t>Professor Jon Magnussen, Trondheim, leder</w:t>
      </w:r>
    </w:p>
    <w:p w14:paraId="07AC1D70" w14:textId="77777777" w:rsidR="003953D6" w:rsidRPr="00346CBB" w:rsidRDefault="003953D6" w:rsidP="00346CBB">
      <w:pPr>
        <w:pStyle w:val="Liste"/>
      </w:pPr>
      <w:r w:rsidRPr="00346CBB">
        <w:t>Seksjonsleder Pål Sletten, Oslo, nestleder</w:t>
      </w:r>
    </w:p>
    <w:p w14:paraId="70F1FCC5" w14:textId="77777777" w:rsidR="003953D6" w:rsidRPr="00346CBB" w:rsidRDefault="003953D6" w:rsidP="00346CBB">
      <w:pPr>
        <w:pStyle w:val="Liste"/>
      </w:pPr>
      <w:r w:rsidRPr="00346CBB">
        <w:t xml:space="preserve">Økonomi- og finansdirektør Line </w:t>
      </w:r>
      <w:proofErr w:type="spellStart"/>
      <w:r w:rsidRPr="00346CBB">
        <w:t>Alfarrustad</w:t>
      </w:r>
      <w:proofErr w:type="spellEnd"/>
      <w:r w:rsidRPr="00346CBB">
        <w:t>, Stange</w:t>
      </w:r>
    </w:p>
    <w:p w14:paraId="0E7AFC6B" w14:textId="77777777" w:rsidR="003953D6" w:rsidRPr="00346CBB" w:rsidRDefault="003953D6" w:rsidP="00346CBB">
      <w:pPr>
        <w:pStyle w:val="Liste"/>
      </w:pPr>
      <w:r w:rsidRPr="00346CBB">
        <w:t xml:space="preserve">Økonomidirektør Anne-Marie </w:t>
      </w:r>
      <w:proofErr w:type="spellStart"/>
      <w:r w:rsidRPr="00346CBB">
        <w:t>Barane</w:t>
      </w:r>
      <w:proofErr w:type="spellEnd"/>
      <w:r w:rsidRPr="00346CBB">
        <w:t>, Stjørdal</w:t>
      </w:r>
    </w:p>
    <w:p w14:paraId="1F324940" w14:textId="77777777" w:rsidR="003953D6" w:rsidRPr="00346CBB" w:rsidRDefault="003953D6" w:rsidP="00346CBB">
      <w:pPr>
        <w:pStyle w:val="Liste"/>
      </w:pPr>
      <w:r w:rsidRPr="00346CBB">
        <w:t>Økonomidirektør Erik Arne Hansen, Bodø</w:t>
      </w:r>
    </w:p>
    <w:p w14:paraId="6730CE73" w14:textId="77777777" w:rsidR="003953D6" w:rsidRPr="00346CBB" w:rsidRDefault="003953D6" w:rsidP="00346CBB">
      <w:pPr>
        <w:pStyle w:val="Liste"/>
      </w:pPr>
      <w:r w:rsidRPr="00346CBB">
        <w:t xml:space="preserve">Ekspedisjonssjef Målfrid </w:t>
      </w:r>
      <w:proofErr w:type="spellStart"/>
      <w:r w:rsidRPr="00346CBB">
        <w:t>Bjærum</w:t>
      </w:r>
      <w:proofErr w:type="spellEnd"/>
      <w:r w:rsidRPr="00346CBB">
        <w:t>, Oslo (til 1.3.2025)</w:t>
      </w:r>
    </w:p>
    <w:p w14:paraId="566D0671" w14:textId="77777777" w:rsidR="003953D6" w:rsidRPr="00346CBB" w:rsidRDefault="003953D6" w:rsidP="00346CBB">
      <w:pPr>
        <w:pStyle w:val="Liste"/>
      </w:pPr>
      <w:r w:rsidRPr="00346CBB">
        <w:t>Postdoktor Ingrid Hjort, Oslo</w:t>
      </w:r>
    </w:p>
    <w:p w14:paraId="2F9CEFC6" w14:textId="77777777" w:rsidR="003953D6" w:rsidRPr="00346CBB" w:rsidRDefault="003953D6" w:rsidP="00346CBB">
      <w:pPr>
        <w:pStyle w:val="Liste"/>
      </w:pPr>
      <w:r w:rsidRPr="00346CBB">
        <w:t>Fagdirektør Stein Johnsen, Oslo (fra 15.5.2025)</w:t>
      </w:r>
    </w:p>
    <w:p w14:paraId="32A746C9" w14:textId="77777777" w:rsidR="003953D6" w:rsidRPr="00346CBB" w:rsidRDefault="003953D6" w:rsidP="00346CBB">
      <w:pPr>
        <w:pStyle w:val="Liste"/>
      </w:pPr>
      <w:r w:rsidRPr="00346CBB">
        <w:t>Økonomi- og finansdirektør Per Karlsen, Sandnes</w:t>
      </w:r>
    </w:p>
    <w:p w14:paraId="56536E47" w14:textId="77777777" w:rsidR="003953D6" w:rsidRPr="00346CBB" w:rsidRDefault="003953D6" w:rsidP="00346CBB">
      <w:pPr>
        <w:pStyle w:val="Liste"/>
      </w:pPr>
      <w:r w:rsidRPr="00346CBB">
        <w:t>Seniorrådgiver Marit Pedersen, Trondheim</w:t>
      </w:r>
    </w:p>
    <w:p w14:paraId="59BA6ACA" w14:textId="77777777" w:rsidR="003953D6" w:rsidRPr="00346CBB" w:rsidRDefault="003953D6" w:rsidP="00346CBB">
      <w:pPr>
        <w:pStyle w:val="Liste"/>
      </w:pPr>
      <w:r w:rsidRPr="00346CBB">
        <w:t>Fagsjef Aase Seeberg, Oslo</w:t>
      </w:r>
    </w:p>
    <w:p w14:paraId="5F9FAEC8" w14:textId="77777777" w:rsidR="003953D6" w:rsidRPr="00346CBB" w:rsidRDefault="003953D6" w:rsidP="00346CBB">
      <w:pPr>
        <w:pStyle w:val="avsnitt-undertittel"/>
      </w:pPr>
      <w:r w:rsidRPr="00346CBB">
        <w:t>Sekretariat</w:t>
      </w:r>
    </w:p>
    <w:p w14:paraId="0C0121F9" w14:textId="77777777" w:rsidR="003953D6" w:rsidRPr="00346CBB" w:rsidRDefault="003953D6" w:rsidP="00346CBB">
      <w:pPr>
        <w:pStyle w:val="Liste"/>
      </w:pPr>
      <w:r w:rsidRPr="00346CBB">
        <w:t>Fagdirektør Stein Johnsen, Helse- og omsorgsdepartementet, leder (til 15.5.2025)</w:t>
      </w:r>
    </w:p>
    <w:p w14:paraId="228115D7" w14:textId="38DB598F" w:rsidR="003953D6" w:rsidRPr="00346CBB" w:rsidRDefault="003953D6" w:rsidP="00346CBB">
      <w:pPr>
        <w:pStyle w:val="Liste"/>
      </w:pPr>
      <w:r w:rsidRPr="00346CBB">
        <w:t>Underdirektør Tone Hobæk, Helse- og omsorgsdepartementet, leder (fra 15.5.2025)</w:t>
      </w:r>
    </w:p>
    <w:p w14:paraId="4D2F9E6A" w14:textId="77777777" w:rsidR="003953D6" w:rsidRPr="00346CBB" w:rsidRDefault="003953D6" w:rsidP="00346CBB">
      <w:pPr>
        <w:pStyle w:val="Liste"/>
      </w:pPr>
      <w:r w:rsidRPr="00346CBB">
        <w:t xml:space="preserve">Seniorrådgiver Håvard </w:t>
      </w:r>
      <w:proofErr w:type="spellStart"/>
      <w:r w:rsidRPr="00346CBB">
        <w:t>Andrè</w:t>
      </w:r>
      <w:proofErr w:type="spellEnd"/>
      <w:r w:rsidRPr="00346CBB">
        <w:t xml:space="preserve"> Dalheim, Helsedirektoratet</w:t>
      </w:r>
    </w:p>
    <w:p w14:paraId="36DD2306" w14:textId="77777777" w:rsidR="003953D6" w:rsidRPr="00346CBB" w:rsidRDefault="003953D6" w:rsidP="00346CBB">
      <w:pPr>
        <w:pStyle w:val="Liste"/>
      </w:pPr>
      <w:r w:rsidRPr="00346CBB">
        <w:t>Seniorrådgiver Paul Martin Gystad, Helse Midt-Norge RHF</w:t>
      </w:r>
    </w:p>
    <w:p w14:paraId="5C9560D7" w14:textId="77777777" w:rsidR="003953D6" w:rsidRPr="00346CBB" w:rsidRDefault="003953D6" w:rsidP="00346CBB">
      <w:pPr>
        <w:pStyle w:val="Liste"/>
      </w:pPr>
      <w:r w:rsidRPr="00346CBB">
        <w:t xml:space="preserve">Seniorrådgiver Elisabeth </w:t>
      </w:r>
      <w:proofErr w:type="spellStart"/>
      <w:r w:rsidRPr="00346CBB">
        <w:t>Esrød</w:t>
      </w:r>
      <w:proofErr w:type="spellEnd"/>
      <w:r w:rsidRPr="00346CBB">
        <w:t xml:space="preserve"> Hoelsæter, Helse- og omsorgsdepartementet (fra 15.5.2025)</w:t>
      </w:r>
    </w:p>
    <w:p w14:paraId="69B0F2C4" w14:textId="77777777" w:rsidR="003953D6" w:rsidRPr="00346CBB" w:rsidRDefault="003953D6" w:rsidP="00346CBB">
      <w:pPr>
        <w:pStyle w:val="Liste"/>
      </w:pPr>
      <w:r w:rsidRPr="00346CBB">
        <w:t>Fagdirektør Brynjar Indahl, Finansdepartementet</w:t>
      </w:r>
    </w:p>
    <w:p w14:paraId="445E412A" w14:textId="77777777" w:rsidR="003953D6" w:rsidRPr="00346CBB" w:rsidRDefault="003953D6" w:rsidP="00346CBB">
      <w:pPr>
        <w:pStyle w:val="Liste"/>
      </w:pPr>
      <w:r w:rsidRPr="00346CBB">
        <w:t>Seniorrådgiver Eirik Larsen Lindstrøm, Statistisk sentralbyrå (til 1.5.2025)</w:t>
      </w:r>
    </w:p>
    <w:p w14:paraId="6EF6BAAD" w14:textId="77777777" w:rsidR="003953D6" w:rsidRPr="00346CBB" w:rsidRDefault="003953D6" w:rsidP="00346CBB">
      <w:pPr>
        <w:pStyle w:val="Liste"/>
      </w:pPr>
      <w:r w:rsidRPr="00346CBB">
        <w:t xml:space="preserve">Fagsjef økonomi Martin </w:t>
      </w:r>
      <w:proofErr w:type="spellStart"/>
      <w:r w:rsidRPr="00346CBB">
        <w:t>Sjuls</w:t>
      </w:r>
      <w:proofErr w:type="spellEnd"/>
      <w:r w:rsidRPr="00346CBB">
        <w:t>, Helse Sør-Øst RHF</w:t>
      </w:r>
    </w:p>
    <w:p w14:paraId="0A647790" w14:textId="77777777" w:rsidR="003953D6" w:rsidRPr="00346CBB" w:rsidRDefault="003953D6" w:rsidP="00346CBB">
      <w:pPr>
        <w:pStyle w:val="Overskrift1"/>
      </w:pPr>
      <w:r w:rsidRPr="00346CBB">
        <w:t>Utvalgets situasjonsforståelse</w:t>
      </w:r>
    </w:p>
    <w:p w14:paraId="4B4B7467" w14:textId="77777777" w:rsidR="003953D6" w:rsidRPr="00346CBB" w:rsidRDefault="003953D6" w:rsidP="00346CBB">
      <w:r w:rsidRPr="00346CBB">
        <w:t>For 2025 utgjør driftsbevilgningene til de regionale helseforetakene 214 mrd. kroner. Utvalget anslår at det fra 2022 til 2025 var en realvekst i bevilgninger til spesialisthelsetjenesten ut over det som har vært nødvendig for å kompensere for endringer demografi, på om lag 3,8 mrd. 2025-kroner. Fra 2015 til 2022 var bevilgningsnivået tilnærmet uendret, med et samlet anslag på realvekst på om lag 0,3 mrd. 2025-kroner.</w:t>
      </w:r>
    </w:p>
    <w:p w14:paraId="28BD69E3" w14:textId="77777777" w:rsidR="003953D6" w:rsidRPr="00346CBB" w:rsidRDefault="003953D6" w:rsidP="00346CBB">
      <w:r w:rsidRPr="00346CBB">
        <w:t xml:space="preserve">I perioden 2008 til 2024 har det i de årlige budsjettene vært lagt til grunn at vekst i aktivitet kan realiseres til en marginalkostnad for sektoren samlet som </w:t>
      </w:r>
      <w:r w:rsidRPr="00346CBB">
        <w:lastRenderedPageBreak/>
        <w:t>tilsvarer 80 prosent av gjennomsnittskostnaden. I sine vurderinger av realvekst benytter utvalget et anslag på marginalkostnaden på 92,5 prosent. Anslaget er basert på analyser gjennomført av Oslo Economics for perioden 2013 til 2019. Det er indikasjoner på at marginalkostnaden er stigende. Utvalget anbefaler at analysen av marginalkostnaden oppdateres.</w:t>
      </w:r>
    </w:p>
    <w:p w14:paraId="0593F479" w14:textId="77777777" w:rsidR="003953D6" w:rsidRPr="00346CBB" w:rsidRDefault="003953D6" w:rsidP="00346CBB">
      <w:r w:rsidRPr="00346CBB">
        <w:t>Alt annet likt, utgjør forskjellen i kostnader som følge av demografiske endringer 2,6 mrd. kroner i 2024 dersom man i de årlige budsjettene i perioden 2015 til 2024 hadde lagt til en forutsetning om marginalkostnad på 92,5 prosent fremfor 80 prosent. Samlet for alle år i perioden anslår utvalget at denne forskjellen utgjør, alt annet likt, 13,1 mrd. kroner.</w:t>
      </w:r>
    </w:p>
    <w:p w14:paraId="1816729E" w14:textId="77777777" w:rsidR="003953D6" w:rsidRPr="00346CBB" w:rsidRDefault="003953D6" w:rsidP="00346CBB">
      <w:r w:rsidRPr="00346CBB">
        <w:t>Utvalget understreker at det ikke har grunnlag for å vurdere om et høyere anslag på marginalkostnaden ville hatt konsekvenser for bevilgningen til sektoren. For 2025 innebærer antakelsen om en marginalkostnad på 92,5 prosent 0,3 mrd. kroner i lavere anslag for merkostnader knyttet til demografi enn det som ligger til grunn for statsbudsjettet for 2025.</w:t>
      </w:r>
    </w:p>
    <w:p w14:paraId="3037D4C4" w14:textId="77777777" w:rsidR="003953D6" w:rsidRPr="00346CBB" w:rsidRDefault="003953D6" w:rsidP="00346CBB">
      <w:r w:rsidRPr="00346CBB">
        <w:t>Størrelsen på en samlet marginalkostnad for sektoren danner grunnlag for utvalgets anslag over sektorens behov for ressurser for å dekke behov som oppstår fra ett år til ett annet som følge av demografiske endringer. I disse anslagene forutsettes uendret produktivitet og kvalitet. Kvalitetsheving, eksempelvis gjennom oppgradering av bygg og utstyr, må enten finansieres gjennom effektivisering av driften eller gjennom økt grunnfinansiering.</w:t>
      </w:r>
    </w:p>
    <w:p w14:paraId="68EA33F9" w14:textId="5207924C" w:rsidR="003953D6" w:rsidRPr="00346CBB" w:rsidRDefault="003953D6" w:rsidP="00346CBB">
      <w:r w:rsidRPr="00346CBB">
        <w:t>Etterberegninger viser at behovet knyttet til demografiske endringer har vært høyere enn anslått både i 2022, 2023 og 2024. Dette er særlig knyttet til usikkerhet rundt antall flyktninger fra Ukraina. Gitt et anslag på marginalkostnad på 92,5 prosent anslår utvalget merkostnader knyttet til demografiske endringer på 2,6 mrd. kroner for 2025 og 2,5 mrd. kroner for 2026.</w:t>
      </w:r>
    </w:p>
    <w:p w14:paraId="7BD8D050" w14:textId="77777777" w:rsidR="003953D6" w:rsidRPr="00346CBB" w:rsidRDefault="003953D6" w:rsidP="00346CBB">
      <w:r w:rsidRPr="00346CBB">
        <w:t>Samlet årsresultat for de regionale helseforetakene lå i perioden 2015 til 2019 på rundt 2 prosent av driftsinntektene. Årsresultatet i 2023 og 2024 var på henholdsvis 0,8 prosent og 1,6 prosent av driftsinntektene. For 2024 må også resultatet ses i sammenheng med engangsbevilgninger på til sammen 2,5 mrd. kroner, hvorav 2,1 mrd. kroner ble gitt ved nysalderingen i desember. Engangsbevilgningene inngår ikke i utvalgets anslag over realvekst, men vil ha betydning for årlige driftsresultater.</w:t>
      </w:r>
    </w:p>
    <w:p w14:paraId="47BC8CBD" w14:textId="77777777" w:rsidR="003953D6" w:rsidRPr="00346CBB" w:rsidRDefault="003953D6" w:rsidP="00346CBB">
      <w:r w:rsidRPr="00346CBB">
        <w:lastRenderedPageBreak/>
        <w:t xml:space="preserve">Helseforetakene må som et minimum frigjøre tilstrekkelig likviditet til å kunne vedlikeholde og </w:t>
      </w:r>
      <w:proofErr w:type="spellStart"/>
      <w:r w:rsidRPr="00346CBB">
        <w:t>gjenanskaffe</w:t>
      </w:r>
      <w:proofErr w:type="spellEnd"/>
      <w:r w:rsidRPr="00346CBB">
        <w:t xml:space="preserve"> bygninger, teknologi og utstyr. Dagens finansieringsmodell forutsetter at gjenanskaffelse av anleggsmidler kan skje til historisk anskaffelseskostnad, skaffet til veie gjennom fri likviditet fra avskrivninger ved et resultat i balanse. Dersom gjenanskaffelseskostnadene er større enn de historiske kostnadene, må differansen finansieres gjennom økt positivt driftsresultat før av- og nedskriving. Det økte positive driftsresultatet må over tid tilsvare prisutvikling ved anskaffelse av bygg, teknologi og utstyr. Driftsresultat før avskrivninger i 2023 og 2024 var på henholdsvis 4,8 og 5,7 prosent av driftsinntektene. I perioden 2015 til 2019 lå nivået på rundt 6 prosent. I 2025 har de regionale helseforetakene budsjettert med en driftsmargin på 6,3 prosent av driftsinntektene.</w:t>
      </w:r>
    </w:p>
    <w:p w14:paraId="27701C48" w14:textId="0784552A" w:rsidR="003953D6" w:rsidRPr="00346CBB" w:rsidRDefault="003953D6" w:rsidP="00346CBB">
      <w:r w:rsidRPr="00346CBB">
        <w:t>Utvalget vil peke på at svakere driftsmarginer kombinert med et økt lånefinansiert investeringsnivå isolert sett vil kreve fortsatt omstilling i helseforetakene i årene som kommer. En finansiering av aktivitetsvekst som baseres på marginalkostnad alene vil i mindre grad gi rom for nye oppgaver eller kvalitetsheving. I 2025 har de regionale helseforetakene samlet budsjettert med et årsresultat på 2,6 mrd. kroner. Dette er lavere enn i 2024, hvor samlet årsresultat, inklusive engangsbevilgningen fra nysalderingen i desember var på vel 3,3 mrd. kroner, men bare 1,2 mrd. kroner utenom engangsbevilgningen. Utvalget anslår realveksten ut over merkostnader som følge av endringer i demografi til 2,2 mrd. kroner i 2025. Dette innebærer at store deler av realveksten i bevilgningen for 2025 ut over demografibehovet planlegges benyttet til å dekke økte kapitalkostnader som følge av økning i lånefinansierte investeringer, og legge til rette for framtidige investeringer.</w:t>
      </w:r>
    </w:p>
    <w:p w14:paraId="12F9C608" w14:textId="77777777" w:rsidR="003953D6" w:rsidRPr="00346CBB" w:rsidRDefault="003953D6" w:rsidP="00346CBB">
      <w:pPr>
        <w:pStyle w:val="Overskrift1"/>
      </w:pPr>
      <w:r w:rsidRPr="00346CBB">
        <w:lastRenderedPageBreak/>
        <w:t>Utvikling i bevilgninger og realvekst i spesialisthelsetjenesten</w:t>
      </w:r>
    </w:p>
    <w:p w14:paraId="132EEC83" w14:textId="77777777" w:rsidR="003953D6" w:rsidRPr="00346CBB" w:rsidRDefault="003953D6" w:rsidP="00346CBB">
      <w:pPr>
        <w:pStyle w:val="Overskrift2"/>
      </w:pPr>
      <w:r w:rsidRPr="00346CBB">
        <w:t>Utvikling i driftsbevilgningene</w:t>
      </w:r>
    </w:p>
    <w:p w14:paraId="0A341BA2" w14:textId="7AC3E0C7" w:rsidR="003953D6" w:rsidRPr="00346CBB" w:rsidRDefault="003953D6" w:rsidP="00346CBB">
      <w:r w:rsidRPr="00346CBB">
        <w:t>De regionale helseforetakene får i all hovedsak sine inntekter som bevilgninger på statsbudsjettet</w:t>
      </w:r>
      <w:r w:rsidRPr="00346CBB">
        <w:rPr>
          <w:rStyle w:val="Fotnotereferanse"/>
        </w:rPr>
        <w:footnoteReference w:id="1"/>
      </w:r>
      <w:r w:rsidRPr="00346CBB">
        <w:t>. I dette kapittelet brukes utvikling i bevilgninger på statsbudsjettet til å beskrive inntektsutviklingen. Bevilgningene på statsbudsjettet over kapittel 732 Regionale helseforetak kan grovt deles i to: driftsbevilgninger og lånebevilgninger. For 2025 utgjør driftsbevilgningene til de regionale helseforetakene 214 mrd. kroner i vedtatt statsbudsjett. Bevilgninger til investeringslån og driftskreditter til å håndtere premieavvik kommer i tillegg og utgjør 15 mrd. kroner. Til sammen utgjør bevilgningene 229 mrd. kroner. Tabell 3.1 viser utviklingen i driftsbevilgningene og bevilgninger til investeringslån, tilskudd til investeringer i protonsentre og driftskreditter</w:t>
      </w:r>
      <w:r w:rsidRPr="00346CBB">
        <w:rPr>
          <w:rStyle w:val="Fotnotereferanse"/>
        </w:rPr>
        <w:footnoteReference w:id="2"/>
      </w:r>
      <w:r w:rsidRPr="00346CBB">
        <w:t xml:space="preserve"> fra 2015 til 2025 i løpende priser.</w:t>
      </w:r>
    </w:p>
    <w:p w14:paraId="0C14D89E" w14:textId="77777777" w:rsidR="003953D6" w:rsidRPr="00346CBB" w:rsidRDefault="003953D6" w:rsidP="00346CBB">
      <w:pPr>
        <w:pStyle w:val="tabell-tittel"/>
      </w:pPr>
      <w:r w:rsidRPr="00346CBB">
        <w:t>Bevilgninger på kapittel 732 Regionale helseforetak. 2015 til 2025. Mill. kroner i løpende priser.</w:t>
      </w:r>
    </w:p>
    <w:tbl>
      <w:tblPr>
        <w:tblW w:w="5000" w:type="pct"/>
        <w:tblCellMar>
          <w:left w:w="0" w:type="dxa"/>
          <w:right w:w="0" w:type="dxa"/>
        </w:tblCellMar>
        <w:tblLook w:val="0000" w:firstRow="0" w:lastRow="0" w:firstColumn="0" w:lastColumn="0" w:noHBand="0" w:noVBand="0"/>
      </w:tblPr>
      <w:tblGrid>
        <w:gridCol w:w="906"/>
        <w:gridCol w:w="1354"/>
        <w:gridCol w:w="1488"/>
        <w:gridCol w:w="1488"/>
        <w:gridCol w:w="1489"/>
        <w:gridCol w:w="1489"/>
      </w:tblGrid>
      <w:tr w:rsidR="00A4769D" w:rsidRPr="00346CBB" w14:paraId="3043699C" w14:textId="77777777" w:rsidTr="00346CBB">
        <w:trPr>
          <w:trHeight w:val="396"/>
          <w:tblHeader/>
        </w:trPr>
        <w:tc>
          <w:tcPr>
            <w:tcW w:w="50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16C6D2CF" w14:textId="77777777" w:rsidR="003953D6" w:rsidRPr="00346CBB" w:rsidRDefault="003953D6" w:rsidP="00346CBB">
            <w:pPr>
              <w:pStyle w:val="BasicParagraph"/>
            </w:pPr>
            <w:r w:rsidRPr="00346CBB">
              <w:t xml:space="preserve"> </w:t>
            </w:r>
          </w:p>
        </w:tc>
        <w:tc>
          <w:tcPr>
            <w:tcW w:w="833"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4920585" w14:textId="77777777" w:rsidR="003953D6" w:rsidRPr="00346CBB" w:rsidRDefault="003953D6" w:rsidP="00346CBB">
            <w:pPr>
              <w:pStyle w:val="TabellHode-kolonne"/>
              <w:jc w:val="right"/>
            </w:pPr>
            <w:r w:rsidRPr="00346CBB">
              <w:t>Driftsbevilgninger</w:t>
            </w:r>
          </w:p>
        </w:tc>
        <w:tc>
          <w:tcPr>
            <w:tcW w:w="914"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0EAB39B" w14:textId="77777777" w:rsidR="003953D6" w:rsidRPr="00346CBB" w:rsidRDefault="003953D6" w:rsidP="00346CBB">
            <w:pPr>
              <w:pStyle w:val="TabellHode-kolonne"/>
              <w:jc w:val="right"/>
            </w:pPr>
            <w:r w:rsidRPr="00346CBB">
              <w:t>Bevilgninger til investeringslån</w:t>
            </w:r>
          </w:p>
        </w:tc>
        <w:tc>
          <w:tcPr>
            <w:tcW w:w="914"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6F9178D" w14:textId="47933F28" w:rsidR="003953D6" w:rsidRPr="00346CBB" w:rsidRDefault="003953D6" w:rsidP="00346CBB">
            <w:pPr>
              <w:pStyle w:val="TabellHode-kolonne"/>
              <w:jc w:val="right"/>
            </w:pPr>
            <w:r w:rsidRPr="00346CBB">
              <w:t>Byggelånsrenter*</w:t>
            </w:r>
          </w:p>
        </w:tc>
        <w:tc>
          <w:tcPr>
            <w:tcW w:w="91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D0958B0" w14:textId="77777777" w:rsidR="003953D6" w:rsidRPr="00346CBB" w:rsidRDefault="003953D6" w:rsidP="00346CBB">
            <w:pPr>
              <w:pStyle w:val="TabellHode-kolonne"/>
              <w:jc w:val="right"/>
            </w:pPr>
            <w:r w:rsidRPr="00346CBB">
              <w:t>Tilskudd til protonsentre</w:t>
            </w:r>
          </w:p>
        </w:tc>
        <w:tc>
          <w:tcPr>
            <w:tcW w:w="914"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A9C10F5" w14:textId="77777777" w:rsidR="003953D6" w:rsidRPr="00346CBB" w:rsidRDefault="003953D6" w:rsidP="00346CBB">
            <w:pPr>
              <w:pStyle w:val="TabellHode-kolonne"/>
              <w:jc w:val="right"/>
            </w:pPr>
            <w:r w:rsidRPr="00346CBB">
              <w:t>Driftskreditter</w:t>
            </w:r>
          </w:p>
        </w:tc>
      </w:tr>
      <w:tr w:rsidR="00A4769D" w:rsidRPr="00346CBB" w14:paraId="6C86AEFF" w14:textId="77777777" w:rsidTr="00346CBB">
        <w:trPr>
          <w:trHeight w:val="396"/>
        </w:trPr>
        <w:tc>
          <w:tcPr>
            <w:tcW w:w="50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5376103" w14:textId="77777777" w:rsidR="003953D6" w:rsidRPr="00346CBB" w:rsidRDefault="003953D6" w:rsidP="00346CBB">
            <w:pPr>
              <w:pStyle w:val="TabellHode-rad"/>
            </w:pPr>
            <w:r w:rsidRPr="00346CBB">
              <w:t>2015</w:t>
            </w:r>
          </w:p>
        </w:tc>
        <w:tc>
          <w:tcPr>
            <w:tcW w:w="833"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89173AD" w14:textId="77777777" w:rsidR="003953D6" w:rsidRPr="00346CBB" w:rsidRDefault="003953D6" w:rsidP="00346CBB">
            <w:pPr>
              <w:jc w:val="right"/>
            </w:pPr>
            <w:r w:rsidRPr="00346CBB">
              <w:t>133 141</w:t>
            </w:r>
          </w:p>
        </w:tc>
        <w:tc>
          <w:tcPr>
            <w:tcW w:w="914"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F0F878A" w14:textId="77777777" w:rsidR="003953D6" w:rsidRPr="00346CBB" w:rsidRDefault="003953D6" w:rsidP="00346CBB">
            <w:pPr>
              <w:jc w:val="right"/>
            </w:pPr>
            <w:r w:rsidRPr="00346CBB">
              <w:t>698</w:t>
            </w:r>
          </w:p>
        </w:tc>
        <w:tc>
          <w:tcPr>
            <w:tcW w:w="914"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1CFB536" w14:textId="77777777" w:rsidR="003953D6" w:rsidRPr="00346CBB" w:rsidRDefault="003953D6" w:rsidP="00346CBB">
            <w:pPr>
              <w:jc w:val="right"/>
            </w:pPr>
            <w:r w:rsidRPr="00346CBB">
              <w:t>73</w:t>
            </w:r>
          </w:p>
        </w:tc>
        <w:tc>
          <w:tcPr>
            <w:tcW w:w="91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867D107" w14:textId="77777777" w:rsidR="003953D6" w:rsidRPr="00346CBB" w:rsidRDefault="003953D6" w:rsidP="00346CBB">
            <w:pPr>
              <w:pStyle w:val="NoParagraphStyle"/>
              <w:jc w:val="right"/>
            </w:pPr>
          </w:p>
        </w:tc>
        <w:tc>
          <w:tcPr>
            <w:tcW w:w="914"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1CACF7C" w14:textId="77777777" w:rsidR="003953D6" w:rsidRPr="00346CBB" w:rsidRDefault="003953D6" w:rsidP="00C9271A">
            <w:pPr>
              <w:jc w:val="right"/>
            </w:pPr>
          </w:p>
        </w:tc>
      </w:tr>
      <w:tr w:rsidR="00A4769D" w:rsidRPr="00346CBB" w14:paraId="1FD4645F" w14:textId="77777777" w:rsidTr="00346CBB">
        <w:trPr>
          <w:trHeight w:val="396"/>
        </w:trPr>
        <w:tc>
          <w:tcPr>
            <w:tcW w:w="5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5F45C82" w14:textId="77777777" w:rsidR="003953D6" w:rsidRPr="00346CBB" w:rsidRDefault="003953D6" w:rsidP="00346CBB">
            <w:pPr>
              <w:pStyle w:val="TabellHode-rad"/>
            </w:pPr>
            <w:r w:rsidRPr="00346CBB">
              <w:lastRenderedPageBreak/>
              <w:t>2016</w:t>
            </w:r>
          </w:p>
        </w:tc>
        <w:tc>
          <w:tcPr>
            <w:tcW w:w="83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A8DA20D" w14:textId="77777777" w:rsidR="003953D6" w:rsidRPr="00346CBB" w:rsidRDefault="003953D6" w:rsidP="00346CBB">
            <w:pPr>
              <w:jc w:val="right"/>
            </w:pPr>
            <w:r w:rsidRPr="00346CBB">
              <w:t>134 366</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68E7063" w14:textId="77777777" w:rsidR="003953D6" w:rsidRPr="00346CBB" w:rsidRDefault="003953D6" w:rsidP="00346CBB">
            <w:pPr>
              <w:jc w:val="right"/>
            </w:pPr>
            <w:r w:rsidRPr="00346CBB">
              <w:t>1 230</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17A717C" w14:textId="77777777" w:rsidR="003953D6" w:rsidRPr="00346CBB" w:rsidRDefault="003953D6" w:rsidP="00346CBB">
            <w:pPr>
              <w:jc w:val="right"/>
            </w:pPr>
            <w:r w:rsidRPr="00346CBB">
              <w:t>23</w:t>
            </w:r>
          </w:p>
        </w:tc>
        <w:tc>
          <w:tcPr>
            <w:tcW w:w="9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160950F" w14:textId="77777777" w:rsidR="003953D6" w:rsidRPr="00346CBB" w:rsidRDefault="003953D6" w:rsidP="00346CBB">
            <w:pPr>
              <w:pStyle w:val="NoParagraphStyle"/>
              <w:jc w:val="right"/>
            </w:pP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14359AF" w14:textId="77777777" w:rsidR="003953D6" w:rsidRPr="00346CBB" w:rsidRDefault="003953D6" w:rsidP="00C9271A">
            <w:pPr>
              <w:jc w:val="right"/>
            </w:pPr>
          </w:p>
        </w:tc>
      </w:tr>
      <w:tr w:rsidR="00A4769D" w:rsidRPr="00346CBB" w14:paraId="5C46FA54" w14:textId="77777777" w:rsidTr="00346CBB">
        <w:trPr>
          <w:trHeight w:val="396"/>
        </w:trPr>
        <w:tc>
          <w:tcPr>
            <w:tcW w:w="5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21B432A" w14:textId="77777777" w:rsidR="003953D6" w:rsidRPr="00346CBB" w:rsidRDefault="003953D6" w:rsidP="00346CBB">
            <w:pPr>
              <w:pStyle w:val="TabellHode-rad"/>
            </w:pPr>
            <w:r w:rsidRPr="00346CBB">
              <w:t>2017</w:t>
            </w:r>
          </w:p>
        </w:tc>
        <w:tc>
          <w:tcPr>
            <w:tcW w:w="83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AEC7401" w14:textId="77777777" w:rsidR="003953D6" w:rsidRPr="00346CBB" w:rsidRDefault="003953D6" w:rsidP="00346CBB">
            <w:pPr>
              <w:jc w:val="right"/>
            </w:pPr>
            <w:r w:rsidRPr="00346CBB">
              <w:t>138 646</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C2B2AB9" w14:textId="77777777" w:rsidR="003953D6" w:rsidRPr="00346CBB" w:rsidRDefault="003953D6" w:rsidP="00346CBB">
            <w:pPr>
              <w:jc w:val="right"/>
            </w:pPr>
            <w:r w:rsidRPr="00346CBB">
              <w:t>1 637</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F12C54F" w14:textId="77777777" w:rsidR="003953D6" w:rsidRPr="00346CBB" w:rsidRDefault="003953D6" w:rsidP="00346CBB">
            <w:pPr>
              <w:jc w:val="right"/>
            </w:pPr>
            <w:r w:rsidRPr="00346CBB">
              <w:t>28</w:t>
            </w:r>
          </w:p>
        </w:tc>
        <w:tc>
          <w:tcPr>
            <w:tcW w:w="9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E285A30" w14:textId="77777777" w:rsidR="003953D6" w:rsidRPr="00346CBB" w:rsidRDefault="003953D6" w:rsidP="00346CBB">
            <w:pPr>
              <w:pStyle w:val="NoParagraphStyle"/>
              <w:jc w:val="right"/>
            </w:pP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D18D242" w14:textId="77777777" w:rsidR="003953D6" w:rsidRPr="00346CBB" w:rsidRDefault="003953D6" w:rsidP="00C9271A">
            <w:pPr>
              <w:jc w:val="right"/>
            </w:pPr>
          </w:p>
        </w:tc>
      </w:tr>
      <w:tr w:rsidR="00A4769D" w:rsidRPr="00346CBB" w14:paraId="71A7BA77" w14:textId="77777777" w:rsidTr="00346CBB">
        <w:trPr>
          <w:trHeight w:val="396"/>
        </w:trPr>
        <w:tc>
          <w:tcPr>
            <w:tcW w:w="5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9FE45E1" w14:textId="77777777" w:rsidR="003953D6" w:rsidRPr="00346CBB" w:rsidRDefault="003953D6" w:rsidP="00346CBB">
            <w:pPr>
              <w:pStyle w:val="TabellHode-rad"/>
            </w:pPr>
            <w:r w:rsidRPr="00346CBB">
              <w:t>2018</w:t>
            </w:r>
          </w:p>
        </w:tc>
        <w:tc>
          <w:tcPr>
            <w:tcW w:w="83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ACB88A8" w14:textId="77777777" w:rsidR="003953D6" w:rsidRPr="00346CBB" w:rsidRDefault="003953D6" w:rsidP="00346CBB">
            <w:pPr>
              <w:jc w:val="right"/>
            </w:pPr>
            <w:r w:rsidRPr="00346CBB">
              <w:t>143 455</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D464630" w14:textId="77777777" w:rsidR="003953D6" w:rsidRPr="00346CBB" w:rsidRDefault="003953D6" w:rsidP="00346CBB">
            <w:pPr>
              <w:jc w:val="right"/>
            </w:pPr>
            <w:r w:rsidRPr="00346CBB">
              <w:t>2 768</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BFF58E8" w14:textId="77777777" w:rsidR="003953D6" w:rsidRPr="00346CBB" w:rsidRDefault="003953D6" w:rsidP="00346CBB">
            <w:pPr>
              <w:jc w:val="right"/>
            </w:pPr>
            <w:r w:rsidRPr="00346CBB">
              <w:t>39</w:t>
            </w:r>
          </w:p>
        </w:tc>
        <w:tc>
          <w:tcPr>
            <w:tcW w:w="9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E02A255" w14:textId="77777777" w:rsidR="003953D6" w:rsidRPr="00346CBB" w:rsidRDefault="003953D6" w:rsidP="00346CBB">
            <w:pPr>
              <w:jc w:val="right"/>
            </w:pPr>
            <w:r w:rsidRPr="00346CBB">
              <w:t>96</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61A7FDA" w14:textId="77777777" w:rsidR="003953D6" w:rsidRPr="00346CBB" w:rsidRDefault="003953D6" w:rsidP="00346CBB">
            <w:pPr>
              <w:jc w:val="right"/>
            </w:pPr>
            <w:r w:rsidRPr="00346CBB">
              <w:t>1 107</w:t>
            </w:r>
          </w:p>
        </w:tc>
      </w:tr>
      <w:tr w:rsidR="00A4769D" w:rsidRPr="00346CBB" w14:paraId="4396EB4A" w14:textId="77777777" w:rsidTr="00346CBB">
        <w:trPr>
          <w:trHeight w:val="396"/>
        </w:trPr>
        <w:tc>
          <w:tcPr>
            <w:tcW w:w="5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AA95334" w14:textId="77777777" w:rsidR="003953D6" w:rsidRPr="00346CBB" w:rsidRDefault="003953D6" w:rsidP="00346CBB">
            <w:pPr>
              <w:pStyle w:val="TabellHode-rad"/>
            </w:pPr>
            <w:r w:rsidRPr="00346CBB">
              <w:t>2019</w:t>
            </w:r>
          </w:p>
        </w:tc>
        <w:tc>
          <w:tcPr>
            <w:tcW w:w="83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CE9C1FD" w14:textId="77777777" w:rsidR="003953D6" w:rsidRPr="00346CBB" w:rsidRDefault="003953D6" w:rsidP="00346CBB">
            <w:pPr>
              <w:jc w:val="right"/>
            </w:pPr>
            <w:r w:rsidRPr="00346CBB">
              <w:t>151 832</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EC3E76C" w14:textId="77777777" w:rsidR="003953D6" w:rsidRPr="00346CBB" w:rsidRDefault="003953D6" w:rsidP="00346CBB">
            <w:pPr>
              <w:jc w:val="right"/>
            </w:pPr>
            <w:r w:rsidRPr="00346CBB">
              <w:t>5 335</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C91CBEA" w14:textId="77777777" w:rsidR="003953D6" w:rsidRPr="00346CBB" w:rsidRDefault="003953D6" w:rsidP="00346CBB">
            <w:pPr>
              <w:jc w:val="right"/>
            </w:pPr>
            <w:r w:rsidRPr="00346CBB">
              <w:t>92</w:t>
            </w:r>
          </w:p>
        </w:tc>
        <w:tc>
          <w:tcPr>
            <w:tcW w:w="9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04893E4" w14:textId="77777777" w:rsidR="003953D6" w:rsidRPr="00346CBB" w:rsidRDefault="003953D6" w:rsidP="00346CBB">
            <w:pPr>
              <w:jc w:val="right"/>
            </w:pPr>
            <w:r w:rsidRPr="00346CBB">
              <w:t>97</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B5E8166" w14:textId="77777777" w:rsidR="003953D6" w:rsidRPr="00346CBB" w:rsidRDefault="003953D6" w:rsidP="00346CBB">
            <w:pPr>
              <w:jc w:val="right"/>
            </w:pPr>
            <w:r w:rsidRPr="00346CBB">
              <w:t>959</w:t>
            </w:r>
          </w:p>
        </w:tc>
      </w:tr>
      <w:tr w:rsidR="00A4769D" w:rsidRPr="00346CBB" w14:paraId="7BF41456" w14:textId="77777777" w:rsidTr="00346CBB">
        <w:trPr>
          <w:trHeight w:val="396"/>
        </w:trPr>
        <w:tc>
          <w:tcPr>
            <w:tcW w:w="5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FCD496E" w14:textId="77777777" w:rsidR="003953D6" w:rsidRPr="00346CBB" w:rsidRDefault="003953D6" w:rsidP="00346CBB">
            <w:pPr>
              <w:pStyle w:val="TabellHode-rad"/>
            </w:pPr>
            <w:r w:rsidRPr="00346CBB">
              <w:t>2020</w:t>
            </w:r>
          </w:p>
        </w:tc>
        <w:tc>
          <w:tcPr>
            <w:tcW w:w="83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186C8BE" w14:textId="77777777" w:rsidR="003953D6" w:rsidRPr="00346CBB" w:rsidRDefault="003953D6" w:rsidP="00346CBB">
            <w:pPr>
              <w:jc w:val="right"/>
            </w:pPr>
            <w:r w:rsidRPr="00346CBB">
              <w:t>163 709</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ACFFB50" w14:textId="77777777" w:rsidR="003953D6" w:rsidRPr="00346CBB" w:rsidRDefault="003953D6" w:rsidP="00346CBB">
            <w:pPr>
              <w:jc w:val="right"/>
            </w:pPr>
            <w:r w:rsidRPr="00346CBB">
              <w:t>5 783</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7E9012E" w14:textId="77777777" w:rsidR="003953D6" w:rsidRPr="00346CBB" w:rsidRDefault="003953D6" w:rsidP="00346CBB">
            <w:pPr>
              <w:jc w:val="right"/>
            </w:pPr>
            <w:r w:rsidRPr="00346CBB">
              <w:t>120</w:t>
            </w:r>
          </w:p>
        </w:tc>
        <w:tc>
          <w:tcPr>
            <w:tcW w:w="9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0DF28BD" w14:textId="77777777" w:rsidR="003953D6" w:rsidRPr="00346CBB" w:rsidRDefault="003953D6" w:rsidP="00346CBB">
            <w:pPr>
              <w:jc w:val="right"/>
            </w:pPr>
            <w:r w:rsidRPr="00346CBB">
              <w:t>26</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C2AAB22" w14:textId="77777777" w:rsidR="003953D6" w:rsidRPr="00346CBB" w:rsidRDefault="003953D6" w:rsidP="00346CBB">
            <w:pPr>
              <w:jc w:val="right"/>
            </w:pPr>
            <w:r w:rsidRPr="00346CBB">
              <w:t>2 518</w:t>
            </w:r>
          </w:p>
        </w:tc>
      </w:tr>
      <w:tr w:rsidR="00A4769D" w:rsidRPr="00346CBB" w14:paraId="069F5DF6" w14:textId="77777777" w:rsidTr="00346CBB">
        <w:trPr>
          <w:trHeight w:val="396"/>
        </w:trPr>
        <w:tc>
          <w:tcPr>
            <w:tcW w:w="5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DBD110A" w14:textId="77777777" w:rsidR="003953D6" w:rsidRPr="00346CBB" w:rsidRDefault="003953D6" w:rsidP="00346CBB">
            <w:pPr>
              <w:pStyle w:val="TabellHode-rad"/>
            </w:pPr>
            <w:r w:rsidRPr="00346CBB">
              <w:t>2021</w:t>
            </w:r>
          </w:p>
        </w:tc>
        <w:tc>
          <w:tcPr>
            <w:tcW w:w="83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94398C1" w14:textId="77777777" w:rsidR="003953D6" w:rsidRPr="00346CBB" w:rsidRDefault="003953D6" w:rsidP="00346CBB">
            <w:pPr>
              <w:jc w:val="right"/>
            </w:pPr>
            <w:r w:rsidRPr="00346CBB">
              <w:t>172 718</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1480212" w14:textId="77777777" w:rsidR="003953D6" w:rsidRPr="00346CBB" w:rsidRDefault="003953D6" w:rsidP="00346CBB">
            <w:pPr>
              <w:jc w:val="right"/>
            </w:pPr>
            <w:r w:rsidRPr="00346CBB">
              <w:t>7 859</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2846432" w14:textId="77777777" w:rsidR="003953D6" w:rsidRPr="00346CBB" w:rsidRDefault="003953D6" w:rsidP="00346CBB">
            <w:pPr>
              <w:jc w:val="right"/>
            </w:pPr>
            <w:r w:rsidRPr="00346CBB">
              <w:t>111</w:t>
            </w:r>
          </w:p>
        </w:tc>
        <w:tc>
          <w:tcPr>
            <w:tcW w:w="9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C04D583" w14:textId="77777777" w:rsidR="003953D6" w:rsidRPr="00346CBB" w:rsidRDefault="003953D6" w:rsidP="00346CBB">
            <w:pPr>
              <w:jc w:val="right"/>
            </w:pPr>
            <w:r w:rsidRPr="00346CBB">
              <w:t>176</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07FEC77" w14:textId="77777777" w:rsidR="003953D6" w:rsidRPr="00346CBB" w:rsidRDefault="003953D6" w:rsidP="00346CBB">
            <w:pPr>
              <w:jc w:val="right"/>
            </w:pPr>
            <w:r w:rsidRPr="00346CBB">
              <w:t>6 018</w:t>
            </w:r>
          </w:p>
        </w:tc>
      </w:tr>
      <w:tr w:rsidR="00A4769D" w:rsidRPr="00346CBB" w14:paraId="32574E7E" w14:textId="77777777" w:rsidTr="00346CBB">
        <w:trPr>
          <w:trHeight w:val="396"/>
        </w:trPr>
        <w:tc>
          <w:tcPr>
            <w:tcW w:w="5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AE459D8" w14:textId="77777777" w:rsidR="003953D6" w:rsidRPr="00346CBB" w:rsidRDefault="003953D6" w:rsidP="00346CBB">
            <w:pPr>
              <w:pStyle w:val="TabellHode-rad"/>
            </w:pPr>
            <w:r w:rsidRPr="00346CBB">
              <w:t>2022</w:t>
            </w:r>
          </w:p>
        </w:tc>
        <w:tc>
          <w:tcPr>
            <w:tcW w:w="83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5578525" w14:textId="77777777" w:rsidR="003953D6" w:rsidRPr="00346CBB" w:rsidRDefault="003953D6" w:rsidP="00346CBB">
            <w:pPr>
              <w:jc w:val="right"/>
            </w:pPr>
            <w:r w:rsidRPr="00346CBB">
              <w:t>177 974</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99B8F77" w14:textId="77777777" w:rsidR="003953D6" w:rsidRPr="00346CBB" w:rsidRDefault="003953D6" w:rsidP="00346CBB">
            <w:pPr>
              <w:jc w:val="right"/>
            </w:pPr>
            <w:r w:rsidRPr="00346CBB">
              <w:t>7 260</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FDBBCD2" w14:textId="77777777" w:rsidR="003953D6" w:rsidRPr="00346CBB" w:rsidRDefault="003953D6" w:rsidP="00346CBB">
            <w:pPr>
              <w:jc w:val="right"/>
            </w:pPr>
            <w:r w:rsidRPr="00346CBB">
              <w:t>263</w:t>
            </w:r>
          </w:p>
        </w:tc>
        <w:tc>
          <w:tcPr>
            <w:tcW w:w="9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BE7900A" w14:textId="77777777" w:rsidR="003953D6" w:rsidRPr="00346CBB" w:rsidRDefault="003953D6" w:rsidP="00346CBB">
            <w:pPr>
              <w:jc w:val="right"/>
            </w:pPr>
            <w:r w:rsidRPr="00346CBB">
              <w:t>181</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D8DC1FA" w14:textId="77777777" w:rsidR="003953D6" w:rsidRPr="00346CBB" w:rsidRDefault="003953D6" w:rsidP="00346CBB">
            <w:pPr>
              <w:jc w:val="right"/>
            </w:pPr>
            <w:r w:rsidRPr="00346CBB">
              <w:t>3 377</w:t>
            </w:r>
          </w:p>
        </w:tc>
      </w:tr>
      <w:tr w:rsidR="00A4769D" w:rsidRPr="00346CBB" w14:paraId="61FA6A42" w14:textId="77777777" w:rsidTr="00346CBB">
        <w:trPr>
          <w:trHeight w:val="396"/>
        </w:trPr>
        <w:tc>
          <w:tcPr>
            <w:tcW w:w="5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A6AF3DD" w14:textId="77777777" w:rsidR="003953D6" w:rsidRPr="00346CBB" w:rsidRDefault="003953D6" w:rsidP="00346CBB">
            <w:pPr>
              <w:pStyle w:val="TabellHode-rad"/>
            </w:pPr>
            <w:r w:rsidRPr="00346CBB">
              <w:t>2023</w:t>
            </w:r>
          </w:p>
        </w:tc>
        <w:tc>
          <w:tcPr>
            <w:tcW w:w="83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41A590C" w14:textId="77777777" w:rsidR="003953D6" w:rsidRPr="00346CBB" w:rsidRDefault="003953D6" w:rsidP="00346CBB">
            <w:pPr>
              <w:jc w:val="right"/>
            </w:pPr>
            <w:r w:rsidRPr="00346CBB">
              <w:t>188 275</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1D7138E" w14:textId="77777777" w:rsidR="003953D6" w:rsidRPr="00346CBB" w:rsidRDefault="003953D6" w:rsidP="00346CBB">
            <w:pPr>
              <w:jc w:val="right"/>
            </w:pPr>
            <w:r w:rsidRPr="00346CBB">
              <w:t>11 314</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315DB2C" w14:textId="77777777" w:rsidR="003953D6" w:rsidRPr="00346CBB" w:rsidRDefault="003953D6" w:rsidP="00346CBB">
            <w:pPr>
              <w:jc w:val="right"/>
            </w:pPr>
            <w:r w:rsidRPr="00346CBB">
              <w:t>1 055</w:t>
            </w:r>
          </w:p>
        </w:tc>
        <w:tc>
          <w:tcPr>
            <w:tcW w:w="9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885DD61" w14:textId="77777777" w:rsidR="003953D6" w:rsidRPr="00346CBB" w:rsidRDefault="003953D6" w:rsidP="00346CBB">
            <w:pPr>
              <w:jc w:val="right"/>
            </w:pPr>
            <w:r w:rsidRPr="00346CBB">
              <w:t>230</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28ACD7F" w14:textId="77777777" w:rsidR="003953D6" w:rsidRPr="00346CBB" w:rsidRDefault="003953D6" w:rsidP="00346CBB">
            <w:pPr>
              <w:jc w:val="right"/>
            </w:pPr>
            <w:r w:rsidRPr="00346CBB">
              <w:t>9 425</w:t>
            </w:r>
          </w:p>
        </w:tc>
      </w:tr>
      <w:tr w:rsidR="00A4769D" w:rsidRPr="00346CBB" w14:paraId="7D10560A" w14:textId="77777777" w:rsidTr="00346CBB">
        <w:trPr>
          <w:trHeight w:val="396"/>
        </w:trPr>
        <w:tc>
          <w:tcPr>
            <w:tcW w:w="5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ECB601C" w14:textId="77777777" w:rsidR="003953D6" w:rsidRPr="00346CBB" w:rsidRDefault="003953D6" w:rsidP="00346CBB">
            <w:pPr>
              <w:pStyle w:val="TabellHode-rad"/>
            </w:pPr>
            <w:r w:rsidRPr="00346CBB">
              <w:t>2024</w:t>
            </w:r>
          </w:p>
        </w:tc>
        <w:tc>
          <w:tcPr>
            <w:tcW w:w="83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B32EEDC" w14:textId="77777777" w:rsidR="003953D6" w:rsidRPr="00346CBB" w:rsidRDefault="003953D6" w:rsidP="00346CBB">
            <w:pPr>
              <w:jc w:val="right"/>
            </w:pPr>
            <w:r w:rsidRPr="00346CBB">
              <w:t>203 565</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C023BD9" w14:textId="77777777" w:rsidR="003953D6" w:rsidRPr="00346CBB" w:rsidRDefault="003953D6" w:rsidP="00346CBB">
            <w:pPr>
              <w:jc w:val="right"/>
            </w:pPr>
            <w:r w:rsidRPr="00346CBB">
              <w:t>9 711</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CBECA12" w14:textId="77777777" w:rsidR="003953D6" w:rsidRPr="00346CBB" w:rsidRDefault="003953D6" w:rsidP="00346CBB">
            <w:pPr>
              <w:jc w:val="right"/>
            </w:pPr>
            <w:r w:rsidRPr="00346CBB">
              <w:t>1 774</w:t>
            </w:r>
          </w:p>
        </w:tc>
        <w:tc>
          <w:tcPr>
            <w:tcW w:w="9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E5B175D" w14:textId="77777777" w:rsidR="003953D6" w:rsidRPr="00346CBB" w:rsidRDefault="003953D6" w:rsidP="00346CBB">
            <w:pPr>
              <w:jc w:val="right"/>
            </w:pPr>
            <w:r w:rsidRPr="00346CBB">
              <w:t>213</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79C2A52" w14:textId="77777777" w:rsidR="003953D6" w:rsidRPr="00346CBB" w:rsidRDefault="003953D6" w:rsidP="00346CBB">
            <w:pPr>
              <w:jc w:val="right"/>
            </w:pPr>
            <w:r w:rsidRPr="00346CBB">
              <w:t>1 813</w:t>
            </w:r>
          </w:p>
        </w:tc>
      </w:tr>
      <w:tr w:rsidR="00A4769D" w:rsidRPr="00346CBB" w14:paraId="47EB5910" w14:textId="77777777" w:rsidTr="00346CBB">
        <w:trPr>
          <w:trHeight w:val="396"/>
        </w:trPr>
        <w:tc>
          <w:tcPr>
            <w:tcW w:w="5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6C1BE0F" w14:textId="77777777" w:rsidR="003953D6" w:rsidRPr="00346CBB" w:rsidRDefault="003953D6" w:rsidP="00346CBB">
            <w:pPr>
              <w:pStyle w:val="TabellHode-rad"/>
            </w:pPr>
            <w:r w:rsidRPr="00346CBB">
              <w:t>2025**</w:t>
            </w:r>
          </w:p>
        </w:tc>
        <w:tc>
          <w:tcPr>
            <w:tcW w:w="83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1A52C2E" w14:textId="77777777" w:rsidR="003953D6" w:rsidRPr="00346CBB" w:rsidRDefault="003953D6" w:rsidP="00346CBB">
            <w:pPr>
              <w:jc w:val="right"/>
            </w:pPr>
            <w:r w:rsidRPr="00346CBB">
              <w:t>214 728</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89C9563" w14:textId="77777777" w:rsidR="003953D6" w:rsidRPr="00346CBB" w:rsidRDefault="003953D6" w:rsidP="00346CBB">
            <w:pPr>
              <w:jc w:val="right"/>
            </w:pPr>
            <w:r w:rsidRPr="00346CBB">
              <w:t>6 420</w:t>
            </w: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A1BC50A" w14:textId="77777777" w:rsidR="003953D6" w:rsidRPr="00346CBB" w:rsidRDefault="003953D6" w:rsidP="00346CBB">
            <w:pPr>
              <w:jc w:val="right"/>
            </w:pPr>
            <w:r w:rsidRPr="00346CBB">
              <w:t>1 874</w:t>
            </w:r>
          </w:p>
        </w:tc>
        <w:tc>
          <w:tcPr>
            <w:tcW w:w="9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6630047" w14:textId="77777777" w:rsidR="003953D6" w:rsidRPr="00346CBB" w:rsidRDefault="003953D6" w:rsidP="00C9271A">
            <w:pPr>
              <w:jc w:val="right"/>
            </w:pPr>
          </w:p>
        </w:tc>
        <w:tc>
          <w:tcPr>
            <w:tcW w:w="91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F0E6FFE" w14:textId="77777777" w:rsidR="003953D6" w:rsidRPr="00346CBB" w:rsidRDefault="003953D6" w:rsidP="00346CBB">
            <w:pPr>
              <w:jc w:val="right"/>
            </w:pPr>
            <w:r w:rsidRPr="00346CBB">
              <w:t>78</w:t>
            </w:r>
          </w:p>
        </w:tc>
      </w:tr>
    </w:tbl>
    <w:p w14:paraId="2AC482F8" w14:textId="77777777" w:rsidR="003953D6" w:rsidRPr="00346CBB" w:rsidRDefault="003953D6" w:rsidP="00C9271A">
      <w:pPr>
        <w:jc w:val="right"/>
      </w:pPr>
    </w:p>
    <w:p w14:paraId="4FE13ADC" w14:textId="77777777" w:rsidR="003953D6" w:rsidRPr="00346CBB" w:rsidRDefault="003953D6" w:rsidP="00346CBB">
      <w:pPr>
        <w:pStyle w:val="Note"/>
      </w:pPr>
      <w:r w:rsidRPr="00346CBB">
        <w:t>*</w:t>
      </w:r>
      <w:r w:rsidRPr="00346CBB">
        <w:tab/>
        <w:t>I perioden fram til ferdigstillelse av prosjektene vil renter på investeringslån påløpe og belastes, men ikke betales av helseforetakene. Dette innebærer at disse rentene blir tillagt låneporteføljene til de regionale helseforetakene. Tilsvarende inntekter budsjetteres på Finansdepartements budsjett (kap. 5605, post 84).</w:t>
      </w:r>
    </w:p>
    <w:p w14:paraId="0E9BF0CD" w14:textId="77777777" w:rsidR="003953D6" w:rsidRPr="00346CBB" w:rsidRDefault="003953D6" w:rsidP="00346CBB">
      <w:pPr>
        <w:pStyle w:val="Note"/>
      </w:pPr>
      <w:r w:rsidRPr="00346CBB">
        <w:t xml:space="preserve">** Tallene for 2025 er etter forslag til revidert nasjonalbudsjett 2025, jf. Prop. 146 S (2024–2025). Regjeringen foreslår blant annet å øke bevilgningen til </w:t>
      </w:r>
      <w:r w:rsidRPr="00346CBB">
        <w:lastRenderedPageBreak/>
        <w:t>laboratorie- og radiologiske undersøkelser (kap. 732, post 77) med 867 mill. kroner som følge av høyere aktivitet.</w:t>
      </w:r>
    </w:p>
    <w:p w14:paraId="0F71AB03" w14:textId="77777777" w:rsidR="003953D6" w:rsidRPr="00346CBB" w:rsidRDefault="003953D6" w:rsidP="00346CBB">
      <w:pPr>
        <w:pStyle w:val="Kilde"/>
      </w:pPr>
      <w:r w:rsidRPr="00346CBB">
        <w:t>Kilde: Statsregnskapet, vedtatt statsbudsjett 2025 og Prop. 146 S (2024–2025).</w:t>
      </w:r>
    </w:p>
    <w:p w14:paraId="16BA50F5" w14:textId="76EACDF3" w:rsidR="003953D6" w:rsidRPr="00346CBB" w:rsidRDefault="003953D6" w:rsidP="00346CBB">
      <w:r w:rsidRPr="00346CBB">
        <w:t>Driftsbevilgningene til de regionale helseforetakene posteres på kapittel 732 Regionale helseforetak, postene 70 til 80, i statsbudsjettet. Postene er basisbevilgninger, øremerkede tilskudd til blant annet forskning og aktivitetsbaserte tilskudd (innsatsstyrt finansiering, laboratorie- og radiologiske refusjoner og kompensasjon for merverdiavgift). De regionale helseforetakene har ansvar for drift og investeringer innenfor samlet bevilgning på kapittel 732. Midler til å dekke kapitalkostnader og kostnader til vedlikehold inngår som en del av de samlede bevilgningene og er ikke øremerket.</w:t>
      </w:r>
    </w:p>
    <w:p w14:paraId="04C089B2" w14:textId="77777777" w:rsidR="003953D6" w:rsidRPr="00346CBB" w:rsidRDefault="003953D6" w:rsidP="00346CBB">
      <w:r w:rsidRPr="00346CBB">
        <w:t>Utvalget har lagt til grunn et inntektsbegrep som avgrenses til driftsbevilgningene over kap. 732, postene 70 til 80. Inntektsbegrepet inkluderer ikke lånebevilgninger. Lånebevilgningene vil over tid motsvares av tilsvarende tilbakebetalinger med rente, og representerer dermed ingen netto inntektsøkning for de regionale helseforetakene over tid. I tillegg til ordinære lån til investeringer får helseforetakene bevilget driftskreditt for å håndtere svingninger i forholdet mellom pensjonskostnader og -premier (premieavvik). Se også omtale i kapittel 5 om den økonomiske situasjonen.</w:t>
      </w:r>
    </w:p>
    <w:p w14:paraId="696F181A" w14:textId="77777777" w:rsidR="003953D6" w:rsidRPr="00346CBB" w:rsidRDefault="003953D6" w:rsidP="00346CBB">
      <w:r w:rsidRPr="00346CBB">
        <w:t>Størrelsen på bevilgningene fastsettes av Stortinget. Endringene i driftsbevilgningene mellom år skyldes flere forhold. Bevilgningene justeres for pris- og lønnsvekst. Videre vil merkostnader som følge av demografiske endringer, høyere aktivitetsnivå, nye oppgaver som tilføres helseforetakene og engangsbevilgninger, påvirke bevilgningsnivået. Eksempel på nye oppgaver kan være overføring av finansieringsansvar for legemidler fra folketrygden. Endringer i pensjonskostnader påvirker også bevilgningsnivået.</w:t>
      </w:r>
    </w:p>
    <w:tbl>
      <w:tblPr>
        <w:tblStyle w:val="StandardBoks"/>
        <w:tblW w:w="5000" w:type="pct"/>
        <w:tblLook w:val="04A0" w:firstRow="1" w:lastRow="0" w:firstColumn="1" w:lastColumn="0" w:noHBand="0" w:noVBand="1"/>
      </w:tblPr>
      <w:tblGrid>
        <w:gridCol w:w="8220"/>
      </w:tblGrid>
      <w:tr w:rsidR="00A4769D" w:rsidRPr="00346CBB" w14:paraId="3C5F1B75" w14:textId="77777777" w:rsidTr="00346CBB">
        <w:trPr>
          <w:trHeight w:val="60"/>
        </w:trPr>
        <w:tc>
          <w:tcPr>
            <w:tcW w:w="5000" w:type="pct"/>
          </w:tcPr>
          <w:p w14:paraId="65FC7E40" w14:textId="77777777" w:rsidR="003953D6" w:rsidRPr="00346CBB" w:rsidRDefault="003953D6" w:rsidP="00346CBB">
            <w:pPr>
              <w:pStyle w:val="tittel-ramme"/>
              <w:rPr>
                <w:rStyle w:val="halvfet"/>
              </w:rPr>
            </w:pPr>
            <w:r w:rsidRPr="00346CBB">
              <w:rPr>
                <w:rStyle w:val="halvfet"/>
              </w:rPr>
              <w:lastRenderedPageBreak/>
              <w:t>Beregning av realveksten i driftsbevilgningene</w:t>
            </w:r>
          </w:p>
          <w:p w14:paraId="2284512B" w14:textId="77777777" w:rsidR="003953D6" w:rsidRPr="00346CBB" w:rsidRDefault="003953D6" w:rsidP="00346CBB">
            <w:r w:rsidRPr="00346CBB">
              <w:t>Utviklingen i driftsbevilgningene til de regionale helseforetakene, vist i tabell 3.1, korrigeres for flere forhold for å få fram den reelle endringen i det økonomiske handlingsrommet for sammenlignbare ansvarsforhold mellom år, heretter omtalt som realveksten. I beskrivelsen av realveksten i perioden 2015 til 2025 korrigeres følgende:</w:t>
            </w:r>
          </w:p>
          <w:p w14:paraId="492A9206" w14:textId="77777777" w:rsidR="003953D6" w:rsidRPr="00346CBB" w:rsidRDefault="003953D6" w:rsidP="00346CBB">
            <w:pPr>
              <w:pStyle w:val="Liste"/>
            </w:pPr>
            <w:r w:rsidRPr="00346CBB">
              <w:t>Pris- og lønnsvekst (</w:t>
            </w:r>
            <w:proofErr w:type="spellStart"/>
            <w:r w:rsidRPr="00346CBB">
              <w:t>deflator</w:t>
            </w:r>
            <w:proofErr w:type="spellEnd"/>
            <w:r w:rsidRPr="00346CBB">
              <w:t>).</w:t>
            </w:r>
          </w:p>
          <w:p w14:paraId="0130BAE3" w14:textId="77777777" w:rsidR="003953D6" w:rsidRPr="00346CBB" w:rsidRDefault="003953D6" w:rsidP="00346CBB">
            <w:pPr>
              <w:pStyle w:val="Liste"/>
            </w:pPr>
            <w:r w:rsidRPr="00346CBB">
              <w:t>Pensjonskostnader. Endringer i pensjonskostnader håndteres særskilt og påvirker ikke handlingsrommet samlet sett.</w:t>
            </w:r>
          </w:p>
          <w:p w14:paraId="457E4D9D" w14:textId="77777777" w:rsidR="003953D6" w:rsidRPr="00346CBB" w:rsidRDefault="003953D6" w:rsidP="00346CBB">
            <w:pPr>
              <w:pStyle w:val="Liste"/>
            </w:pPr>
            <w:r w:rsidRPr="00346CBB">
              <w:t>Oppgaveendringer. Økte bevilgninger som følge av nye oppgaver til de regionale helseforetakene gir ikke økt handlingsrom. Det gjelder for eksempel overføring av finansieringsansvar for legemidler fra folketrygden.</w:t>
            </w:r>
          </w:p>
          <w:p w14:paraId="19744DE4" w14:textId="77777777" w:rsidR="003953D6" w:rsidRPr="00346CBB" w:rsidRDefault="003953D6" w:rsidP="00346CBB">
            <w:pPr>
              <w:pStyle w:val="Liste"/>
            </w:pPr>
            <w:r w:rsidRPr="00346CBB">
              <w:t>Engangsbevilgninger. Engangsbevilgninger vil over tid ikke påvirke inntektsnivået, men kun i det enkelte år.</w:t>
            </w:r>
          </w:p>
          <w:p w14:paraId="1DDCD835" w14:textId="77777777" w:rsidR="003953D6" w:rsidRPr="00346CBB" w:rsidRDefault="003953D6" w:rsidP="00346CBB">
            <w:r w:rsidRPr="00346CBB">
              <w:t>Realveksten i driftsbevilgningene er illustrert og omtalt i kapittel 3.2.</w:t>
            </w:r>
          </w:p>
        </w:tc>
      </w:tr>
    </w:tbl>
    <w:p w14:paraId="27AD25CE" w14:textId="77777777" w:rsidR="003953D6" w:rsidRPr="00346CBB" w:rsidRDefault="003953D6" w:rsidP="00346CBB"/>
    <w:p w14:paraId="3890228F" w14:textId="77777777" w:rsidR="003953D6" w:rsidRPr="00346CBB" w:rsidRDefault="003953D6" w:rsidP="00346CBB">
      <w:r w:rsidRPr="00346CBB">
        <w:t>I beregningen av realvekst korrigeres det for pris- og lønnsvekst (</w:t>
      </w:r>
      <w:proofErr w:type="spellStart"/>
      <w:r w:rsidRPr="00346CBB">
        <w:t>deflator</w:t>
      </w:r>
      <w:proofErr w:type="spellEnd"/>
      <w:r w:rsidRPr="00346CBB">
        <w:t xml:space="preserve">). Finansdepartementet lager anslag og beregninger på en rekke </w:t>
      </w:r>
      <w:proofErr w:type="spellStart"/>
      <w:r w:rsidRPr="00346CBB">
        <w:t>deflatorer</w:t>
      </w:r>
      <w:proofErr w:type="spellEnd"/>
      <w:r w:rsidRPr="00346CBB">
        <w:t xml:space="preserve"> blant annet for å vurdere realvekst i bevilgningene. Beregningene av </w:t>
      </w:r>
      <w:proofErr w:type="spellStart"/>
      <w:r w:rsidRPr="00346CBB">
        <w:t>deflatoren</w:t>
      </w:r>
      <w:proofErr w:type="spellEnd"/>
      <w:r w:rsidRPr="00346CBB">
        <w:t xml:space="preserve"> er basert på publiserte regnskapstall og prisindekser fra SSB, og omfatter også bevilgningene til de regionale helseforetakene. </w:t>
      </w:r>
      <w:proofErr w:type="spellStart"/>
      <w:r w:rsidRPr="00346CBB">
        <w:t>Deflatoren</w:t>
      </w:r>
      <w:proofErr w:type="spellEnd"/>
      <w:r w:rsidRPr="00346CBB">
        <w:t xml:space="preserve"> er en integrert del av tallgrunnlaget til de årlige nasjonalbudsjettene og statsbudsjettene. Utvalget legger til grunn Finansdepartementets beregninger og anslag på </w:t>
      </w:r>
      <w:proofErr w:type="spellStart"/>
      <w:r w:rsidRPr="00346CBB">
        <w:t>deflatoren</w:t>
      </w:r>
      <w:proofErr w:type="spellEnd"/>
      <w:r w:rsidRPr="00346CBB">
        <w:t xml:space="preserve"> i beskrivelsen av realvekst.</w:t>
      </w:r>
    </w:p>
    <w:p w14:paraId="0C8A8FCF" w14:textId="77777777" w:rsidR="003953D6" w:rsidRPr="00346CBB" w:rsidRDefault="003953D6" w:rsidP="00346CBB">
      <w:r w:rsidRPr="00346CBB">
        <w:t xml:space="preserve">Utvalget viste i sin desember 2024-rapport til at det var enkelte sider ved beregningen av </w:t>
      </w:r>
      <w:proofErr w:type="spellStart"/>
      <w:r w:rsidRPr="00346CBB">
        <w:t>deflatoren</w:t>
      </w:r>
      <w:proofErr w:type="spellEnd"/>
      <w:r w:rsidRPr="00346CBB">
        <w:t xml:space="preserve"> for spesialisthelsetjenesten som burde vurderes nærmere. Utvalget viste til regnskapsgrunnlaget som brukes for å fastsette vektene i prisvekstberegningen, bruk av faste vekter i </w:t>
      </w:r>
      <w:proofErr w:type="spellStart"/>
      <w:r w:rsidRPr="00346CBB">
        <w:t>sammenvektingen</w:t>
      </w:r>
      <w:proofErr w:type="spellEnd"/>
      <w:r w:rsidRPr="00346CBB">
        <w:t xml:space="preserve"> av lønnsvekst og prisvekst, samt manglende </w:t>
      </w:r>
      <w:proofErr w:type="spellStart"/>
      <w:r w:rsidRPr="00346CBB">
        <w:t>innvekting</w:t>
      </w:r>
      <w:proofErr w:type="spellEnd"/>
      <w:r w:rsidRPr="00346CBB">
        <w:t xml:space="preserve"> av investeringer.</w:t>
      </w:r>
    </w:p>
    <w:p w14:paraId="3ABBB318" w14:textId="77777777" w:rsidR="003953D6" w:rsidRPr="00346CBB" w:rsidRDefault="003953D6" w:rsidP="00346CBB">
      <w:r w:rsidRPr="00346CBB">
        <w:lastRenderedPageBreak/>
        <w:t xml:space="preserve">Finansdepartementet har i forbindelse med revidert nasjonalbudsjett 2025 justert metoden for beregning av </w:t>
      </w:r>
      <w:proofErr w:type="spellStart"/>
      <w:r w:rsidRPr="00346CBB">
        <w:t>deflatoren</w:t>
      </w:r>
      <w:proofErr w:type="spellEnd"/>
      <w:r w:rsidRPr="00346CBB">
        <w:t xml:space="preserve">. I den gamle metoden ble det brukt en fast sjablongvekt på 70/30 i forholdet mellom lønnsvekst og prisvekst på produktinnsats. Dette er endret slik at det ikke lenger er et fast forhold. For 2025 er lønnsandelen 55 prosent. Se beskrivelse i vedlegg 1, 2 og 5. Disse endringene ivaretar utvalgets innspill i desember 2024-rapporten. </w:t>
      </w:r>
      <w:proofErr w:type="spellStart"/>
      <w:r w:rsidRPr="00346CBB">
        <w:t>Deflatoren</w:t>
      </w:r>
      <w:proofErr w:type="spellEnd"/>
      <w:r w:rsidRPr="00346CBB">
        <w:t xml:space="preserve"> i tabell 3.2 og beskrivelsen av realvekst i kapittel 3.2 er basert på den nye beregningsmetoden.</w:t>
      </w:r>
    </w:p>
    <w:p w14:paraId="4DD270B7" w14:textId="77777777" w:rsidR="003953D6" w:rsidRPr="00346CBB" w:rsidRDefault="003953D6" w:rsidP="00346CBB">
      <w:r w:rsidRPr="00346CBB">
        <w:t xml:space="preserve">Faktisk </w:t>
      </w:r>
      <w:proofErr w:type="spellStart"/>
      <w:r w:rsidRPr="00346CBB">
        <w:t>deflator</w:t>
      </w:r>
      <w:proofErr w:type="spellEnd"/>
      <w:r w:rsidRPr="00346CBB">
        <w:t xml:space="preserve"> for 2024 er beregnet til 4,6 prosent, mot 4,5 prosent lagt til grunn i utvalgets rapport i desember 2024. Økningen i </w:t>
      </w:r>
      <w:proofErr w:type="spellStart"/>
      <w:r w:rsidRPr="00346CBB">
        <w:t>deflatoren</w:t>
      </w:r>
      <w:proofErr w:type="spellEnd"/>
      <w:r w:rsidRPr="00346CBB">
        <w:t xml:space="preserve"> for 2024 sammenlignet med anslaget som lå til grunn for kompensasjonen i Prop. 1 S (2024–2025) kan forklares med at lønns- og prisveksten ble noe høyere enn tidligere anslått.</w:t>
      </w:r>
    </w:p>
    <w:p w14:paraId="1D3B03E2" w14:textId="77777777" w:rsidR="003953D6" w:rsidRPr="00346CBB" w:rsidRDefault="003953D6" w:rsidP="00346CBB">
      <w:r w:rsidRPr="00346CBB">
        <w:t xml:space="preserve">Finansdepartementet har oppdatert </w:t>
      </w:r>
      <w:proofErr w:type="spellStart"/>
      <w:r w:rsidRPr="00346CBB">
        <w:t>deflatoranslaget</w:t>
      </w:r>
      <w:proofErr w:type="spellEnd"/>
      <w:r w:rsidRPr="00346CBB">
        <w:t xml:space="preserve"> for 2025 til 3,6 prosent i forbindelse med revidert nasjonalbudsjett 2025. Anslaget for 2025 i Prop. 1 S (2024–2025) var 4,1 prosent. Reduksjonen i </w:t>
      </w:r>
      <w:proofErr w:type="spellStart"/>
      <w:r w:rsidRPr="00346CBB">
        <w:t>deflatoren</w:t>
      </w:r>
      <w:proofErr w:type="spellEnd"/>
      <w:r w:rsidRPr="00346CBB">
        <w:t xml:space="preserve"> kan i hovedsak forklares med at det nye anslaget for lønnsvekst er nedjustert med effekten av avviklingen av den ekstra arbeidsgiveravgiften og at lønnskostnader nå vektes lavere i </w:t>
      </w:r>
      <w:proofErr w:type="spellStart"/>
      <w:r w:rsidRPr="00346CBB">
        <w:t>deflatoren</w:t>
      </w:r>
      <w:proofErr w:type="spellEnd"/>
      <w:r w:rsidRPr="00346CBB">
        <w:t>.</w:t>
      </w:r>
    </w:p>
    <w:p w14:paraId="7C10C20D" w14:textId="77777777" w:rsidR="003953D6" w:rsidRPr="00346CBB" w:rsidRDefault="003953D6" w:rsidP="00346CBB">
      <w:pPr>
        <w:pStyle w:val="tabell-tittel"/>
      </w:pPr>
      <w:proofErr w:type="spellStart"/>
      <w:r w:rsidRPr="00346CBB">
        <w:t>Deflator</w:t>
      </w:r>
      <w:proofErr w:type="spellEnd"/>
      <w:r w:rsidRPr="00346CBB">
        <w:t xml:space="preserve"> for spesialisthelsetjenesten anslått av Finansdepartementet. 2015 til 2025.</w:t>
      </w:r>
    </w:p>
    <w:tbl>
      <w:tblPr>
        <w:tblW w:w="5000" w:type="pct"/>
        <w:tblCellMar>
          <w:left w:w="0" w:type="dxa"/>
          <w:right w:w="0" w:type="dxa"/>
        </w:tblCellMar>
        <w:tblLook w:val="0000" w:firstRow="0" w:lastRow="0" w:firstColumn="0" w:lastColumn="0" w:noHBand="0" w:noVBand="0"/>
      </w:tblPr>
      <w:tblGrid>
        <w:gridCol w:w="1216"/>
        <w:gridCol w:w="2333"/>
        <w:gridCol w:w="2334"/>
        <w:gridCol w:w="2331"/>
      </w:tblGrid>
      <w:tr w:rsidR="00A4769D" w:rsidRPr="00346CBB" w14:paraId="4B96329E" w14:textId="77777777" w:rsidTr="00346CBB">
        <w:trPr>
          <w:trHeight w:val="396"/>
          <w:tblHeader/>
        </w:trPr>
        <w:tc>
          <w:tcPr>
            <w:tcW w:w="74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9F15B78" w14:textId="77777777" w:rsidR="003953D6" w:rsidRPr="00346CBB" w:rsidRDefault="003953D6" w:rsidP="00C9271A">
            <w:pPr>
              <w:jc w:val="right"/>
            </w:pPr>
          </w:p>
        </w:tc>
        <w:tc>
          <w:tcPr>
            <w:tcW w:w="142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B4ED00E" w14:textId="77777777" w:rsidR="003953D6" w:rsidRPr="00346CBB" w:rsidRDefault="003953D6" w:rsidP="00346CBB">
            <w:pPr>
              <w:pStyle w:val="TabellHode-kolonne"/>
              <w:jc w:val="right"/>
            </w:pPr>
            <w:r w:rsidRPr="00346CBB">
              <w:t xml:space="preserve">Faktisk </w:t>
            </w:r>
            <w:proofErr w:type="spellStart"/>
            <w:r w:rsidRPr="00346CBB">
              <w:t>deflator</w:t>
            </w:r>
            <w:proofErr w:type="spellEnd"/>
            <w:r w:rsidRPr="00346CBB">
              <w:t xml:space="preserve"> </w:t>
            </w:r>
            <w:r w:rsidRPr="00346CBB">
              <w:br/>
              <w:t>gammel metode</w:t>
            </w:r>
          </w:p>
        </w:tc>
        <w:tc>
          <w:tcPr>
            <w:tcW w:w="142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9906B2D" w14:textId="77777777" w:rsidR="003953D6" w:rsidRPr="00346CBB" w:rsidRDefault="003953D6" w:rsidP="00346CBB">
            <w:pPr>
              <w:pStyle w:val="TabellHode-kolonne"/>
              <w:jc w:val="right"/>
            </w:pPr>
            <w:r w:rsidRPr="00346CBB">
              <w:t xml:space="preserve">Faktisk </w:t>
            </w:r>
            <w:proofErr w:type="spellStart"/>
            <w:r w:rsidRPr="00346CBB">
              <w:t>deflator</w:t>
            </w:r>
            <w:proofErr w:type="spellEnd"/>
            <w:r w:rsidRPr="00346CBB">
              <w:t xml:space="preserve"> </w:t>
            </w:r>
            <w:r w:rsidRPr="00346CBB">
              <w:br/>
              <w:t>ny metode</w:t>
            </w:r>
          </w:p>
        </w:tc>
        <w:tc>
          <w:tcPr>
            <w:tcW w:w="142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46C58C5" w14:textId="77777777" w:rsidR="003953D6" w:rsidRPr="00346CBB" w:rsidRDefault="003953D6" w:rsidP="00346CBB">
            <w:pPr>
              <w:pStyle w:val="TabellHode-kolonne"/>
              <w:jc w:val="right"/>
            </w:pPr>
            <w:proofErr w:type="spellStart"/>
            <w:r w:rsidRPr="00346CBB">
              <w:t>Deflator</w:t>
            </w:r>
            <w:proofErr w:type="spellEnd"/>
            <w:r w:rsidRPr="00346CBB">
              <w:t xml:space="preserve"> i </w:t>
            </w:r>
            <w:proofErr w:type="spellStart"/>
            <w:r w:rsidRPr="00346CBB">
              <w:t>Prop</w:t>
            </w:r>
            <w:proofErr w:type="spellEnd"/>
            <w:r w:rsidRPr="00346CBB">
              <w:t xml:space="preserve">. 1 S </w:t>
            </w:r>
            <w:r w:rsidRPr="00346CBB">
              <w:br/>
              <w:t>for år t</w:t>
            </w:r>
          </w:p>
        </w:tc>
      </w:tr>
      <w:tr w:rsidR="00A4769D" w:rsidRPr="00346CBB" w14:paraId="344BCD18" w14:textId="77777777" w:rsidTr="00346CBB">
        <w:trPr>
          <w:trHeight w:val="396"/>
        </w:trPr>
        <w:tc>
          <w:tcPr>
            <w:tcW w:w="74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C20A1F3" w14:textId="77777777" w:rsidR="003953D6" w:rsidRPr="00346CBB" w:rsidRDefault="003953D6" w:rsidP="00346CBB">
            <w:pPr>
              <w:pStyle w:val="TabellHode-rad"/>
            </w:pPr>
            <w:r w:rsidRPr="00346CBB">
              <w:t>2015</w:t>
            </w:r>
          </w:p>
        </w:tc>
        <w:tc>
          <w:tcPr>
            <w:tcW w:w="142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AF1DD36" w14:textId="77777777" w:rsidR="003953D6" w:rsidRPr="00346CBB" w:rsidRDefault="003953D6" w:rsidP="00346CBB">
            <w:pPr>
              <w:jc w:val="right"/>
            </w:pPr>
            <w:r w:rsidRPr="00346CBB">
              <w:t>2,5</w:t>
            </w:r>
          </w:p>
        </w:tc>
        <w:tc>
          <w:tcPr>
            <w:tcW w:w="142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BC05D12" w14:textId="77777777" w:rsidR="003953D6" w:rsidRPr="00346CBB" w:rsidRDefault="003953D6" w:rsidP="00346CBB">
            <w:pPr>
              <w:jc w:val="right"/>
            </w:pPr>
            <w:r w:rsidRPr="00346CBB">
              <w:t>2,2</w:t>
            </w:r>
          </w:p>
        </w:tc>
        <w:tc>
          <w:tcPr>
            <w:tcW w:w="142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DBF7080" w14:textId="77777777" w:rsidR="003953D6" w:rsidRPr="00346CBB" w:rsidRDefault="003953D6" w:rsidP="00346CBB">
            <w:pPr>
              <w:jc w:val="right"/>
            </w:pPr>
            <w:r w:rsidRPr="00346CBB">
              <w:t>3,1</w:t>
            </w:r>
          </w:p>
        </w:tc>
      </w:tr>
      <w:tr w:rsidR="00A4769D" w:rsidRPr="00346CBB" w14:paraId="1B9DE6A2" w14:textId="77777777" w:rsidTr="00346CBB">
        <w:trPr>
          <w:trHeight w:val="396"/>
        </w:trPr>
        <w:tc>
          <w:tcPr>
            <w:tcW w:w="74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B07EF74" w14:textId="77777777" w:rsidR="003953D6" w:rsidRPr="00346CBB" w:rsidRDefault="003953D6" w:rsidP="00346CBB">
            <w:pPr>
              <w:pStyle w:val="TabellHode-rad"/>
            </w:pPr>
            <w:r w:rsidRPr="00346CBB">
              <w:t>2016</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A7A17E5" w14:textId="77777777" w:rsidR="003953D6" w:rsidRPr="00346CBB" w:rsidRDefault="003953D6" w:rsidP="00346CBB">
            <w:pPr>
              <w:jc w:val="right"/>
            </w:pPr>
            <w:r w:rsidRPr="00346CBB">
              <w:t>2,5</w:t>
            </w:r>
          </w:p>
        </w:tc>
        <w:tc>
          <w:tcPr>
            <w:tcW w:w="14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8F39578" w14:textId="77777777" w:rsidR="003953D6" w:rsidRPr="00346CBB" w:rsidRDefault="003953D6" w:rsidP="00346CBB">
            <w:pPr>
              <w:jc w:val="right"/>
            </w:pPr>
            <w:r w:rsidRPr="00346CBB">
              <w:t>2,2</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3B9D7F0" w14:textId="77777777" w:rsidR="003953D6" w:rsidRPr="00346CBB" w:rsidRDefault="003953D6" w:rsidP="00346CBB">
            <w:pPr>
              <w:jc w:val="right"/>
            </w:pPr>
            <w:r w:rsidRPr="00346CBB">
              <w:t>2,7</w:t>
            </w:r>
          </w:p>
        </w:tc>
      </w:tr>
      <w:tr w:rsidR="00A4769D" w:rsidRPr="00346CBB" w14:paraId="3EE3CA39" w14:textId="77777777" w:rsidTr="00346CBB">
        <w:trPr>
          <w:trHeight w:val="396"/>
        </w:trPr>
        <w:tc>
          <w:tcPr>
            <w:tcW w:w="74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3A5A388" w14:textId="77777777" w:rsidR="003953D6" w:rsidRPr="00346CBB" w:rsidRDefault="003953D6" w:rsidP="00346CBB">
            <w:pPr>
              <w:pStyle w:val="TabellHode-rad"/>
            </w:pPr>
            <w:r w:rsidRPr="00346CBB">
              <w:t>2017</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47F413E" w14:textId="77777777" w:rsidR="003953D6" w:rsidRPr="00346CBB" w:rsidRDefault="003953D6" w:rsidP="00346CBB">
            <w:pPr>
              <w:jc w:val="right"/>
            </w:pPr>
            <w:r w:rsidRPr="00346CBB">
              <w:t>2,9</w:t>
            </w:r>
          </w:p>
        </w:tc>
        <w:tc>
          <w:tcPr>
            <w:tcW w:w="14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0F6C124" w14:textId="77777777" w:rsidR="003953D6" w:rsidRPr="00346CBB" w:rsidRDefault="003953D6" w:rsidP="00346CBB">
            <w:pPr>
              <w:jc w:val="right"/>
            </w:pPr>
            <w:r w:rsidRPr="00346CBB">
              <w:t>2,7</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55C3ED9" w14:textId="77777777" w:rsidR="003953D6" w:rsidRPr="00346CBB" w:rsidRDefault="003953D6" w:rsidP="00346CBB">
            <w:pPr>
              <w:jc w:val="right"/>
            </w:pPr>
            <w:r w:rsidRPr="00346CBB">
              <w:t>2,6</w:t>
            </w:r>
          </w:p>
        </w:tc>
      </w:tr>
      <w:tr w:rsidR="00A4769D" w:rsidRPr="00346CBB" w14:paraId="362AB644" w14:textId="77777777" w:rsidTr="00346CBB">
        <w:trPr>
          <w:trHeight w:val="396"/>
        </w:trPr>
        <w:tc>
          <w:tcPr>
            <w:tcW w:w="74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3D1B9CF" w14:textId="77777777" w:rsidR="003953D6" w:rsidRPr="00346CBB" w:rsidRDefault="003953D6" w:rsidP="00346CBB">
            <w:pPr>
              <w:pStyle w:val="TabellHode-rad"/>
            </w:pPr>
            <w:r w:rsidRPr="00346CBB">
              <w:t>2018</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FD21084" w14:textId="77777777" w:rsidR="003953D6" w:rsidRPr="00346CBB" w:rsidRDefault="003953D6" w:rsidP="00346CBB">
            <w:pPr>
              <w:jc w:val="right"/>
            </w:pPr>
            <w:r w:rsidRPr="00346CBB">
              <w:t>3,5</w:t>
            </w:r>
          </w:p>
        </w:tc>
        <w:tc>
          <w:tcPr>
            <w:tcW w:w="14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8D07B63" w14:textId="77777777" w:rsidR="003953D6" w:rsidRPr="00346CBB" w:rsidRDefault="003953D6" w:rsidP="00346CBB">
            <w:pPr>
              <w:jc w:val="right"/>
            </w:pPr>
            <w:r w:rsidRPr="00346CBB">
              <w:t>2,9</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11A39DE" w14:textId="77777777" w:rsidR="003953D6" w:rsidRPr="00346CBB" w:rsidRDefault="003953D6" w:rsidP="00346CBB">
            <w:pPr>
              <w:jc w:val="right"/>
            </w:pPr>
            <w:r w:rsidRPr="00346CBB">
              <w:t>2,7</w:t>
            </w:r>
          </w:p>
        </w:tc>
      </w:tr>
      <w:tr w:rsidR="00A4769D" w:rsidRPr="00346CBB" w14:paraId="267D9E38" w14:textId="77777777" w:rsidTr="00346CBB">
        <w:trPr>
          <w:trHeight w:val="396"/>
        </w:trPr>
        <w:tc>
          <w:tcPr>
            <w:tcW w:w="74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F9F2685" w14:textId="77777777" w:rsidR="003953D6" w:rsidRPr="00346CBB" w:rsidRDefault="003953D6" w:rsidP="00346CBB">
            <w:pPr>
              <w:pStyle w:val="TabellHode-rad"/>
            </w:pPr>
            <w:r w:rsidRPr="00346CBB">
              <w:lastRenderedPageBreak/>
              <w:t>2019</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79591A9" w14:textId="77777777" w:rsidR="003953D6" w:rsidRPr="00346CBB" w:rsidRDefault="003953D6" w:rsidP="00346CBB">
            <w:pPr>
              <w:jc w:val="right"/>
            </w:pPr>
            <w:r w:rsidRPr="00346CBB">
              <w:t>3,1</w:t>
            </w:r>
          </w:p>
        </w:tc>
        <w:tc>
          <w:tcPr>
            <w:tcW w:w="14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001D5F8" w14:textId="77777777" w:rsidR="003953D6" w:rsidRPr="00346CBB" w:rsidRDefault="003953D6" w:rsidP="00346CBB">
            <w:pPr>
              <w:jc w:val="right"/>
            </w:pPr>
            <w:r w:rsidRPr="00346CBB">
              <w:t>3,0</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17A28D7" w14:textId="77777777" w:rsidR="003953D6" w:rsidRPr="00346CBB" w:rsidRDefault="003953D6" w:rsidP="00346CBB">
            <w:pPr>
              <w:jc w:val="right"/>
            </w:pPr>
            <w:r w:rsidRPr="00346CBB">
              <w:t>2,9</w:t>
            </w:r>
          </w:p>
        </w:tc>
      </w:tr>
      <w:tr w:rsidR="00A4769D" w:rsidRPr="00346CBB" w14:paraId="3A337AB8" w14:textId="77777777" w:rsidTr="00346CBB">
        <w:trPr>
          <w:trHeight w:val="396"/>
        </w:trPr>
        <w:tc>
          <w:tcPr>
            <w:tcW w:w="74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C2B9114" w14:textId="77777777" w:rsidR="003953D6" w:rsidRPr="00346CBB" w:rsidRDefault="003953D6" w:rsidP="00346CBB">
            <w:pPr>
              <w:pStyle w:val="TabellHode-rad"/>
            </w:pPr>
            <w:r w:rsidRPr="00346CBB">
              <w:t>2020</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E6971B9" w14:textId="77777777" w:rsidR="003953D6" w:rsidRPr="00346CBB" w:rsidRDefault="003953D6" w:rsidP="00346CBB">
            <w:pPr>
              <w:jc w:val="right"/>
            </w:pPr>
            <w:r w:rsidRPr="00346CBB">
              <w:t>1,4</w:t>
            </w:r>
          </w:p>
        </w:tc>
        <w:tc>
          <w:tcPr>
            <w:tcW w:w="14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E3CAEA8" w14:textId="77777777" w:rsidR="003953D6" w:rsidRPr="00346CBB" w:rsidRDefault="003953D6" w:rsidP="00346CBB">
            <w:pPr>
              <w:jc w:val="right"/>
            </w:pPr>
            <w:r w:rsidRPr="00346CBB">
              <w:t>1,6</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90544F6" w14:textId="77777777" w:rsidR="003953D6" w:rsidRPr="00346CBB" w:rsidRDefault="003953D6" w:rsidP="00346CBB">
            <w:pPr>
              <w:jc w:val="right"/>
            </w:pPr>
            <w:r w:rsidRPr="00346CBB">
              <w:t>3,1</w:t>
            </w:r>
          </w:p>
        </w:tc>
      </w:tr>
      <w:tr w:rsidR="00A4769D" w:rsidRPr="00346CBB" w14:paraId="5F673AB4" w14:textId="77777777" w:rsidTr="00346CBB">
        <w:trPr>
          <w:trHeight w:val="396"/>
        </w:trPr>
        <w:tc>
          <w:tcPr>
            <w:tcW w:w="74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3F7A727" w14:textId="77777777" w:rsidR="003953D6" w:rsidRPr="00346CBB" w:rsidRDefault="003953D6" w:rsidP="00346CBB">
            <w:pPr>
              <w:pStyle w:val="TabellHode-rad"/>
            </w:pPr>
            <w:r w:rsidRPr="00346CBB">
              <w:t>2021</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ED479DB" w14:textId="77777777" w:rsidR="003953D6" w:rsidRPr="00346CBB" w:rsidRDefault="003953D6" w:rsidP="00346CBB">
            <w:pPr>
              <w:jc w:val="right"/>
            </w:pPr>
            <w:r w:rsidRPr="00346CBB">
              <w:t>4,9</w:t>
            </w:r>
          </w:p>
        </w:tc>
        <w:tc>
          <w:tcPr>
            <w:tcW w:w="14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853959C" w14:textId="77777777" w:rsidR="003953D6" w:rsidRPr="00346CBB" w:rsidRDefault="003953D6" w:rsidP="00346CBB">
            <w:pPr>
              <w:jc w:val="right"/>
            </w:pPr>
            <w:r w:rsidRPr="00346CBB">
              <w:t>3,4</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99F4D5A" w14:textId="77777777" w:rsidR="003953D6" w:rsidRPr="00346CBB" w:rsidRDefault="003953D6" w:rsidP="00346CBB">
            <w:pPr>
              <w:jc w:val="right"/>
            </w:pPr>
            <w:r w:rsidRPr="00346CBB">
              <w:t>2,6</w:t>
            </w:r>
          </w:p>
        </w:tc>
      </w:tr>
      <w:tr w:rsidR="00A4769D" w:rsidRPr="00346CBB" w14:paraId="477A8AD9" w14:textId="77777777" w:rsidTr="00346CBB">
        <w:trPr>
          <w:trHeight w:val="396"/>
        </w:trPr>
        <w:tc>
          <w:tcPr>
            <w:tcW w:w="74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643F066" w14:textId="77777777" w:rsidR="003953D6" w:rsidRPr="00346CBB" w:rsidRDefault="003953D6" w:rsidP="00346CBB">
            <w:pPr>
              <w:pStyle w:val="TabellHode-rad"/>
            </w:pPr>
            <w:r w:rsidRPr="00346CBB">
              <w:t>2022</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76A26D6" w14:textId="77777777" w:rsidR="003953D6" w:rsidRPr="00346CBB" w:rsidRDefault="003953D6" w:rsidP="00346CBB">
            <w:pPr>
              <w:jc w:val="right"/>
            </w:pPr>
            <w:r w:rsidRPr="00346CBB">
              <w:t>6,2</w:t>
            </w:r>
          </w:p>
        </w:tc>
        <w:tc>
          <w:tcPr>
            <w:tcW w:w="14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E60B8E8" w14:textId="77777777" w:rsidR="003953D6" w:rsidRPr="00346CBB" w:rsidRDefault="003953D6" w:rsidP="00346CBB">
            <w:pPr>
              <w:jc w:val="right"/>
            </w:pPr>
            <w:r w:rsidRPr="00346CBB">
              <w:t>5,1</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FA27BF6" w14:textId="77777777" w:rsidR="003953D6" w:rsidRPr="00346CBB" w:rsidRDefault="003953D6" w:rsidP="00346CBB">
            <w:pPr>
              <w:jc w:val="right"/>
            </w:pPr>
            <w:r w:rsidRPr="00346CBB">
              <w:t>2,7</w:t>
            </w:r>
          </w:p>
        </w:tc>
      </w:tr>
      <w:tr w:rsidR="00A4769D" w:rsidRPr="00346CBB" w14:paraId="25174D53" w14:textId="77777777" w:rsidTr="00346CBB">
        <w:trPr>
          <w:trHeight w:val="396"/>
        </w:trPr>
        <w:tc>
          <w:tcPr>
            <w:tcW w:w="74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32D71AF" w14:textId="77777777" w:rsidR="003953D6" w:rsidRPr="00346CBB" w:rsidRDefault="003953D6" w:rsidP="00346CBB">
            <w:pPr>
              <w:pStyle w:val="TabellHode-rad"/>
            </w:pPr>
            <w:r w:rsidRPr="00346CBB">
              <w:t>2023</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16F3206" w14:textId="77777777" w:rsidR="003953D6" w:rsidRPr="00346CBB" w:rsidRDefault="003953D6" w:rsidP="00346CBB">
            <w:pPr>
              <w:jc w:val="right"/>
            </w:pPr>
            <w:r w:rsidRPr="00346CBB">
              <w:t>4,5</w:t>
            </w:r>
          </w:p>
        </w:tc>
        <w:tc>
          <w:tcPr>
            <w:tcW w:w="14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1DED5C9" w14:textId="77777777" w:rsidR="003953D6" w:rsidRPr="00346CBB" w:rsidRDefault="003953D6" w:rsidP="00346CBB">
            <w:pPr>
              <w:jc w:val="right"/>
            </w:pPr>
            <w:r w:rsidRPr="00346CBB">
              <w:t>5,6*</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CBC7668" w14:textId="77777777" w:rsidR="003953D6" w:rsidRPr="00346CBB" w:rsidRDefault="003953D6" w:rsidP="00346CBB">
            <w:pPr>
              <w:jc w:val="right"/>
            </w:pPr>
            <w:r w:rsidRPr="00346CBB">
              <w:t>3,8 og 5,1 i RNB2023</w:t>
            </w:r>
          </w:p>
        </w:tc>
      </w:tr>
      <w:tr w:rsidR="00A4769D" w:rsidRPr="00346CBB" w14:paraId="50688994" w14:textId="77777777" w:rsidTr="00346CBB">
        <w:trPr>
          <w:trHeight w:val="396"/>
        </w:trPr>
        <w:tc>
          <w:tcPr>
            <w:tcW w:w="74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9FE1EF4" w14:textId="77777777" w:rsidR="003953D6" w:rsidRPr="00346CBB" w:rsidRDefault="003953D6" w:rsidP="00346CBB">
            <w:pPr>
              <w:pStyle w:val="TabellHode-rad"/>
            </w:pPr>
            <w:r w:rsidRPr="00346CBB">
              <w:t>2024</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4F63A26" w14:textId="77777777" w:rsidR="003953D6" w:rsidRPr="00346CBB" w:rsidRDefault="003953D6" w:rsidP="00346CBB">
            <w:pPr>
              <w:jc w:val="right"/>
            </w:pPr>
            <w:r w:rsidRPr="00346CBB">
              <w:t>4,7</w:t>
            </w:r>
          </w:p>
        </w:tc>
        <w:tc>
          <w:tcPr>
            <w:tcW w:w="14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521B6E6" w14:textId="77777777" w:rsidR="003953D6" w:rsidRPr="00346CBB" w:rsidRDefault="003953D6" w:rsidP="00346CBB">
            <w:pPr>
              <w:jc w:val="right"/>
            </w:pPr>
            <w:r w:rsidRPr="00346CBB">
              <w:t>4,6</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9724908" w14:textId="77777777" w:rsidR="003953D6" w:rsidRPr="00346CBB" w:rsidRDefault="003953D6" w:rsidP="00346CBB">
            <w:pPr>
              <w:jc w:val="right"/>
            </w:pPr>
            <w:r w:rsidRPr="00346CBB">
              <w:t>4,3</w:t>
            </w:r>
          </w:p>
        </w:tc>
      </w:tr>
      <w:tr w:rsidR="00A4769D" w:rsidRPr="00346CBB" w14:paraId="547AAA07" w14:textId="77777777" w:rsidTr="00346CBB">
        <w:trPr>
          <w:trHeight w:val="396"/>
        </w:trPr>
        <w:tc>
          <w:tcPr>
            <w:tcW w:w="74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572CC27" w14:textId="77777777" w:rsidR="003953D6" w:rsidRPr="00346CBB" w:rsidRDefault="003953D6" w:rsidP="00346CBB">
            <w:pPr>
              <w:pStyle w:val="TabellHode-rad"/>
            </w:pPr>
            <w:r w:rsidRPr="00346CBB">
              <w:t>2025</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00EE8C2" w14:textId="77777777" w:rsidR="003953D6" w:rsidRPr="00346CBB" w:rsidRDefault="003953D6" w:rsidP="00C9271A">
            <w:pPr>
              <w:jc w:val="right"/>
            </w:pPr>
          </w:p>
        </w:tc>
        <w:tc>
          <w:tcPr>
            <w:tcW w:w="14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704263B" w14:textId="77777777" w:rsidR="003953D6" w:rsidRPr="00346CBB" w:rsidRDefault="003953D6" w:rsidP="00346CBB">
            <w:pPr>
              <w:jc w:val="right"/>
            </w:pPr>
            <w:r w:rsidRPr="00346CBB">
              <w:t>3,6**</w:t>
            </w:r>
          </w:p>
        </w:tc>
        <w:tc>
          <w:tcPr>
            <w:tcW w:w="14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53B716A" w14:textId="77777777" w:rsidR="003953D6" w:rsidRPr="00346CBB" w:rsidRDefault="003953D6" w:rsidP="00346CBB">
            <w:pPr>
              <w:jc w:val="right"/>
            </w:pPr>
            <w:r w:rsidRPr="00346CBB">
              <w:t>4,1</w:t>
            </w:r>
          </w:p>
        </w:tc>
      </w:tr>
    </w:tbl>
    <w:p w14:paraId="00D9A311" w14:textId="77777777" w:rsidR="003953D6" w:rsidRPr="00346CBB" w:rsidRDefault="003953D6" w:rsidP="00C9271A">
      <w:pPr>
        <w:jc w:val="right"/>
      </w:pPr>
    </w:p>
    <w:p w14:paraId="38517275" w14:textId="77777777" w:rsidR="003953D6" w:rsidRPr="00346CBB" w:rsidRDefault="003953D6" w:rsidP="00346CBB">
      <w:pPr>
        <w:pStyle w:val="Note"/>
      </w:pPr>
      <w:r w:rsidRPr="00346CBB">
        <w:t xml:space="preserve">* Inkluderer effekten av innføringen av den ekstra arbeidsgiveravgiften for lønn over 750 000 kroner. Uten denne effekten ville </w:t>
      </w:r>
      <w:proofErr w:type="spellStart"/>
      <w:r w:rsidRPr="00346CBB">
        <w:t>deflatoren</w:t>
      </w:r>
      <w:proofErr w:type="spellEnd"/>
      <w:r w:rsidRPr="00346CBB">
        <w:t xml:space="preserve"> blitt 5,3 prosent.</w:t>
      </w:r>
    </w:p>
    <w:p w14:paraId="27A0BD96" w14:textId="77777777" w:rsidR="003953D6" w:rsidRPr="00346CBB" w:rsidRDefault="003953D6" w:rsidP="00346CBB">
      <w:pPr>
        <w:pStyle w:val="Note"/>
      </w:pPr>
      <w:r w:rsidRPr="00346CBB">
        <w:t xml:space="preserve">** Anslag i forbindelse med revidert nasjonalbudsjett 2025. Beregningen inkluderer effekten av å avvikle den ekstra arbeidsgiveravgiften. Uten denne effekten ville </w:t>
      </w:r>
      <w:proofErr w:type="spellStart"/>
      <w:r w:rsidRPr="00346CBB">
        <w:t>deflatoren</w:t>
      </w:r>
      <w:proofErr w:type="spellEnd"/>
      <w:r w:rsidRPr="00346CBB">
        <w:t xml:space="preserve"> blitt 3,9 prosent.</w:t>
      </w:r>
    </w:p>
    <w:p w14:paraId="5C95E295" w14:textId="77777777" w:rsidR="003953D6" w:rsidRPr="00346CBB" w:rsidRDefault="003953D6" w:rsidP="00346CBB">
      <w:pPr>
        <w:pStyle w:val="Kilde"/>
      </w:pPr>
      <w:r w:rsidRPr="00346CBB">
        <w:t>Kilde: Finansdepartementet.</w:t>
      </w:r>
    </w:p>
    <w:p w14:paraId="7D2245B7" w14:textId="77777777" w:rsidR="003953D6" w:rsidRPr="00346CBB" w:rsidRDefault="003953D6" w:rsidP="00346CBB">
      <w:pPr>
        <w:pStyle w:val="Overskrift2"/>
      </w:pPr>
      <w:r w:rsidRPr="00346CBB">
        <w:t>Realveksten i driftsbevilgningene</w:t>
      </w:r>
    </w:p>
    <w:p w14:paraId="26D98AA6" w14:textId="77777777" w:rsidR="003953D6" w:rsidRPr="00346CBB" w:rsidRDefault="003953D6" w:rsidP="00346CBB">
      <w:r w:rsidRPr="00346CBB">
        <w:t xml:space="preserve">I utvalgets rapport fra desember 2024 ble det presentert anslag for realveksten i driftsbevilgningene til de regionale helseforetakene. Disse var basert på Finansdepartementets </w:t>
      </w:r>
      <w:proofErr w:type="spellStart"/>
      <w:r w:rsidRPr="00346CBB">
        <w:t>deflator</w:t>
      </w:r>
      <w:proofErr w:type="spellEnd"/>
      <w:r w:rsidRPr="00346CBB">
        <w:t xml:space="preserve"> for spesialisthelsetjenesten og tre ulike forutsetninger knyttet til marginalkostnad ved aktivitetsvekst. I dette notatet presenterer utvalget oppdaterte anslag på realvekst. Utvalgets beskrivelse av realvekst baserer seg på Finansdepartementets nye metode for faktisk </w:t>
      </w:r>
      <w:proofErr w:type="spellStart"/>
      <w:r w:rsidRPr="00346CBB">
        <w:t>deflator</w:t>
      </w:r>
      <w:proofErr w:type="spellEnd"/>
      <w:r w:rsidRPr="00346CBB">
        <w:t xml:space="preserve"> for </w:t>
      </w:r>
      <w:r w:rsidRPr="00346CBB">
        <w:lastRenderedPageBreak/>
        <w:t>spesialisthelsetjenesten for 2015 til 2024 og anslag for 2025. I tillegg benytter utvalget et anslag på marginalkostnad på 92,5 prosent for vekst i demografidrevet behov i perioden.</w:t>
      </w:r>
    </w:p>
    <w:p w14:paraId="02A8BDE0" w14:textId="77777777" w:rsidR="003953D6" w:rsidRPr="00346CBB" w:rsidRDefault="003953D6" w:rsidP="00346CBB">
      <w:r w:rsidRPr="00346CBB">
        <w:t xml:space="preserve">I 2023 ble det innført en midlertidig ordning med ekstra arbeidsgiveravgift for lønnsinntekter over 750 000 kroner og som ble videreført i 2024 for lønnsinntekter over 850 000 kroner. Ordningen ble avviklet fra og med 2025. Det ble gitt økte bevilgninger til helseforetakene til dekning av økte lønnskostnader som følge av dette. Dette ble det ikke korrigert for i </w:t>
      </w:r>
      <w:proofErr w:type="spellStart"/>
      <w:r w:rsidRPr="00346CBB">
        <w:t>deflatoren</w:t>
      </w:r>
      <w:proofErr w:type="spellEnd"/>
      <w:r w:rsidRPr="00346CBB">
        <w:t xml:space="preserve"> i beskrivelsen av realveksten i utvalgets desember 2024-rapport. Finansdepartementets justerte </w:t>
      </w:r>
      <w:proofErr w:type="spellStart"/>
      <w:r w:rsidRPr="00346CBB">
        <w:t>deflator</w:t>
      </w:r>
      <w:proofErr w:type="spellEnd"/>
      <w:r w:rsidRPr="00346CBB">
        <w:t xml:space="preserve"> innarbeider nå effekten av ekstra arbeidsgiveravgift. Isolert sett bidrar dette til å øke </w:t>
      </w:r>
      <w:proofErr w:type="spellStart"/>
      <w:r w:rsidRPr="00346CBB">
        <w:t>deflatoren</w:t>
      </w:r>
      <w:proofErr w:type="spellEnd"/>
      <w:r w:rsidRPr="00346CBB">
        <w:t xml:space="preserve"> med 0,3 prosentpoeng i 2023 og redusere </w:t>
      </w:r>
      <w:proofErr w:type="spellStart"/>
      <w:r w:rsidRPr="00346CBB">
        <w:t>deflatoren</w:t>
      </w:r>
      <w:proofErr w:type="spellEnd"/>
      <w:r w:rsidRPr="00346CBB">
        <w:t xml:space="preserve"> med 0,2 prosentpoeng i 2025. </w:t>
      </w:r>
      <w:proofErr w:type="spellStart"/>
      <w:r w:rsidRPr="00346CBB">
        <w:t>Deflatoren</w:t>
      </w:r>
      <w:proofErr w:type="spellEnd"/>
      <w:r w:rsidRPr="00346CBB">
        <w:t xml:space="preserve"> i 2024 påvirkes ikke.</w:t>
      </w:r>
    </w:p>
    <w:p w14:paraId="1E88FD5D" w14:textId="77777777" w:rsidR="003953D6" w:rsidRPr="00346CBB" w:rsidRDefault="003953D6" w:rsidP="00346CBB">
      <w:r w:rsidRPr="00346CBB">
        <w:t>Utvalget har videre utviklet beskrivelsen av realveksten slik at det nå presenteres endringer i nivå, jf. boks 3.1. Disse nivåtallene er eksklusive den årlige pensjonskostnaden. Nivåtallene i figur 3.1 og 3.2 vil derfor være lavere sammenlignet med driftsbevilgningene i tabell 3.1.</w:t>
      </w:r>
    </w:p>
    <w:p w14:paraId="086C9B1A" w14:textId="77777777" w:rsidR="003953D6" w:rsidRPr="00346CBB" w:rsidRDefault="003953D6" w:rsidP="00346CBB">
      <w:r w:rsidRPr="00346CBB">
        <w:t>Sammenlignet med utvalgets desember 2024-rapport er realveksten oppdatert med endelige bevilgningstall for 2024 og forslag til bevilgninger i Prop. 146 S (2024–2025) i forbindelse med revidert nasjonalbudsjett 2025.</w:t>
      </w:r>
    </w:p>
    <w:p w14:paraId="4986F568" w14:textId="77777777" w:rsidR="003953D6" w:rsidRPr="00346CBB" w:rsidRDefault="003953D6" w:rsidP="00346CBB">
      <w:r w:rsidRPr="00346CBB">
        <w:t>Realveksten i driftsbevilgningene er vist i figur 3.1 og i tabell 3.3. Realveksten slik den beskrives her, er et uttrykk for endring i det økonomiske handlingsrommet for sammenlignbare ansvarsforhold mellom år, korrigert for pensjonskostnader samlet</w:t>
      </w:r>
      <w:r w:rsidRPr="00346CBB">
        <w:rPr>
          <w:rStyle w:val="Fotnotereferanse"/>
        </w:rPr>
        <w:footnoteReference w:id="3"/>
      </w:r>
      <w:r w:rsidRPr="00346CBB">
        <w:t>, oppgaveendringer og engangsbevilgninger. Denne realveksten skal blant annet dekke økt ressursbehov knyttet til endring i størrelse og sammensetning i befolkningen, heretter omtalt som merkostnader av demografiske endringer.</w:t>
      </w:r>
    </w:p>
    <w:p w14:paraId="59818320" w14:textId="2E3F5EC0" w:rsidR="003953D6" w:rsidRPr="00346CBB" w:rsidRDefault="009B28A1" w:rsidP="00346CBB">
      <w:r>
        <w:rPr>
          <w:noProof/>
          <w14:ligatures w14:val="standardContextual"/>
        </w:rPr>
        <w:lastRenderedPageBreak/>
        <w:drawing>
          <wp:inline distT="0" distB="0" distL="0" distR="0" wp14:anchorId="5022BA46" wp14:editId="5C04FC67">
            <wp:extent cx="4896294" cy="2701122"/>
            <wp:effectExtent l="0" t="0" r="0" b="4445"/>
            <wp:docPr id="1490420026" name="Bilde 1" descr="Et bilde som inneholder tekst, line, skjermbilde, Plottdiagram&#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20026" name="Bilde 1" descr="Et bilde som inneholder tekst, line, skjermbilde, Plottdiagram&#10;&#10;KI-generert innhold kan være feil."/>
                    <pic:cNvPicPr/>
                  </pic:nvPicPr>
                  <pic:blipFill>
                    <a:blip r:embed="rId10"/>
                    <a:stretch>
                      <a:fillRect/>
                    </a:stretch>
                  </pic:blipFill>
                  <pic:spPr>
                    <a:xfrm>
                      <a:off x="0" y="0"/>
                      <a:ext cx="4896294" cy="2701122"/>
                    </a:xfrm>
                    <a:prstGeom prst="rect">
                      <a:avLst/>
                    </a:prstGeom>
                  </pic:spPr>
                </pic:pic>
              </a:graphicData>
            </a:graphic>
          </wp:inline>
        </w:drawing>
      </w:r>
    </w:p>
    <w:p w14:paraId="5890557D" w14:textId="77777777" w:rsidR="003953D6" w:rsidRPr="00346CBB" w:rsidRDefault="003953D6" w:rsidP="00346CBB">
      <w:pPr>
        <w:pStyle w:val="figur-tittel"/>
      </w:pPr>
      <w:r w:rsidRPr="00346CBB">
        <w:t>Utvikling i driftsbevilgninger eksklusiv pensjonskostnader. Engangsbevilgninger lagt til. Mrd. 2025-kroner. 2015 til 2025.</w:t>
      </w:r>
    </w:p>
    <w:p w14:paraId="342C87B5" w14:textId="77777777" w:rsidR="003953D6" w:rsidRPr="00346CBB" w:rsidRDefault="003953D6" w:rsidP="00346CBB">
      <w:pPr>
        <w:pStyle w:val="Kilde"/>
      </w:pPr>
      <w:r w:rsidRPr="00346CBB">
        <w:t>Kilde: Helse- og omsorgsdepartementet.</w:t>
      </w:r>
    </w:p>
    <w:p w14:paraId="2B5F08CA" w14:textId="28EBDD1D" w:rsidR="003953D6" w:rsidRPr="00346CBB" w:rsidRDefault="003953D6" w:rsidP="00346CBB">
      <w:r w:rsidRPr="00346CBB">
        <w:t>Figur 3.1 viser at driftsbevilgningene i faste 2025-priser har økt hvert år i perioden. Veksten i bevilgningene varierer mellom år. Tallgrunnlaget for figur 3.1 er vist i vedlegg 6.</w:t>
      </w:r>
    </w:p>
    <w:p w14:paraId="77E105A5" w14:textId="77777777" w:rsidR="003953D6" w:rsidRPr="00346CBB" w:rsidRDefault="003953D6" w:rsidP="00346CBB">
      <w:r w:rsidRPr="00346CBB">
        <w:t>I figur 3.1 vises også utviklingen i driftsbevilgningene inkludert engangsbevilgninger i de årene disse er bevilget. Engangsbevilgningene var særlig store under pandemien i årene 2020 til 2022. Utvalget har valgt ikke å inkludere budsjettfullmakten til Helsedirektoratet på 4,95 mrd. kroner under kapittel 732 for ekstraordinære kostnader under pandemien i 2020. Det innebærer at engangsbevilgningen i 2020 er lavere enn i utvalgets desember 2024-rapport. Etter desember 2024-rapporten ble det i forbindelse med nysalderingen 2024 bevilget om lag 2,1 mrd. kroner i engangsbevilgninger. Se boks 3.2 for oversikt over engangsbevilgninger.</w:t>
      </w:r>
    </w:p>
    <w:p w14:paraId="0EA28A19" w14:textId="77777777" w:rsidR="003953D6" w:rsidRPr="00346CBB" w:rsidRDefault="003953D6" w:rsidP="00346CBB">
      <w:pPr>
        <w:pStyle w:val="tabell-tittel"/>
      </w:pPr>
      <w:r w:rsidRPr="00346CBB">
        <w:lastRenderedPageBreak/>
        <w:t>Årlig realvekst i driftsbevilgningene. Mrd. 2025-kroner og prosent. 2016 til 2025.</w:t>
      </w:r>
    </w:p>
    <w:tbl>
      <w:tblPr>
        <w:tblW w:w="5000" w:type="pct"/>
        <w:tblCellMar>
          <w:left w:w="0" w:type="dxa"/>
          <w:right w:w="0" w:type="dxa"/>
        </w:tblCellMar>
        <w:tblLook w:val="0000" w:firstRow="0" w:lastRow="0" w:firstColumn="0" w:lastColumn="0" w:noHBand="0" w:noVBand="0"/>
      </w:tblPr>
      <w:tblGrid>
        <w:gridCol w:w="975"/>
        <w:gridCol w:w="725"/>
        <w:gridCol w:w="725"/>
        <w:gridCol w:w="723"/>
        <w:gridCol w:w="724"/>
        <w:gridCol w:w="724"/>
        <w:gridCol w:w="724"/>
        <w:gridCol w:w="723"/>
        <w:gridCol w:w="724"/>
        <w:gridCol w:w="724"/>
        <w:gridCol w:w="723"/>
      </w:tblGrid>
      <w:tr w:rsidR="00A4769D" w:rsidRPr="00346CBB" w14:paraId="1C62565E" w14:textId="77777777" w:rsidTr="00346CBB">
        <w:trPr>
          <w:trHeight w:val="396"/>
          <w:tblHeader/>
        </w:trPr>
        <w:tc>
          <w:tcPr>
            <w:tcW w:w="593"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0C989E01" w14:textId="77777777" w:rsidR="003953D6" w:rsidRPr="00346CBB" w:rsidRDefault="003953D6" w:rsidP="00C9271A">
            <w:pPr>
              <w:jc w:val="right"/>
            </w:pPr>
          </w:p>
        </w:tc>
        <w:tc>
          <w:tcPr>
            <w:tcW w:w="44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55F23353" w14:textId="77777777" w:rsidR="003953D6" w:rsidRPr="00346CBB" w:rsidRDefault="003953D6" w:rsidP="00DA60DA">
            <w:pPr>
              <w:pStyle w:val="TabellHode-kolonne"/>
              <w:jc w:val="right"/>
            </w:pPr>
            <w:r w:rsidRPr="00346CBB">
              <w:t>2016</w:t>
            </w:r>
          </w:p>
        </w:tc>
        <w:tc>
          <w:tcPr>
            <w:tcW w:w="44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47A7E260" w14:textId="77777777" w:rsidR="003953D6" w:rsidRPr="00346CBB" w:rsidRDefault="003953D6" w:rsidP="00DA60DA">
            <w:pPr>
              <w:pStyle w:val="TabellHode-kolonne"/>
              <w:jc w:val="right"/>
            </w:pPr>
            <w:r w:rsidRPr="00346CBB">
              <w:t>2017</w:t>
            </w:r>
          </w:p>
        </w:tc>
        <w:tc>
          <w:tcPr>
            <w:tcW w:w="44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0EA453F2" w14:textId="77777777" w:rsidR="003953D6" w:rsidRPr="00346CBB" w:rsidRDefault="003953D6" w:rsidP="00DA60DA">
            <w:pPr>
              <w:pStyle w:val="TabellHode-kolonne"/>
              <w:jc w:val="right"/>
            </w:pPr>
            <w:r w:rsidRPr="00346CBB">
              <w:t>2018</w:t>
            </w:r>
          </w:p>
        </w:tc>
        <w:tc>
          <w:tcPr>
            <w:tcW w:w="44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513520F0" w14:textId="77777777" w:rsidR="003953D6" w:rsidRPr="00346CBB" w:rsidRDefault="003953D6" w:rsidP="00DA60DA">
            <w:pPr>
              <w:pStyle w:val="TabellHode-kolonne"/>
              <w:jc w:val="right"/>
            </w:pPr>
            <w:r w:rsidRPr="00346CBB">
              <w:t>2019</w:t>
            </w:r>
          </w:p>
        </w:tc>
        <w:tc>
          <w:tcPr>
            <w:tcW w:w="44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7E3D6F99" w14:textId="77777777" w:rsidR="003953D6" w:rsidRPr="00346CBB" w:rsidRDefault="003953D6" w:rsidP="00DA60DA">
            <w:pPr>
              <w:pStyle w:val="TabellHode-kolonne"/>
              <w:jc w:val="right"/>
            </w:pPr>
            <w:r w:rsidRPr="00346CBB">
              <w:t>2020</w:t>
            </w:r>
          </w:p>
        </w:tc>
        <w:tc>
          <w:tcPr>
            <w:tcW w:w="44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15EF4DAD" w14:textId="77777777" w:rsidR="003953D6" w:rsidRPr="00346CBB" w:rsidRDefault="003953D6" w:rsidP="00DA60DA">
            <w:pPr>
              <w:pStyle w:val="TabellHode-kolonne"/>
              <w:jc w:val="right"/>
            </w:pPr>
            <w:r w:rsidRPr="00346CBB">
              <w:t>2021</w:t>
            </w:r>
          </w:p>
        </w:tc>
        <w:tc>
          <w:tcPr>
            <w:tcW w:w="44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18839A86" w14:textId="77777777" w:rsidR="003953D6" w:rsidRPr="00346CBB" w:rsidRDefault="003953D6" w:rsidP="00DA60DA">
            <w:pPr>
              <w:pStyle w:val="TabellHode-kolonne"/>
              <w:jc w:val="right"/>
            </w:pPr>
            <w:r w:rsidRPr="00346CBB">
              <w:t>2022</w:t>
            </w:r>
          </w:p>
        </w:tc>
        <w:tc>
          <w:tcPr>
            <w:tcW w:w="44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0BCBD4C2" w14:textId="77777777" w:rsidR="003953D6" w:rsidRPr="00346CBB" w:rsidRDefault="003953D6" w:rsidP="00DA60DA">
            <w:pPr>
              <w:pStyle w:val="TabellHode-kolonne"/>
              <w:jc w:val="right"/>
            </w:pPr>
            <w:r w:rsidRPr="00346CBB">
              <w:t>2023</w:t>
            </w:r>
          </w:p>
        </w:tc>
        <w:tc>
          <w:tcPr>
            <w:tcW w:w="44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25ADD44B" w14:textId="77777777" w:rsidR="003953D6" w:rsidRPr="00346CBB" w:rsidRDefault="003953D6" w:rsidP="00DA60DA">
            <w:pPr>
              <w:pStyle w:val="TabellHode-kolonne"/>
              <w:jc w:val="right"/>
            </w:pPr>
            <w:r w:rsidRPr="00346CBB">
              <w:t>2024</w:t>
            </w:r>
          </w:p>
        </w:tc>
        <w:tc>
          <w:tcPr>
            <w:tcW w:w="44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18B61578" w14:textId="77777777" w:rsidR="003953D6" w:rsidRPr="00346CBB" w:rsidRDefault="003953D6" w:rsidP="00DA60DA">
            <w:pPr>
              <w:pStyle w:val="TabellHode-kolonne"/>
              <w:jc w:val="right"/>
            </w:pPr>
            <w:r w:rsidRPr="00346CBB">
              <w:t>2025</w:t>
            </w:r>
          </w:p>
        </w:tc>
      </w:tr>
      <w:tr w:rsidR="00A4769D" w:rsidRPr="00346CBB" w14:paraId="31B2DBC6" w14:textId="77777777" w:rsidTr="00346CBB">
        <w:trPr>
          <w:trHeight w:val="396"/>
        </w:trPr>
        <w:tc>
          <w:tcPr>
            <w:tcW w:w="593"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398095A" w14:textId="77777777" w:rsidR="003953D6" w:rsidRPr="00346CBB" w:rsidRDefault="003953D6" w:rsidP="00346CBB">
            <w:pPr>
              <w:pStyle w:val="TabellHode-rad"/>
            </w:pPr>
            <w:r w:rsidRPr="00346CBB">
              <w:t>I mrd. kroner</w:t>
            </w:r>
          </w:p>
        </w:tc>
        <w:tc>
          <w:tcPr>
            <w:tcW w:w="44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AAB73D2" w14:textId="77777777" w:rsidR="003953D6" w:rsidRPr="00346CBB" w:rsidRDefault="003953D6" w:rsidP="00346CBB">
            <w:pPr>
              <w:jc w:val="right"/>
            </w:pPr>
            <w:r w:rsidRPr="00346CBB">
              <w:t>3,3</w:t>
            </w:r>
          </w:p>
        </w:tc>
        <w:tc>
          <w:tcPr>
            <w:tcW w:w="44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E872CFD" w14:textId="77777777" w:rsidR="003953D6" w:rsidRPr="00346CBB" w:rsidRDefault="003953D6" w:rsidP="00346CBB">
            <w:pPr>
              <w:jc w:val="right"/>
            </w:pPr>
            <w:r w:rsidRPr="00346CBB">
              <w:t>1,4</w:t>
            </w:r>
          </w:p>
        </w:tc>
        <w:tc>
          <w:tcPr>
            <w:tcW w:w="44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2D59664" w14:textId="77777777" w:rsidR="003953D6" w:rsidRPr="00346CBB" w:rsidRDefault="003953D6" w:rsidP="00346CBB">
            <w:pPr>
              <w:jc w:val="right"/>
            </w:pPr>
            <w:r w:rsidRPr="00346CBB">
              <w:t>2,1</w:t>
            </w:r>
          </w:p>
        </w:tc>
        <w:tc>
          <w:tcPr>
            <w:tcW w:w="44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6F741D0" w14:textId="77777777" w:rsidR="003953D6" w:rsidRPr="00346CBB" w:rsidRDefault="003953D6" w:rsidP="00346CBB">
            <w:pPr>
              <w:jc w:val="right"/>
            </w:pPr>
            <w:r w:rsidRPr="00346CBB">
              <w:t>1,6</w:t>
            </w:r>
          </w:p>
        </w:tc>
        <w:tc>
          <w:tcPr>
            <w:tcW w:w="44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6A486FB" w14:textId="77777777" w:rsidR="003953D6" w:rsidRPr="00346CBB" w:rsidRDefault="003953D6" w:rsidP="00346CBB">
            <w:pPr>
              <w:jc w:val="right"/>
            </w:pPr>
            <w:r w:rsidRPr="00346CBB">
              <w:t>4,2</w:t>
            </w:r>
          </w:p>
        </w:tc>
        <w:tc>
          <w:tcPr>
            <w:tcW w:w="44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0DB0A6D" w14:textId="77777777" w:rsidR="003953D6" w:rsidRPr="00346CBB" w:rsidRDefault="003953D6" w:rsidP="00346CBB">
            <w:pPr>
              <w:jc w:val="right"/>
            </w:pPr>
            <w:r w:rsidRPr="00346CBB">
              <w:t>1,6</w:t>
            </w:r>
          </w:p>
        </w:tc>
        <w:tc>
          <w:tcPr>
            <w:tcW w:w="44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E2BB6C3" w14:textId="77777777" w:rsidR="003953D6" w:rsidRPr="00346CBB" w:rsidRDefault="003953D6" w:rsidP="00346CBB">
            <w:pPr>
              <w:jc w:val="right"/>
            </w:pPr>
            <w:r w:rsidRPr="00346CBB">
              <w:t>1,2</w:t>
            </w:r>
          </w:p>
        </w:tc>
        <w:tc>
          <w:tcPr>
            <w:tcW w:w="44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E0F3567" w14:textId="77777777" w:rsidR="003953D6" w:rsidRPr="00346CBB" w:rsidRDefault="003953D6" w:rsidP="00346CBB">
            <w:pPr>
              <w:jc w:val="right"/>
            </w:pPr>
            <w:r w:rsidRPr="00346CBB">
              <w:t>3,2</w:t>
            </w:r>
          </w:p>
        </w:tc>
        <w:tc>
          <w:tcPr>
            <w:tcW w:w="44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8806CBD" w14:textId="77777777" w:rsidR="003953D6" w:rsidRPr="00346CBB" w:rsidRDefault="003953D6" w:rsidP="00346CBB">
            <w:pPr>
              <w:jc w:val="right"/>
            </w:pPr>
            <w:r w:rsidRPr="00346CBB">
              <w:t>4,0</w:t>
            </w:r>
          </w:p>
        </w:tc>
        <w:tc>
          <w:tcPr>
            <w:tcW w:w="44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1D84A9B" w14:textId="77777777" w:rsidR="003953D6" w:rsidRPr="00346CBB" w:rsidRDefault="003953D6" w:rsidP="00346CBB">
            <w:pPr>
              <w:jc w:val="right"/>
            </w:pPr>
            <w:r w:rsidRPr="00346CBB">
              <w:t>4,8</w:t>
            </w:r>
          </w:p>
        </w:tc>
      </w:tr>
      <w:tr w:rsidR="00A4769D" w:rsidRPr="00346CBB" w14:paraId="2938EDB4" w14:textId="77777777" w:rsidTr="00346CBB">
        <w:trPr>
          <w:trHeight w:val="396"/>
        </w:trPr>
        <w:tc>
          <w:tcPr>
            <w:tcW w:w="59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5A60F00" w14:textId="77777777" w:rsidR="003953D6" w:rsidRPr="00346CBB" w:rsidRDefault="003953D6" w:rsidP="00346CBB">
            <w:pPr>
              <w:pStyle w:val="TabellHode-rad"/>
            </w:pPr>
            <w:r w:rsidRPr="00346CBB">
              <w:t>I prosent</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E9A4532" w14:textId="77777777" w:rsidR="003953D6" w:rsidRPr="00346CBB" w:rsidRDefault="003953D6" w:rsidP="00346CBB">
            <w:pPr>
              <w:jc w:val="right"/>
            </w:pPr>
            <w:r w:rsidRPr="00346CBB">
              <w:t xml:space="preserve">2,0 </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F5D72F8" w14:textId="77777777" w:rsidR="003953D6" w:rsidRPr="00346CBB" w:rsidRDefault="003953D6" w:rsidP="00346CBB">
            <w:pPr>
              <w:jc w:val="right"/>
            </w:pPr>
            <w:r w:rsidRPr="00346CBB">
              <w:t xml:space="preserve">0,9 </w:t>
            </w:r>
          </w:p>
        </w:tc>
        <w:tc>
          <w:tcPr>
            <w:tcW w:w="44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F106BD5" w14:textId="77777777" w:rsidR="003953D6" w:rsidRPr="00346CBB" w:rsidRDefault="003953D6" w:rsidP="00346CBB">
            <w:pPr>
              <w:jc w:val="right"/>
            </w:pPr>
            <w:r w:rsidRPr="00346CBB">
              <w:t xml:space="preserve">1,3 </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405BF1E" w14:textId="77777777" w:rsidR="003953D6" w:rsidRPr="00346CBB" w:rsidRDefault="003953D6" w:rsidP="00346CBB">
            <w:pPr>
              <w:jc w:val="right"/>
            </w:pPr>
            <w:r w:rsidRPr="00346CBB">
              <w:t xml:space="preserve">1,0 </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B81BBBC" w14:textId="77777777" w:rsidR="003953D6" w:rsidRPr="00346CBB" w:rsidRDefault="003953D6" w:rsidP="00346CBB">
            <w:pPr>
              <w:jc w:val="right"/>
            </w:pPr>
            <w:r w:rsidRPr="00346CBB">
              <w:t xml:space="preserve">2,5 </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B0C1356" w14:textId="77777777" w:rsidR="003953D6" w:rsidRPr="00346CBB" w:rsidRDefault="003953D6" w:rsidP="00346CBB">
            <w:pPr>
              <w:jc w:val="right"/>
            </w:pPr>
            <w:r w:rsidRPr="00346CBB">
              <w:t xml:space="preserve">0,9 </w:t>
            </w:r>
          </w:p>
        </w:tc>
        <w:tc>
          <w:tcPr>
            <w:tcW w:w="44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94E7D45" w14:textId="77777777" w:rsidR="003953D6" w:rsidRPr="00346CBB" w:rsidRDefault="003953D6" w:rsidP="00346CBB">
            <w:pPr>
              <w:jc w:val="right"/>
            </w:pPr>
            <w:r w:rsidRPr="00346CBB">
              <w:t xml:space="preserve">0,7 </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3288E4B" w14:textId="77777777" w:rsidR="003953D6" w:rsidRPr="00346CBB" w:rsidRDefault="003953D6" w:rsidP="00346CBB">
            <w:pPr>
              <w:jc w:val="right"/>
            </w:pPr>
            <w:r w:rsidRPr="00346CBB">
              <w:t xml:space="preserve">1,8 </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5E79F00" w14:textId="77777777" w:rsidR="003953D6" w:rsidRPr="00346CBB" w:rsidRDefault="003953D6" w:rsidP="00346CBB">
            <w:pPr>
              <w:jc w:val="right"/>
            </w:pPr>
            <w:r w:rsidRPr="00346CBB">
              <w:t xml:space="preserve">2,2 </w:t>
            </w:r>
          </w:p>
        </w:tc>
        <w:tc>
          <w:tcPr>
            <w:tcW w:w="44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1CB8EF9" w14:textId="77777777" w:rsidR="003953D6" w:rsidRPr="00346CBB" w:rsidRDefault="003953D6" w:rsidP="00346CBB">
            <w:pPr>
              <w:jc w:val="right"/>
            </w:pPr>
            <w:r w:rsidRPr="00346CBB">
              <w:t xml:space="preserve">2,6 </w:t>
            </w:r>
          </w:p>
        </w:tc>
      </w:tr>
    </w:tbl>
    <w:p w14:paraId="18C12E29" w14:textId="77777777" w:rsidR="003953D6" w:rsidRPr="00346CBB" w:rsidRDefault="003953D6" w:rsidP="00346CBB">
      <w:pPr>
        <w:pStyle w:val="Kilde"/>
      </w:pPr>
      <w:r w:rsidRPr="00346CBB">
        <w:t>Kilde: Helse- og omsorgsdepartementet.</w:t>
      </w:r>
    </w:p>
    <w:tbl>
      <w:tblPr>
        <w:tblStyle w:val="StandardBoks"/>
        <w:tblW w:w="5000" w:type="pct"/>
        <w:tblLook w:val="04A0" w:firstRow="1" w:lastRow="0" w:firstColumn="1" w:lastColumn="0" w:noHBand="0" w:noVBand="1"/>
      </w:tblPr>
      <w:tblGrid>
        <w:gridCol w:w="8220"/>
      </w:tblGrid>
      <w:tr w:rsidR="00A4769D" w:rsidRPr="00346CBB" w14:paraId="3B1F7F32" w14:textId="77777777" w:rsidTr="00DA60DA">
        <w:trPr>
          <w:trHeight w:val="4361"/>
        </w:trPr>
        <w:tc>
          <w:tcPr>
            <w:tcW w:w="5000" w:type="pct"/>
          </w:tcPr>
          <w:p w14:paraId="4614A1DA" w14:textId="77777777" w:rsidR="003953D6" w:rsidRPr="00346CBB" w:rsidRDefault="003953D6" w:rsidP="00346CBB">
            <w:pPr>
              <w:pStyle w:val="tittel-ramme"/>
            </w:pPr>
            <w:r w:rsidRPr="00346CBB">
              <w:t>Engangsbevilgninger</w:t>
            </w:r>
          </w:p>
          <w:p w14:paraId="20920290" w14:textId="7B8E627F" w:rsidR="003953D6" w:rsidRPr="00346CBB" w:rsidRDefault="003953D6" w:rsidP="00346CBB">
            <w:r w:rsidRPr="00346CBB">
              <w:t>Engangsbevilgninger vil påvirke inntektsnivået i det enkelte år, men vil over tid ikke påvirke veksten. Dette kommer fram i figur 3.1. Engangsbevilgninger kan ha ulik karakter og bli gitt på ulike tidspunkt i løpet av budsjettåret. De kan være knyttet til konkrete kostnader eller gis som generelle tilleggsbevilgninger for å styrke økonomien.</w:t>
            </w:r>
          </w:p>
          <w:p w14:paraId="1C79040A" w14:textId="20658E7C" w:rsidR="003953D6" w:rsidRPr="00346CBB" w:rsidRDefault="003953D6" w:rsidP="00346CBB">
            <w:r w:rsidRPr="00346CBB">
              <w:t>I pandemiårene 2020–2022 ble det gitt store tilleggsbevilgninger til de regionale helseforetakene. De største engangsbevilgningene, målt som over 100 mill. kroner, er omtalt i tabellen.</w:t>
            </w:r>
          </w:p>
          <w:p w14:paraId="699CB02C" w14:textId="77777777" w:rsidR="003953D6" w:rsidRPr="00346CBB" w:rsidRDefault="003953D6" w:rsidP="00346CBB"/>
        </w:tc>
      </w:tr>
    </w:tbl>
    <w:p w14:paraId="425F7AA1" w14:textId="77777777" w:rsidR="003953D6" w:rsidRPr="00346CBB" w:rsidRDefault="003953D6" w:rsidP="00C9271A">
      <w:pPr>
        <w:jc w:val="right"/>
      </w:pPr>
    </w:p>
    <w:p w14:paraId="63F047AE" w14:textId="77777777" w:rsidR="003953D6" w:rsidRPr="00346CBB" w:rsidRDefault="003953D6" w:rsidP="00346CBB">
      <w:r w:rsidRPr="00346CBB">
        <w:t>Utvalget anslo i sin desember 2024-rapport en realvekst i 2024 på 2,0 prosent (3,6 mrd. kroner). Utvalgets oppdaterte anslag gir nå en realvekst på 2,2 prosent (4,0 mrd. kroner). Endringen i anslått realvekst er dekomponert i tabell 3.4.</w:t>
      </w:r>
    </w:p>
    <w:p w14:paraId="13FACC35" w14:textId="77777777" w:rsidR="003953D6" w:rsidRPr="00346CBB" w:rsidRDefault="003953D6" w:rsidP="00346CBB">
      <w:r w:rsidRPr="00346CBB">
        <w:t xml:space="preserve">Helse- og omsorgsdepartementet anslo i Prop. 1 S (2024–2025) realveksten i 2025 til 1,8 prosent (3,4 mrd. kroner). Utvalget hadde ingen anslag for 2025 i sin desember 2024-rapport. Utvalget anslår nå en realvekst på 2,6 prosent (4,8 mrd. kroner) i 2025. Endringen i anslått realvekst er dekomponert i tabell 3.5. </w:t>
      </w:r>
      <w:r w:rsidRPr="00346CBB">
        <w:lastRenderedPageBreak/>
        <w:t xml:space="preserve">Finansdepartementets siste anslag for </w:t>
      </w:r>
      <w:proofErr w:type="spellStart"/>
      <w:r w:rsidRPr="00346CBB">
        <w:t>deflator</w:t>
      </w:r>
      <w:proofErr w:type="spellEnd"/>
      <w:r w:rsidRPr="00346CBB">
        <w:t xml:space="preserve"> for 2025 er nå 3,6 prosent mot budsjetterte 4,1 prosent i Prop. 1 S (2024–2025). Hensyntatt effekten av endringen i arbeidsgiveravgiften er </w:t>
      </w:r>
      <w:proofErr w:type="spellStart"/>
      <w:r w:rsidRPr="00346CBB">
        <w:t>deflatoren</w:t>
      </w:r>
      <w:proofErr w:type="spellEnd"/>
      <w:r w:rsidRPr="00346CBB">
        <w:t xml:space="preserve"> redusert med 0,3 prosentpoeng, og dermed øker realveksten. Videre har bevilgningene økt gjennom Stortingets behandling i desember 2024 og gjennom regjeringens forslag om økte refusjoner innen laboratorie- og radiologiske undersøkelser i forbindelse med revidert nasjonalbudsjett 2025.</w:t>
      </w:r>
    </w:p>
    <w:p w14:paraId="1778D99C" w14:textId="77777777" w:rsidR="003953D6" w:rsidRPr="00346CBB" w:rsidRDefault="003953D6" w:rsidP="00346CBB">
      <w:pPr>
        <w:pStyle w:val="tabell-tittel"/>
      </w:pPr>
      <w:r w:rsidRPr="00346CBB">
        <w:t>Anslag realvekst 2024. Forklaring endring fra TBU-S desember 2024-rapport.</w:t>
      </w:r>
    </w:p>
    <w:tbl>
      <w:tblPr>
        <w:tblW w:w="5000" w:type="pct"/>
        <w:tblCellMar>
          <w:left w:w="0" w:type="dxa"/>
          <w:right w:w="0" w:type="dxa"/>
        </w:tblCellMar>
        <w:tblLook w:val="0000" w:firstRow="0" w:lastRow="0" w:firstColumn="0" w:lastColumn="0" w:noHBand="0" w:noVBand="0"/>
      </w:tblPr>
      <w:tblGrid>
        <w:gridCol w:w="5439"/>
        <w:gridCol w:w="1388"/>
        <w:gridCol w:w="1387"/>
      </w:tblGrid>
      <w:tr w:rsidR="00A4769D" w:rsidRPr="00346CBB" w14:paraId="74EC32DF" w14:textId="77777777" w:rsidTr="00346CBB">
        <w:trPr>
          <w:trHeight w:val="396"/>
          <w:tblHeader/>
        </w:trPr>
        <w:tc>
          <w:tcPr>
            <w:tcW w:w="331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tcPr>
          <w:p w14:paraId="1240ECAC" w14:textId="77777777" w:rsidR="003953D6" w:rsidRPr="00346CBB" w:rsidRDefault="003953D6" w:rsidP="00C9271A">
            <w:pPr>
              <w:jc w:val="right"/>
            </w:pPr>
          </w:p>
        </w:tc>
        <w:tc>
          <w:tcPr>
            <w:tcW w:w="84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FC44266" w14:textId="77777777" w:rsidR="003953D6" w:rsidRPr="00346CBB" w:rsidRDefault="003953D6" w:rsidP="00346CBB">
            <w:pPr>
              <w:pStyle w:val="TabellHode-kolonne"/>
              <w:jc w:val="right"/>
            </w:pPr>
            <w:r w:rsidRPr="00346CBB">
              <w:t>Prosent</w:t>
            </w:r>
          </w:p>
        </w:tc>
        <w:tc>
          <w:tcPr>
            <w:tcW w:w="844"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7341A93" w14:textId="77777777" w:rsidR="003953D6" w:rsidRPr="00346CBB" w:rsidRDefault="003953D6" w:rsidP="00346CBB">
            <w:pPr>
              <w:pStyle w:val="TabellHode-kolonne"/>
              <w:jc w:val="right"/>
            </w:pPr>
            <w:r w:rsidRPr="00346CBB">
              <w:t>Mrd. kroner</w:t>
            </w:r>
          </w:p>
        </w:tc>
      </w:tr>
      <w:tr w:rsidR="00A4769D" w:rsidRPr="00346CBB" w14:paraId="2EA39AB1" w14:textId="77777777" w:rsidTr="00346CBB">
        <w:trPr>
          <w:trHeight w:val="396"/>
        </w:trPr>
        <w:tc>
          <w:tcPr>
            <w:tcW w:w="331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687B11" w14:textId="77777777" w:rsidR="003953D6" w:rsidRPr="00346CBB" w:rsidRDefault="003953D6" w:rsidP="00346CBB">
            <w:pPr>
              <w:pStyle w:val="TabellHode-rad"/>
            </w:pPr>
            <w:r w:rsidRPr="00346CBB">
              <w:t>Anslag realvekst i 2024 i TBU-S desember 2024-rapport</w:t>
            </w:r>
          </w:p>
        </w:tc>
        <w:tc>
          <w:tcPr>
            <w:tcW w:w="84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45FDF0" w14:textId="77777777" w:rsidR="003953D6" w:rsidRPr="00346CBB" w:rsidRDefault="003953D6" w:rsidP="00346CBB">
            <w:pPr>
              <w:jc w:val="right"/>
            </w:pPr>
            <w:r w:rsidRPr="00346CBB">
              <w:t>2,0</w:t>
            </w:r>
          </w:p>
        </w:tc>
        <w:tc>
          <w:tcPr>
            <w:tcW w:w="844"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2BB3F5" w14:textId="77777777" w:rsidR="003953D6" w:rsidRPr="00346CBB" w:rsidRDefault="003953D6" w:rsidP="00346CBB">
            <w:pPr>
              <w:jc w:val="right"/>
            </w:pPr>
            <w:r w:rsidRPr="00346CBB">
              <w:t>3,6</w:t>
            </w:r>
          </w:p>
        </w:tc>
      </w:tr>
      <w:tr w:rsidR="00A4769D" w:rsidRPr="00346CBB" w14:paraId="28DB2611" w14:textId="77777777" w:rsidTr="00346CBB">
        <w:trPr>
          <w:trHeight w:val="396"/>
        </w:trPr>
        <w:tc>
          <w:tcPr>
            <w:tcW w:w="331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572463A" w14:textId="77777777" w:rsidR="003953D6" w:rsidRPr="009B28A1" w:rsidRDefault="003953D6" w:rsidP="00346CBB">
            <w:pPr>
              <w:pStyle w:val="TabellHode-rad"/>
              <w:rPr>
                <w:lang w:val="nn-NO"/>
              </w:rPr>
            </w:pPr>
            <w:proofErr w:type="spellStart"/>
            <w:r w:rsidRPr="009B28A1">
              <w:rPr>
                <w:lang w:val="nn-NO"/>
              </w:rPr>
              <w:t>Endret</w:t>
            </w:r>
            <w:proofErr w:type="spellEnd"/>
            <w:r w:rsidRPr="009B28A1">
              <w:rPr>
                <w:lang w:val="nn-NO"/>
              </w:rPr>
              <w:t xml:space="preserve"> </w:t>
            </w:r>
            <w:proofErr w:type="spellStart"/>
            <w:r w:rsidRPr="009B28A1">
              <w:rPr>
                <w:lang w:val="nn-NO"/>
              </w:rPr>
              <w:t>deflator</w:t>
            </w:r>
            <w:proofErr w:type="spellEnd"/>
            <w:r w:rsidRPr="009B28A1">
              <w:rPr>
                <w:lang w:val="nn-NO"/>
              </w:rPr>
              <w:t xml:space="preserve"> </w:t>
            </w:r>
            <w:proofErr w:type="spellStart"/>
            <w:r w:rsidRPr="009B28A1">
              <w:rPr>
                <w:lang w:val="nn-NO"/>
              </w:rPr>
              <w:t>fra</w:t>
            </w:r>
            <w:proofErr w:type="spellEnd"/>
            <w:r w:rsidRPr="009B28A1">
              <w:rPr>
                <w:lang w:val="nn-NO"/>
              </w:rPr>
              <w:t xml:space="preserve"> 4,5 pst. til 4,6 pst. </w:t>
            </w:r>
          </w:p>
        </w:tc>
        <w:tc>
          <w:tcPr>
            <w:tcW w:w="84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FCF551" w14:textId="77777777" w:rsidR="003953D6" w:rsidRPr="00346CBB" w:rsidRDefault="003953D6" w:rsidP="00346CBB">
            <w:pPr>
              <w:jc w:val="right"/>
            </w:pPr>
            <w:r w:rsidRPr="00346CBB">
              <w:t>- 0,1</w:t>
            </w:r>
          </w:p>
        </w:tc>
        <w:tc>
          <w:tcPr>
            <w:tcW w:w="84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5BDA86" w14:textId="77777777" w:rsidR="003953D6" w:rsidRPr="00346CBB" w:rsidRDefault="003953D6" w:rsidP="00346CBB">
            <w:pPr>
              <w:jc w:val="right"/>
            </w:pPr>
            <w:r w:rsidRPr="00346CBB">
              <w:t>- 0,2</w:t>
            </w:r>
          </w:p>
        </w:tc>
      </w:tr>
      <w:tr w:rsidR="00A4769D" w:rsidRPr="00346CBB" w14:paraId="5AF07F88" w14:textId="77777777" w:rsidTr="00346CBB">
        <w:trPr>
          <w:trHeight w:val="396"/>
        </w:trPr>
        <w:tc>
          <w:tcPr>
            <w:tcW w:w="331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50166A" w14:textId="77777777" w:rsidR="003953D6" w:rsidRPr="00346CBB" w:rsidRDefault="003953D6" w:rsidP="00346CBB">
            <w:pPr>
              <w:pStyle w:val="TabellHode-rad"/>
            </w:pPr>
            <w:r w:rsidRPr="00346CBB">
              <w:t>Økt bevilgning 0,2 mrd. kroner gjennom økte refusjoner innen laboratorie- og radiologiske undersøkelser</w:t>
            </w:r>
          </w:p>
        </w:tc>
        <w:tc>
          <w:tcPr>
            <w:tcW w:w="84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78E235" w14:textId="77777777" w:rsidR="003953D6" w:rsidRPr="00346CBB" w:rsidRDefault="003953D6" w:rsidP="00346CBB">
            <w:pPr>
              <w:jc w:val="right"/>
            </w:pPr>
            <w:r w:rsidRPr="00346CBB">
              <w:t xml:space="preserve"> + 0,1</w:t>
            </w:r>
          </w:p>
        </w:tc>
        <w:tc>
          <w:tcPr>
            <w:tcW w:w="84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8AF547" w14:textId="77777777" w:rsidR="003953D6" w:rsidRPr="00346CBB" w:rsidRDefault="003953D6" w:rsidP="00346CBB">
            <w:pPr>
              <w:jc w:val="right"/>
            </w:pPr>
            <w:r w:rsidRPr="00346CBB">
              <w:t>+ 0,2</w:t>
            </w:r>
          </w:p>
        </w:tc>
      </w:tr>
      <w:tr w:rsidR="00A4769D" w:rsidRPr="00346CBB" w14:paraId="4668F762" w14:textId="77777777" w:rsidTr="00346CBB">
        <w:trPr>
          <w:trHeight w:val="396"/>
        </w:trPr>
        <w:tc>
          <w:tcPr>
            <w:tcW w:w="331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595CF8" w14:textId="77777777" w:rsidR="003953D6" w:rsidRPr="00346CBB" w:rsidRDefault="003953D6" w:rsidP="00346CBB">
            <w:pPr>
              <w:pStyle w:val="TabellHode-rad"/>
            </w:pPr>
            <w:r w:rsidRPr="00346CBB">
              <w:t xml:space="preserve">Endret metode beskrivelse av realvekst </w:t>
            </w:r>
          </w:p>
        </w:tc>
        <w:tc>
          <w:tcPr>
            <w:tcW w:w="84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508AC2" w14:textId="77777777" w:rsidR="003953D6" w:rsidRPr="00346CBB" w:rsidRDefault="003953D6" w:rsidP="00346CBB">
            <w:pPr>
              <w:jc w:val="right"/>
            </w:pPr>
            <w:r w:rsidRPr="00346CBB">
              <w:t>+ 0,2</w:t>
            </w:r>
          </w:p>
        </w:tc>
        <w:tc>
          <w:tcPr>
            <w:tcW w:w="84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E80733" w14:textId="77777777" w:rsidR="003953D6" w:rsidRPr="00346CBB" w:rsidRDefault="003953D6" w:rsidP="00346CBB">
            <w:pPr>
              <w:jc w:val="right"/>
            </w:pPr>
            <w:r w:rsidRPr="00346CBB">
              <w:t>+ 0,3</w:t>
            </w:r>
          </w:p>
        </w:tc>
      </w:tr>
      <w:tr w:rsidR="00A4769D" w:rsidRPr="00346CBB" w14:paraId="52CFDDE1" w14:textId="77777777" w:rsidTr="00346CBB">
        <w:trPr>
          <w:trHeight w:val="396"/>
        </w:trPr>
        <w:tc>
          <w:tcPr>
            <w:tcW w:w="331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E74BDC" w14:textId="77777777" w:rsidR="003953D6" w:rsidRPr="00346CBB" w:rsidRDefault="003953D6" w:rsidP="00346CBB">
            <w:pPr>
              <w:pStyle w:val="TabellHode-rad"/>
            </w:pPr>
            <w:r w:rsidRPr="00346CBB">
              <w:t>Nytt anslag realvekst i 2024</w:t>
            </w:r>
          </w:p>
        </w:tc>
        <w:tc>
          <w:tcPr>
            <w:tcW w:w="84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5607EC" w14:textId="77777777" w:rsidR="003953D6" w:rsidRPr="00346CBB" w:rsidRDefault="003953D6" w:rsidP="00346CBB">
            <w:pPr>
              <w:jc w:val="right"/>
            </w:pPr>
            <w:r w:rsidRPr="00346CBB">
              <w:t>2,2</w:t>
            </w:r>
          </w:p>
        </w:tc>
        <w:tc>
          <w:tcPr>
            <w:tcW w:w="84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7AA9C6" w14:textId="77777777" w:rsidR="003953D6" w:rsidRPr="00346CBB" w:rsidRDefault="003953D6" w:rsidP="00346CBB">
            <w:pPr>
              <w:jc w:val="right"/>
            </w:pPr>
            <w:r w:rsidRPr="00346CBB">
              <w:t>4,0</w:t>
            </w:r>
          </w:p>
        </w:tc>
      </w:tr>
    </w:tbl>
    <w:p w14:paraId="46132D5B" w14:textId="77777777" w:rsidR="003953D6" w:rsidRPr="00346CBB" w:rsidRDefault="003953D6" w:rsidP="00346CBB">
      <w:pPr>
        <w:pStyle w:val="Kilde"/>
      </w:pPr>
      <w:r w:rsidRPr="00346CBB">
        <w:t>Kilde: Helse- og omsorgsdepartementet.</w:t>
      </w:r>
    </w:p>
    <w:p w14:paraId="68BFD692" w14:textId="77777777" w:rsidR="003953D6" w:rsidRPr="00346CBB" w:rsidRDefault="003953D6" w:rsidP="00346CBB">
      <w:pPr>
        <w:pStyle w:val="tabell-tittel"/>
      </w:pPr>
      <w:r w:rsidRPr="00346CBB">
        <w:t>Anslag realvekst 2025. Forklaring endring fra Prop. 1 S (2024–2025).</w:t>
      </w:r>
    </w:p>
    <w:tbl>
      <w:tblPr>
        <w:tblW w:w="5000" w:type="pct"/>
        <w:tblCellMar>
          <w:left w:w="0" w:type="dxa"/>
          <w:right w:w="0" w:type="dxa"/>
        </w:tblCellMar>
        <w:tblLook w:val="0000" w:firstRow="0" w:lastRow="0" w:firstColumn="0" w:lastColumn="0" w:noHBand="0" w:noVBand="0"/>
      </w:tblPr>
      <w:tblGrid>
        <w:gridCol w:w="5439"/>
        <w:gridCol w:w="1388"/>
        <w:gridCol w:w="1387"/>
      </w:tblGrid>
      <w:tr w:rsidR="00A4769D" w:rsidRPr="00346CBB" w14:paraId="4F690BCB" w14:textId="77777777" w:rsidTr="00346CBB">
        <w:trPr>
          <w:trHeight w:val="396"/>
          <w:tblHeader/>
        </w:trPr>
        <w:tc>
          <w:tcPr>
            <w:tcW w:w="331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tcPr>
          <w:p w14:paraId="22978911" w14:textId="77777777" w:rsidR="003953D6" w:rsidRPr="00346CBB" w:rsidRDefault="003953D6" w:rsidP="00C9271A">
            <w:pPr>
              <w:jc w:val="right"/>
            </w:pPr>
          </w:p>
        </w:tc>
        <w:tc>
          <w:tcPr>
            <w:tcW w:w="84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A72057A" w14:textId="77777777" w:rsidR="003953D6" w:rsidRPr="00346CBB" w:rsidRDefault="003953D6" w:rsidP="00346CBB">
            <w:pPr>
              <w:pStyle w:val="TabellHode-kolonne"/>
              <w:jc w:val="right"/>
            </w:pPr>
            <w:r w:rsidRPr="00346CBB">
              <w:t>Prosent</w:t>
            </w:r>
          </w:p>
        </w:tc>
        <w:tc>
          <w:tcPr>
            <w:tcW w:w="844"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348EAEA" w14:textId="77777777" w:rsidR="003953D6" w:rsidRPr="00346CBB" w:rsidRDefault="003953D6" w:rsidP="00346CBB">
            <w:pPr>
              <w:pStyle w:val="TabellHode-kolonne"/>
              <w:jc w:val="right"/>
            </w:pPr>
            <w:r w:rsidRPr="00346CBB">
              <w:t>Mrd. kroner</w:t>
            </w:r>
          </w:p>
        </w:tc>
      </w:tr>
      <w:tr w:rsidR="00A4769D" w:rsidRPr="00346CBB" w14:paraId="3D646E41" w14:textId="77777777" w:rsidTr="00346CBB">
        <w:trPr>
          <w:trHeight w:val="396"/>
        </w:trPr>
        <w:tc>
          <w:tcPr>
            <w:tcW w:w="331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F63D19" w14:textId="77777777" w:rsidR="003953D6" w:rsidRPr="00346CBB" w:rsidRDefault="003953D6" w:rsidP="00346CBB">
            <w:pPr>
              <w:pStyle w:val="TabellHode-rad"/>
            </w:pPr>
            <w:r w:rsidRPr="00346CBB">
              <w:t>Anslag realvekst i 2025 i Prop. 1 S (2024–2025)</w:t>
            </w:r>
          </w:p>
        </w:tc>
        <w:tc>
          <w:tcPr>
            <w:tcW w:w="84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928D1A" w14:textId="77777777" w:rsidR="003953D6" w:rsidRPr="00346CBB" w:rsidRDefault="003953D6" w:rsidP="00346CBB">
            <w:pPr>
              <w:jc w:val="right"/>
            </w:pPr>
            <w:r w:rsidRPr="00346CBB">
              <w:t>1,8</w:t>
            </w:r>
          </w:p>
        </w:tc>
        <w:tc>
          <w:tcPr>
            <w:tcW w:w="844"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3BC796" w14:textId="77777777" w:rsidR="003953D6" w:rsidRPr="00346CBB" w:rsidRDefault="003953D6" w:rsidP="00346CBB">
            <w:pPr>
              <w:jc w:val="right"/>
            </w:pPr>
            <w:r w:rsidRPr="00346CBB">
              <w:t>3,4</w:t>
            </w:r>
          </w:p>
        </w:tc>
      </w:tr>
      <w:tr w:rsidR="00A4769D" w:rsidRPr="00346CBB" w14:paraId="4493D778" w14:textId="77777777" w:rsidTr="00346CBB">
        <w:trPr>
          <w:trHeight w:val="396"/>
        </w:trPr>
        <w:tc>
          <w:tcPr>
            <w:tcW w:w="331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E691C3" w14:textId="77777777" w:rsidR="003953D6" w:rsidRPr="00346CBB" w:rsidRDefault="003953D6" w:rsidP="00346CBB">
            <w:pPr>
              <w:pStyle w:val="TabellHode-rad"/>
            </w:pPr>
            <w:r w:rsidRPr="00346CBB">
              <w:lastRenderedPageBreak/>
              <w:t xml:space="preserve">Endret </w:t>
            </w:r>
            <w:proofErr w:type="spellStart"/>
            <w:r w:rsidRPr="00346CBB">
              <w:t>deflator</w:t>
            </w:r>
            <w:proofErr w:type="spellEnd"/>
            <w:r w:rsidRPr="00346CBB">
              <w:t xml:space="preserve"> fra 4,1 pst. til 3,6 pst. hensyntatt effekt endring av arbeidsgiveravgift</w:t>
            </w:r>
          </w:p>
        </w:tc>
        <w:tc>
          <w:tcPr>
            <w:tcW w:w="84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72B56A" w14:textId="77777777" w:rsidR="003953D6" w:rsidRPr="00346CBB" w:rsidRDefault="003953D6" w:rsidP="00346CBB">
            <w:pPr>
              <w:jc w:val="right"/>
            </w:pPr>
            <w:r w:rsidRPr="00346CBB">
              <w:t>+0,3</w:t>
            </w:r>
          </w:p>
        </w:tc>
        <w:tc>
          <w:tcPr>
            <w:tcW w:w="84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A6799A" w14:textId="77777777" w:rsidR="003953D6" w:rsidRPr="00346CBB" w:rsidRDefault="003953D6" w:rsidP="00346CBB">
            <w:pPr>
              <w:jc w:val="right"/>
            </w:pPr>
            <w:r w:rsidRPr="00346CBB">
              <w:t>+0,6</w:t>
            </w:r>
          </w:p>
        </w:tc>
      </w:tr>
      <w:tr w:rsidR="00A4769D" w:rsidRPr="00346CBB" w14:paraId="4A160AE5" w14:textId="77777777" w:rsidTr="00346CBB">
        <w:trPr>
          <w:trHeight w:val="396"/>
        </w:trPr>
        <w:tc>
          <w:tcPr>
            <w:tcW w:w="331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BDFE37" w14:textId="77777777" w:rsidR="003953D6" w:rsidRPr="00346CBB" w:rsidRDefault="003953D6" w:rsidP="00346CBB">
            <w:pPr>
              <w:pStyle w:val="TabellHode-rad"/>
            </w:pPr>
            <w:r w:rsidRPr="00346CBB">
              <w:t>Økt bevilgning siden Prop. 1 S sammenlignet med anslag på regnskap 2024 (økt bevilgning til tverrfaglig spesialisert rusbehandling i Helse Sør-Øst RHF og økte refusjoner innen laboratorie- og radiologiske undersøkelser)</w:t>
            </w:r>
          </w:p>
        </w:tc>
        <w:tc>
          <w:tcPr>
            <w:tcW w:w="84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CE8C33" w14:textId="77777777" w:rsidR="003953D6" w:rsidRPr="00346CBB" w:rsidRDefault="003953D6" w:rsidP="00346CBB">
            <w:pPr>
              <w:jc w:val="right"/>
            </w:pPr>
            <w:r w:rsidRPr="00346CBB">
              <w:t xml:space="preserve"> + 0,4</w:t>
            </w:r>
          </w:p>
        </w:tc>
        <w:tc>
          <w:tcPr>
            <w:tcW w:w="84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E56310" w14:textId="77777777" w:rsidR="003953D6" w:rsidRPr="00346CBB" w:rsidRDefault="003953D6" w:rsidP="00346CBB">
            <w:pPr>
              <w:jc w:val="right"/>
            </w:pPr>
            <w:r w:rsidRPr="00346CBB">
              <w:t>+ 0,8</w:t>
            </w:r>
          </w:p>
        </w:tc>
      </w:tr>
      <w:tr w:rsidR="00A4769D" w:rsidRPr="00346CBB" w14:paraId="3DE8CE8B" w14:textId="77777777" w:rsidTr="00346CBB">
        <w:trPr>
          <w:trHeight w:val="396"/>
        </w:trPr>
        <w:tc>
          <w:tcPr>
            <w:tcW w:w="331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ACC1DE" w14:textId="77777777" w:rsidR="003953D6" w:rsidRPr="00346CBB" w:rsidRDefault="003953D6" w:rsidP="00346CBB">
            <w:pPr>
              <w:pStyle w:val="TabellHode-rad"/>
            </w:pPr>
            <w:r w:rsidRPr="00346CBB">
              <w:t>Nytt anslag realvekst i 2025</w:t>
            </w:r>
          </w:p>
        </w:tc>
        <w:tc>
          <w:tcPr>
            <w:tcW w:w="84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9630D9" w14:textId="77777777" w:rsidR="003953D6" w:rsidRPr="00346CBB" w:rsidRDefault="003953D6" w:rsidP="00346CBB">
            <w:pPr>
              <w:jc w:val="right"/>
            </w:pPr>
            <w:r w:rsidRPr="00346CBB">
              <w:t>2,6</w:t>
            </w:r>
          </w:p>
        </w:tc>
        <w:tc>
          <w:tcPr>
            <w:tcW w:w="84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DCCE71" w14:textId="77777777" w:rsidR="003953D6" w:rsidRPr="00346CBB" w:rsidRDefault="003953D6" w:rsidP="00346CBB">
            <w:pPr>
              <w:jc w:val="right"/>
            </w:pPr>
            <w:r w:rsidRPr="00346CBB">
              <w:t>4,8</w:t>
            </w:r>
          </w:p>
        </w:tc>
      </w:tr>
    </w:tbl>
    <w:p w14:paraId="25D59439" w14:textId="77777777" w:rsidR="003953D6" w:rsidRPr="00346CBB" w:rsidRDefault="003953D6" w:rsidP="00346CBB">
      <w:pPr>
        <w:pStyle w:val="Kilde"/>
      </w:pPr>
      <w:r w:rsidRPr="00346CBB">
        <w:t>Kilde: Helse- og omsorgsdepartementet.</w:t>
      </w:r>
    </w:p>
    <w:p w14:paraId="0DA420E8" w14:textId="77777777" w:rsidR="003953D6" w:rsidRPr="00346CBB" w:rsidRDefault="003953D6" w:rsidP="00346CBB">
      <w:r w:rsidRPr="00346CBB">
        <w:t>I figur 3.1 er det ikke tatt hensyn til bevilgningsbehov som følge av økt og aldrende befolkning, dvs. merkostnader som følge av demografiske endringer. Realvekst i driftsbevilgninger utover merkostnader av demografiske endringer, kan gi rom for standardheving og/eller økt aktivitet.</w:t>
      </w:r>
    </w:p>
    <w:p w14:paraId="6C8F21B8" w14:textId="7317F7B2" w:rsidR="003953D6" w:rsidRPr="00346CBB" w:rsidRDefault="003953D6" w:rsidP="00346CBB">
      <w:r w:rsidRPr="00346CBB">
        <w:t xml:space="preserve">Utvalget har bedt Helsedirektoratet </w:t>
      </w:r>
      <w:proofErr w:type="spellStart"/>
      <w:r w:rsidRPr="00346CBB">
        <w:t>etterberegne</w:t>
      </w:r>
      <w:proofErr w:type="spellEnd"/>
      <w:r w:rsidRPr="00346CBB">
        <w:t xml:space="preserve"> den årlige faktiske demografidrevne aktivitetsendringen. Helsedirektoratets anslag fra statsbudsjettene, over behov for tjenester som følge av demografiske endringer, er erstattet med faktiske behovsendringer, dvs. oppdaterte forbruksrater og befolkningsutvikling. Utvalget bruker disse til å beskrive merkostnadene korrigert for demografiske endringer i figur 3.2.</w:t>
      </w:r>
    </w:p>
    <w:p w14:paraId="4A0D8DF3" w14:textId="5FD32AD7" w:rsidR="003953D6" w:rsidRPr="00346CBB" w:rsidRDefault="009B28A1" w:rsidP="00346CBB">
      <w:r>
        <w:rPr>
          <w:noProof/>
          <w14:ligatures w14:val="standardContextual"/>
        </w:rPr>
        <w:lastRenderedPageBreak/>
        <w:drawing>
          <wp:inline distT="0" distB="0" distL="0" distR="0" wp14:anchorId="431F7044" wp14:editId="5F749543">
            <wp:extent cx="4896294" cy="3300918"/>
            <wp:effectExtent l="0" t="0" r="0" b="0"/>
            <wp:docPr id="2067665371" name="Bilde 2" descr="Et bilde som inneholder tekst, skjermbilde, Font, lin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665371" name="Bilde 2" descr="Et bilde som inneholder tekst, skjermbilde, Font, line&#10;&#10;KI-generert innhold kan være feil."/>
                    <pic:cNvPicPr/>
                  </pic:nvPicPr>
                  <pic:blipFill>
                    <a:blip r:embed="rId11"/>
                    <a:stretch>
                      <a:fillRect/>
                    </a:stretch>
                  </pic:blipFill>
                  <pic:spPr>
                    <a:xfrm>
                      <a:off x="0" y="0"/>
                      <a:ext cx="4896294" cy="3300918"/>
                    </a:xfrm>
                    <a:prstGeom prst="rect">
                      <a:avLst/>
                    </a:prstGeom>
                  </pic:spPr>
                </pic:pic>
              </a:graphicData>
            </a:graphic>
          </wp:inline>
        </w:drawing>
      </w:r>
    </w:p>
    <w:p w14:paraId="050B71BB" w14:textId="77777777" w:rsidR="003953D6" w:rsidRPr="00346CBB" w:rsidRDefault="003953D6" w:rsidP="00346CBB">
      <w:pPr>
        <w:pStyle w:val="figur-tittel"/>
      </w:pPr>
      <w:r w:rsidRPr="00346CBB">
        <w:t>Utvikling i driftsbevilgninger, og fratrukket merkostnader av demografiske endringer med forutsetning om 92,5 og 100 prosent marginalkostnad. Mrd. 2025-kroner. 2015 til 2025.</w:t>
      </w:r>
    </w:p>
    <w:p w14:paraId="2316CD3B" w14:textId="77777777" w:rsidR="003953D6" w:rsidRPr="00346CBB" w:rsidRDefault="003953D6" w:rsidP="00346CBB">
      <w:pPr>
        <w:pStyle w:val="Kilde"/>
      </w:pPr>
      <w:r w:rsidRPr="00346CBB">
        <w:t>Kilde: Helse- og omsorgsdepartementet.</w:t>
      </w:r>
    </w:p>
    <w:p w14:paraId="3CCC100C" w14:textId="798660E5" w:rsidR="003953D6" w:rsidRPr="00346CBB" w:rsidRDefault="003953D6" w:rsidP="00346CBB">
      <w:r w:rsidRPr="00346CBB">
        <w:t>Figur 3.2 viser realveksten i driftsbevilgningene for perioden 2015 til 2025 dersom en hensyntar merkostnadene av demografiske endringer. De to blå linjene er de samme som i figur 3.1, og er realvekst uten å ta hensyn til merkostnader som følge av demografiske endringer. Utvalget benytter et anslag på marginalkostnad på 92,5 prosent for aktivitetsvekst som følge av demografiske endringer, jf. kapittel 6.</w:t>
      </w:r>
    </w:p>
    <w:p w14:paraId="7B907E5D" w14:textId="77777777" w:rsidR="003953D6" w:rsidRPr="00346CBB" w:rsidRDefault="003953D6" w:rsidP="00346CBB">
      <w:r w:rsidRPr="00346CBB">
        <w:t>Marginalkostnaden uttrykker merkostnader for spesialisthelsetjenesten samlet ved en liten aktivitetsendring. Den vil variere mellom helseforetak, og avhenge av funksjonsfordeling og struktur. Optimal driftsøkonomi tilsier at marginalkostnaden er lik gjennomsnittskostnaden, altså 100 prosent. Dette er illustrert i figur 3.2. Tallgrunnlaget for figur 3.2 er vist i vedlegg 6.</w:t>
      </w:r>
    </w:p>
    <w:p w14:paraId="714CA61A" w14:textId="77777777" w:rsidR="003953D6" w:rsidRPr="00346CBB" w:rsidRDefault="003953D6" w:rsidP="00346CBB">
      <w:r w:rsidRPr="00346CBB">
        <w:lastRenderedPageBreak/>
        <w:t>Med forutsetningen om en marginalkostnad på 92,5 prosent øker nivået på driftsbevilgningene fra 2015 til 2022 med om lag 0,3 mrd. kroner, dvs. reelt sett nær uendret. Fra 2022 til 2025 øker nivået med om lag 3,8 mrd. kroner.</w:t>
      </w:r>
    </w:p>
    <w:p w14:paraId="248D1813" w14:textId="77777777" w:rsidR="003953D6" w:rsidRPr="00346CBB" w:rsidRDefault="003953D6" w:rsidP="00346CBB">
      <w:r w:rsidRPr="00346CBB">
        <w:t>Alt annet likt, utgjør forskjellen i kostnader som følge av demografiske endringer 2,6 mrd. kroner i 2024 dersom man i de årlige budsjettene i perioden 2015 til 2024 hadde lagt til grunn en forutsetning om marginalkostnad på 92,5 prosent fremfor 80 prosent. Samlet for alle år i perioden anslår utvalget at denne forskjellen utgjør, alt annet likt, 13,1 mrd. kroner. Utvalget understreker at det ikke har grunnlag for å vurdere om et høyere anslag på marginalkostnaden ville hatt konsekvenser for bevilgningen til sektoren. For 2025 innebærer antakelsen om en marginalkostnad på 92,5 prosent 0,3 mrd. kroner i lavere anslag for merkostnader knyttet til demografi enn det som ligger til grunn for statsbudsjettet for 2025.</w:t>
      </w:r>
    </w:p>
    <w:p w14:paraId="53E168A4" w14:textId="77777777" w:rsidR="003953D6" w:rsidRPr="00346CBB" w:rsidRDefault="003953D6" w:rsidP="00346CBB">
      <w:pPr>
        <w:pStyle w:val="Overskrift1"/>
      </w:pPr>
      <w:r w:rsidRPr="00346CBB">
        <w:t>Befolkningsutvikling og merkostnader i spesialisthelsetjenesten</w:t>
      </w:r>
    </w:p>
    <w:p w14:paraId="09785052" w14:textId="77777777" w:rsidR="003953D6" w:rsidRPr="00346CBB" w:rsidRDefault="003953D6" w:rsidP="00346CBB">
      <w:r w:rsidRPr="00346CBB">
        <w:t>Befolkningsvekst, endringer i alderssammensetning og sykdomsbilde påvirker behovet for spesialisthelsetjenester. For somatiske spesialisthelsetjenester øker forbruket med alder, og den forventede befolkningsutviklingen med økning i andelen eldre vil gi økt behov for somatiske spesialisthelsetjenester. Innenfor psykisk helsevern og tverrfaglig spesialisert rusbehandling (TSB) er forbruket høyere i de yngre aldersgruppene. Den demografiske utviklingen med økt andel eldre vil derfor ikke ha like sterk påvirkning på behovet for spesialisthelsetjenester innenfor disse to tjenesteområdene. Samtidig vil behovet for tjenester innen de enkelte aldersgruppene kunne endres over tid. «Friskere aldring» vil kunne redusere behovet for helsetjenester for eldre. Endring i sykdomsforekomst, blant annet som følge av at flere lever lenger med alvorlig sykdom, vil kunne gi økt behov i yngre aldersgrupper. Utvalget vil i senere rapporter komme tilbake til hvordan denne type problemstillinger kan håndteres ved framskriving av behov.</w:t>
      </w:r>
    </w:p>
    <w:p w14:paraId="67AE0D1D" w14:textId="77777777" w:rsidR="003953D6" w:rsidRPr="00346CBB" w:rsidRDefault="003953D6" w:rsidP="00346CBB">
      <w:r w:rsidRPr="00346CBB">
        <w:t>Merkostnader som følge av den demografiske utviklingen forteller hva det vil koste å opprettholde eksisterende tjenestetilbud når det tas hensyn til effekten av befolkningsutviklingen.</w:t>
      </w:r>
    </w:p>
    <w:p w14:paraId="1B39FBA3" w14:textId="77777777" w:rsidR="003953D6" w:rsidRPr="00346CBB" w:rsidRDefault="003953D6" w:rsidP="00346CBB">
      <w:r w:rsidRPr="00346CBB">
        <w:lastRenderedPageBreak/>
        <w:t>Utvalget har i kapittel 3 vurdert utviklingen i de regionale helseforetakenes driftsbevilgninger, dvs. inntektene, og vist merkostnadene til demografi.</w:t>
      </w:r>
    </w:p>
    <w:p w14:paraId="1A77577C" w14:textId="77777777" w:rsidR="003953D6" w:rsidRPr="00346CBB" w:rsidRDefault="003953D6" w:rsidP="00346CBB">
      <w:pPr>
        <w:pStyle w:val="Overskrift2"/>
      </w:pPr>
      <w:r w:rsidRPr="00346CBB">
        <w:t>Budsjettert og faktisk vekst i demografidrevet behov 2015–2025</w:t>
      </w:r>
    </w:p>
    <w:p w14:paraId="6F63FD85" w14:textId="77777777" w:rsidR="003953D6" w:rsidRPr="00346CBB" w:rsidRDefault="003953D6" w:rsidP="00346CBB">
      <w:r w:rsidRPr="00346CBB">
        <w:t>Helse- og omsorgsdepartementet gjør årlig en vurdering av merkostnader av demografiske endringer. Merkostnaden er budsjettert anslag i Helse- og omsorgsdepartementets årlige budsjettforslag til Stortinget (Prop. 1 S). Anslaget er basert på Helsedirektoratets vurdering av vekst i demografidrevet behov.</w:t>
      </w:r>
    </w:p>
    <w:p w14:paraId="6A01D079" w14:textId="77777777" w:rsidR="003953D6" w:rsidRPr="00346CBB" w:rsidRDefault="003953D6" w:rsidP="00346CBB">
      <w:r w:rsidRPr="00346CBB">
        <w:t>Beløpsgrunnlaget for Helse- og omsorgsdepartementets årlige anslag for merkostnadene til demografi er nivået på driftsbevilgningene eksklusive pensjonskostnader til de regionale helseforetakene. Videre er det lagt til grunn en forutsetning om størrelsen på marginalkostnaden, jf. kapittel 6.</w:t>
      </w:r>
    </w:p>
    <w:p w14:paraId="62A7A738" w14:textId="77777777" w:rsidR="003953D6" w:rsidRPr="00346CBB" w:rsidRDefault="003953D6" w:rsidP="00346CBB">
      <w:r w:rsidRPr="00346CBB">
        <w:t>I vedlegg 3 er det gitt en beskrivelse av metoden Helsedirektoratet baserer sine beregninger av vekst i demografisk behov på. Oppsummert anslår Helsedirektoratet den demografiske betingede behovsveksten i prosent gitt siste framskriving av befolkningstall (MMMM) fra SSB og siste forbrukstall innen somatikk, psykisk helsevern og TSB fra Helsedirektoratet. SSB sine MMMM-framskrivinger tilsvarer middels verdier på fruktbarhet, levealder, innenlands flytting og innvandring. I de siste årene har behovsveksten i tillegg blitt justert med Utlendingsdirektoratet (UDI) sine anslag for bosetting av flyktninger fra Ukraina.</w:t>
      </w:r>
    </w:p>
    <w:p w14:paraId="54C6F372" w14:textId="77777777" w:rsidR="003953D6" w:rsidRPr="00346CBB" w:rsidRDefault="003953D6" w:rsidP="00346CBB">
      <w:r w:rsidRPr="00346CBB">
        <w:t xml:space="preserve">Utvalget har bedt Helsedirektoratet </w:t>
      </w:r>
      <w:proofErr w:type="spellStart"/>
      <w:r w:rsidRPr="00346CBB">
        <w:t>etterberegne</w:t>
      </w:r>
      <w:proofErr w:type="spellEnd"/>
      <w:r w:rsidRPr="00346CBB">
        <w:t xml:space="preserve"> faktisk vekst i demografidrevet behov fra og med året 2015. Helsedirektoratet har beregnet det demografiske behovet med utgangspunkt i faktiske forbruksrater foregående år og befolkningstall per 1. januar for året det gjelder. Unntaket er året 2021 hvor forbruksrater for 2019 er brukt på grunn av aktivitetsnedgangen i 2020 som følge av pandemien.</w:t>
      </w:r>
    </w:p>
    <w:p w14:paraId="6F765007" w14:textId="77777777" w:rsidR="003953D6" w:rsidRPr="00346CBB" w:rsidRDefault="003953D6" w:rsidP="00346CBB">
      <w:pPr>
        <w:pStyle w:val="tabell-tittel"/>
      </w:pPr>
      <w:r w:rsidRPr="00346CBB">
        <w:lastRenderedPageBreak/>
        <w:t>Budsjettert og faktisk vekst i demografidrevet behov. Prosent. 2015 til 2025.</w:t>
      </w:r>
    </w:p>
    <w:tbl>
      <w:tblPr>
        <w:tblW w:w="5000" w:type="pct"/>
        <w:tblCellMar>
          <w:left w:w="0" w:type="dxa"/>
          <w:right w:w="0" w:type="dxa"/>
        </w:tblCellMar>
        <w:tblLook w:val="0000" w:firstRow="0" w:lastRow="0" w:firstColumn="0" w:lastColumn="0" w:noHBand="0" w:noVBand="0"/>
      </w:tblPr>
      <w:tblGrid>
        <w:gridCol w:w="910"/>
        <w:gridCol w:w="664"/>
        <w:gridCol w:w="664"/>
        <w:gridCol w:w="664"/>
        <w:gridCol w:w="664"/>
        <w:gridCol w:w="664"/>
        <w:gridCol w:w="664"/>
        <w:gridCol w:w="664"/>
        <w:gridCol w:w="664"/>
        <w:gridCol w:w="664"/>
        <w:gridCol w:w="664"/>
        <w:gridCol w:w="664"/>
      </w:tblGrid>
      <w:tr w:rsidR="00A4769D" w:rsidRPr="00346CBB" w14:paraId="18C47830" w14:textId="77777777" w:rsidTr="00346CBB">
        <w:trPr>
          <w:trHeight w:val="396"/>
          <w:tblHeader/>
        </w:trPr>
        <w:tc>
          <w:tcPr>
            <w:tcW w:w="734"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8E900CC" w14:textId="77777777" w:rsidR="003953D6" w:rsidRPr="00346CBB" w:rsidRDefault="003953D6" w:rsidP="00346CBB">
            <w:r w:rsidRPr="00346CBB">
              <w:t xml:space="preserve"> </w:t>
            </w:r>
          </w:p>
        </w:tc>
        <w:tc>
          <w:tcPr>
            <w:tcW w:w="388"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DD06D73" w14:textId="77777777" w:rsidR="003953D6" w:rsidRPr="00346CBB" w:rsidRDefault="003953D6" w:rsidP="00346CBB">
            <w:pPr>
              <w:pStyle w:val="TabellHode-kolonne"/>
              <w:jc w:val="right"/>
            </w:pPr>
            <w:r w:rsidRPr="00346CBB">
              <w:t xml:space="preserve">2015 </w:t>
            </w:r>
          </w:p>
        </w:tc>
        <w:tc>
          <w:tcPr>
            <w:tcW w:w="388"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003985E" w14:textId="77777777" w:rsidR="003953D6" w:rsidRPr="00346CBB" w:rsidRDefault="003953D6" w:rsidP="00346CBB">
            <w:pPr>
              <w:pStyle w:val="TabellHode-kolonne"/>
              <w:jc w:val="right"/>
            </w:pPr>
            <w:r w:rsidRPr="00346CBB">
              <w:t xml:space="preserve">2016 </w:t>
            </w:r>
          </w:p>
        </w:tc>
        <w:tc>
          <w:tcPr>
            <w:tcW w:w="387"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4F8FB7A" w14:textId="77777777" w:rsidR="003953D6" w:rsidRPr="00346CBB" w:rsidRDefault="003953D6" w:rsidP="00346CBB">
            <w:pPr>
              <w:pStyle w:val="TabellHode-kolonne"/>
              <w:jc w:val="right"/>
            </w:pPr>
            <w:r w:rsidRPr="00346CBB">
              <w:t xml:space="preserve">2017 </w:t>
            </w:r>
          </w:p>
        </w:tc>
        <w:tc>
          <w:tcPr>
            <w:tcW w:w="388"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ED47368" w14:textId="77777777" w:rsidR="003953D6" w:rsidRPr="00346CBB" w:rsidRDefault="003953D6" w:rsidP="00346CBB">
            <w:pPr>
              <w:pStyle w:val="TabellHode-kolonne"/>
              <w:jc w:val="right"/>
            </w:pPr>
            <w:r w:rsidRPr="00346CBB">
              <w:t xml:space="preserve">2018 </w:t>
            </w:r>
          </w:p>
        </w:tc>
        <w:tc>
          <w:tcPr>
            <w:tcW w:w="387"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75C0878" w14:textId="77777777" w:rsidR="003953D6" w:rsidRPr="00346CBB" w:rsidRDefault="003953D6" w:rsidP="00346CBB">
            <w:pPr>
              <w:pStyle w:val="TabellHode-kolonne"/>
              <w:jc w:val="right"/>
            </w:pPr>
            <w:r w:rsidRPr="00346CBB">
              <w:t xml:space="preserve">2019 </w:t>
            </w:r>
          </w:p>
        </w:tc>
        <w:tc>
          <w:tcPr>
            <w:tcW w:w="388"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0BD9318" w14:textId="77777777" w:rsidR="003953D6" w:rsidRPr="00346CBB" w:rsidRDefault="003953D6" w:rsidP="00346CBB">
            <w:pPr>
              <w:pStyle w:val="TabellHode-kolonne"/>
              <w:jc w:val="right"/>
            </w:pPr>
            <w:r w:rsidRPr="00346CBB">
              <w:t xml:space="preserve">2020 </w:t>
            </w:r>
          </w:p>
        </w:tc>
        <w:tc>
          <w:tcPr>
            <w:tcW w:w="388"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33C10611" w14:textId="77777777" w:rsidR="003953D6" w:rsidRPr="00346CBB" w:rsidRDefault="003953D6" w:rsidP="00346CBB">
            <w:pPr>
              <w:pStyle w:val="TabellHode-kolonne"/>
              <w:jc w:val="right"/>
            </w:pPr>
            <w:r w:rsidRPr="00346CBB">
              <w:t xml:space="preserve">2021 </w:t>
            </w:r>
          </w:p>
        </w:tc>
        <w:tc>
          <w:tcPr>
            <w:tcW w:w="387"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F1287E1" w14:textId="77777777" w:rsidR="003953D6" w:rsidRPr="00346CBB" w:rsidRDefault="003953D6" w:rsidP="00346CBB">
            <w:pPr>
              <w:pStyle w:val="TabellHode-kolonne"/>
              <w:jc w:val="right"/>
            </w:pPr>
            <w:r w:rsidRPr="00346CBB">
              <w:t xml:space="preserve">2022 </w:t>
            </w:r>
          </w:p>
        </w:tc>
        <w:tc>
          <w:tcPr>
            <w:tcW w:w="388"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4F38413" w14:textId="77777777" w:rsidR="003953D6" w:rsidRPr="00346CBB" w:rsidRDefault="003953D6" w:rsidP="00346CBB">
            <w:pPr>
              <w:pStyle w:val="TabellHode-kolonne"/>
              <w:jc w:val="right"/>
            </w:pPr>
            <w:r w:rsidRPr="00346CBB">
              <w:t xml:space="preserve">2023 </w:t>
            </w:r>
          </w:p>
        </w:tc>
        <w:tc>
          <w:tcPr>
            <w:tcW w:w="388"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D1EB5BB" w14:textId="77777777" w:rsidR="003953D6" w:rsidRPr="00346CBB" w:rsidRDefault="003953D6" w:rsidP="00346CBB">
            <w:pPr>
              <w:pStyle w:val="TabellHode-kolonne"/>
              <w:jc w:val="right"/>
            </w:pPr>
            <w:r w:rsidRPr="00346CBB">
              <w:t xml:space="preserve">2024 </w:t>
            </w:r>
          </w:p>
        </w:tc>
        <w:tc>
          <w:tcPr>
            <w:tcW w:w="387"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3E2E7ED5" w14:textId="77777777" w:rsidR="003953D6" w:rsidRPr="00346CBB" w:rsidRDefault="003953D6" w:rsidP="00346CBB">
            <w:pPr>
              <w:pStyle w:val="TabellHode-kolonne"/>
              <w:jc w:val="right"/>
            </w:pPr>
            <w:r w:rsidRPr="00346CBB">
              <w:t>2025</w:t>
            </w:r>
          </w:p>
        </w:tc>
      </w:tr>
      <w:tr w:rsidR="00A4769D" w:rsidRPr="00346CBB" w14:paraId="5F0D0F1F" w14:textId="77777777" w:rsidTr="00346CBB">
        <w:trPr>
          <w:trHeight w:val="396"/>
        </w:trPr>
        <w:tc>
          <w:tcPr>
            <w:tcW w:w="734"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44395DD" w14:textId="77777777" w:rsidR="003953D6" w:rsidRPr="00346CBB" w:rsidRDefault="003953D6" w:rsidP="00346CBB">
            <w:pPr>
              <w:pStyle w:val="TabellHode-rad"/>
            </w:pPr>
            <w:r w:rsidRPr="00346CBB">
              <w:t xml:space="preserve">Budsjettert vekst, </w:t>
            </w:r>
            <w:r w:rsidRPr="00346CBB">
              <w:br/>
              <w:t>jf. årlige Prop. 1 S</w:t>
            </w:r>
          </w:p>
        </w:tc>
        <w:tc>
          <w:tcPr>
            <w:tcW w:w="388"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FD9239D" w14:textId="77777777" w:rsidR="003953D6" w:rsidRPr="00346CBB" w:rsidRDefault="003953D6" w:rsidP="00346CBB">
            <w:pPr>
              <w:jc w:val="right"/>
            </w:pPr>
            <w:r w:rsidRPr="00346CBB">
              <w:t>1,58</w:t>
            </w:r>
          </w:p>
        </w:tc>
        <w:tc>
          <w:tcPr>
            <w:tcW w:w="388"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8382030" w14:textId="77777777" w:rsidR="003953D6" w:rsidRPr="00346CBB" w:rsidRDefault="003953D6" w:rsidP="00346CBB">
            <w:pPr>
              <w:jc w:val="right"/>
            </w:pPr>
            <w:r w:rsidRPr="00346CBB">
              <w:t>1,50</w:t>
            </w:r>
          </w:p>
        </w:tc>
        <w:tc>
          <w:tcPr>
            <w:tcW w:w="387"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C37CFD8" w14:textId="77777777" w:rsidR="003953D6" w:rsidRPr="00346CBB" w:rsidRDefault="003953D6" w:rsidP="00346CBB">
            <w:pPr>
              <w:jc w:val="right"/>
            </w:pPr>
            <w:r w:rsidRPr="00346CBB">
              <w:t>1,47</w:t>
            </w:r>
          </w:p>
        </w:tc>
        <w:tc>
          <w:tcPr>
            <w:tcW w:w="388"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42D556E" w14:textId="77777777" w:rsidR="003953D6" w:rsidRPr="00346CBB" w:rsidRDefault="003953D6" w:rsidP="00346CBB">
            <w:pPr>
              <w:jc w:val="right"/>
            </w:pPr>
            <w:r w:rsidRPr="00346CBB">
              <w:t>1,54</w:t>
            </w:r>
          </w:p>
        </w:tc>
        <w:tc>
          <w:tcPr>
            <w:tcW w:w="387"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A332D22" w14:textId="77777777" w:rsidR="003953D6" w:rsidRPr="00346CBB" w:rsidRDefault="003953D6" w:rsidP="00346CBB">
            <w:pPr>
              <w:jc w:val="right"/>
            </w:pPr>
            <w:r w:rsidRPr="00346CBB">
              <w:t>1,30</w:t>
            </w:r>
          </w:p>
        </w:tc>
        <w:tc>
          <w:tcPr>
            <w:tcW w:w="388"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85758D5" w14:textId="77777777" w:rsidR="003953D6" w:rsidRPr="00346CBB" w:rsidRDefault="003953D6" w:rsidP="00346CBB">
            <w:pPr>
              <w:jc w:val="right"/>
            </w:pPr>
            <w:r w:rsidRPr="00346CBB">
              <w:t>1,28</w:t>
            </w:r>
          </w:p>
        </w:tc>
        <w:tc>
          <w:tcPr>
            <w:tcW w:w="388"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9F79102" w14:textId="77777777" w:rsidR="003953D6" w:rsidRPr="00346CBB" w:rsidRDefault="003953D6" w:rsidP="00346CBB">
            <w:pPr>
              <w:jc w:val="right"/>
            </w:pPr>
            <w:r w:rsidRPr="00346CBB">
              <w:t>1,28</w:t>
            </w:r>
          </w:p>
        </w:tc>
        <w:tc>
          <w:tcPr>
            <w:tcW w:w="387"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982EB51" w14:textId="77777777" w:rsidR="003953D6" w:rsidRPr="00346CBB" w:rsidRDefault="003953D6" w:rsidP="00346CBB">
            <w:pPr>
              <w:jc w:val="right"/>
            </w:pPr>
            <w:r w:rsidRPr="00346CBB">
              <w:t>1,16</w:t>
            </w:r>
          </w:p>
        </w:tc>
        <w:tc>
          <w:tcPr>
            <w:tcW w:w="388"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E8A6A5B" w14:textId="77777777" w:rsidR="003953D6" w:rsidRPr="00346CBB" w:rsidRDefault="003953D6" w:rsidP="00346CBB">
            <w:pPr>
              <w:jc w:val="right"/>
            </w:pPr>
            <w:r w:rsidRPr="00346CBB">
              <w:t>1,27</w:t>
            </w:r>
          </w:p>
        </w:tc>
        <w:tc>
          <w:tcPr>
            <w:tcW w:w="388"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F1ED60F" w14:textId="77777777" w:rsidR="003953D6" w:rsidRPr="00346CBB" w:rsidRDefault="003953D6" w:rsidP="00346CBB">
            <w:pPr>
              <w:jc w:val="right"/>
            </w:pPr>
            <w:r w:rsidRPr="00346CBB">
              <w:t>1,51</w:t>
            </w:r>
          </w:p>
        </w:tc>
        <w:tc>
          <w:tcPr>
            <w:tcW w:w="387"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D06F5B6" w14:textId="77777777" w:rsidR="003953D6" w:rsidRPr="00346CBB" w:rsidRDefault="003953D6" w:rsidP="00346CBB">
            <w:pPr>
              <w:jc w:val="right"/>
            </w:pPr>
            <w:r w:rsidRPr="00346CBB">
              <w:t>1,54</w:t>
            </w:r>
          </w:p>
        </w:tc>
      </w:tr>
      <w:tr w:rsidR="00A4769D" w:rsidRPr="00346CBB" w14:paraId="57F1D318" w14:textId="77777777" w:rsidTr="00346CBB">
        <w:trPr>
          <w:trHeight w:val="396"/>
        </w:trPr>
        <w:tc>
          <w:tcPr>
            <w:tcW w:w="73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30A0775" w14:textId="33402D80" w:rsidR="003953D6" w:rsidRPr="00346CBB" w:rsidRDefault="003953D6" w:rsidP="00346CBB">
            <w:pPr>
              <w:pStyle w:val="TabellHode-rad"/>
            </w:pPr>
            <w:proofErr w:type="spellStart"/>
            <w:r w:rsidRPr="00346CBB">
              <w:t>Etterberegnet</w:t>
            </w:r>
            <w:proofErr w:type="spellEnd"/>
            <w:r w:rsidRPr="00346CBB">
              <w:t>, faktisk vekst</w:t>
            </w:r>
          </w:p>
        </w:tc>
        <w:tc>
          <w:tcPr>
            <w:tcW w:w="38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2CCDC43" w14:textId="77777777" w:rsidR="003953D6" w:rsidRPr="00346CBB" w:rsidRDefault="003953D6" w:rsidP="00346CBB">
            <w:pPr>
              <w:jc w:val="right"/>
            </w:pPr>
            <w:r w:rsidRPr="00346CBB">
              <w:t>1,61</w:t>
            </w:r>
          </w:p>
        </w:tc>
        <w:tc>
          <w:tcPr>
            <w:tcW w:w="38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82AB821" w14:textId="77777777" w:rsidR="003953D6" w:rsidRPr="00346CBB" w:rsidRDefault="003953D6" w:rsidP="00346CBB">
            <w:pPr>
              <w:jc w:val="right"/>
            </w:pPr>
            <w:r w:rsidRPr="00346CBB">
              <w:t>1,48</w:t>
            </w:r>
          </w:p>
        </w:tc>
        <w:tc>
          <w:tcPr>
            <w:tcW w:w="38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9E68FE6" w14:textId="77777777" w:rsidR="003953D6" w:rsidRPr="00346CBB" w:rsidRDefault="003953D6" w:rsidP="00346CBB">
            <w:pPr>
              <w:jc w:val="right"/>
            </w:pPr>
            <w:r w:rsidRPr="00346CBB">
              <w:t>1,52</w:t>
            </w:r>
          </w:p>
        </w:tc>
        <w:tc>
          <w:tcPr>
            <w:tcW w:w="38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D2B4715" w14:textId="77777777" w:rsidR="003953D6" w:rsidRPr="00346CBB" w:rsidRDefault="003953D6" w:rsidP="00346CBB">
            <w:pPr>
              <w:jc w:val="right"/>
            </w:pPr>
            <w:r w:rsidRPr="00346CBB">
              <w:t>1,38</w:t>
            </w:r>
          </w:p>
        </w:tc>
        <w:tc>
          <w:tcPr>
            <w:tcW w:w="38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052C7B3" w14:textId="77777777" w:rsidR="003953D6" w:rsidRPr="00346CBB" w:rsidRDefault="003953D6" w:rsidP="00346CBB">
            <w:pPr>
              <w:jc w:val="right"/>
            </w:pPr>
            <w:r w:rsidRPr="00346CBB">
              <w:t>1,35</w:t>
            </w:r>
          </w:p>
        </w:tc>
        <w:tc>
          <w:tcPr>
            <w:tcW w:w="38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2C3D40D" w14:textId="77777777" w:rsidR="003953D6" w:rsidRPr="00346CBB" w:rsidRDefault="003953D6" w:rsidP="00346CBB">
            <w:pPr>
              <w:jc w:val="right"/>
            </w:pPr>
            <w:r w:rsidRPr="00346CBB">
              <w:t>1,46</w:t>
            </w:r>
          </w:p>
        </w:tc>
        <w:tc>
          <w:tcPr>
            <w:tcW w:w="38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DAACF23" w14:textId="77777777" w:rsidR="003953D6" w:rsidRPr="00346CBB" w:rsidRDefault="003953D6" w:rsidP="00346CBB">
            <w:pPr>
              <w:jc w:val="right"/>
            </w:pPr>
            <w:r w:rsidRPr="00346CBB">
              <w:t>1,12</w:t>
            </w:r>
          </w:p>
        </w:tc>
        <w:tc>
          <w:tcPr>
            <w:tcW w:w="38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CD95871" w14:textId="77777777" w:rsidR="003953D6" w:rsidRPr="00346CBB" w:rsidRDefault="003953D6" w:rsidP="00346CBB">
            <w:pPr>
              <w:jc w:val="right"/>
            </w:pPr>
            <w:r w:rsidRPr="00346CBB">
              <w:t>1,44</w:t>
            </w:r>
          </w:p>
        </w:tc>
        <w:tc>
          <w:tcPr>
            <w:tcW w:w="38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922C204" w14:textId="77777777" w:rsidR="003953D6" w:rsidRPr="00346CBB" w:rsidRDefault="003953D6" w:rsidP="00346CBB">
            <w:pPr>
              <w:jc w:val="right"/>
            </w:pPr>
            <w:r w:rsidRPr="00346CBB">
              <w:t>1,73</w:t>
            </w:r>
          </w:p>
        </w:tc>
        <w:tc>
          <w:tcPr>
            <w:tcW w:w="38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579DA8F" w14:textId="77777777" w:rsidR="003953D6" w:rsidRPr="00346CBB" w:rsidRDefault="003953D6" w:rsidP="00346CBB">
            <w:pPr>
              <w:jc w:val="right"/>
            </w:pPr>
            <w:r w:rsidRPr="00346CBB">
              <w:t>1,75</w:t>
            </w:r>
          </w:p>
        </w:tc>
        <w:tc>
          <w:tcPr>
            <w:tcW w:w="38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EC28841" w14:textId="77777777" w:rsidR="003953D6" w:rsidRPr="00346CBB" w:rsidRDefault="003953D6" w:rsidP="00346CBB">
            <w:pPr>
              <w:jc w:val="right"/>
            </w:pPr>
            <w:r w:rsidRPr="00346CBB">
              <w:t>1,51</w:t>
            </w:r>
          </w:p>
        </w:tc>
      </w:tr>
    </w:tbl>
    <w:p w14:paraId="733C235F" w14:textId="77777777" w:rsidR="003953D6" w:rsidRPr="00346CBB" w:rsidRDefault="003953D6" w:rsidP="00C9271A">
      <w:pPr>
        <w:jc w:val="right"/>
      </w:pPr>
    </w:p>
    <w:p w14:paraId="6525E3AD" w14:textId="77777777" w:rsidR="003953D6" w:rsidRPr="00346CBB" w:rsidRDefault="003953D6" w:rsidP="00346CBB">
      <w:pPr>
        <w:pStyle w:val="Kilde"/>
      </w:pPr>
      <w:r w:rsidRPr="00346CBB">
        <w:t>Kilde: Helsedirektoratet.</w:t>
      </w:r>
    </w:p>
    <w:p w14:paraId="799C60E6" w14:textId="6699966D" w:rsidR="003953D6" w:rsidRPr="00346CBB" w:rsidRDefault="00DA60DA" w:rsidP="00346CBB">
      <w:r>
        <w:rPr>
          <w:noProof/>
        </w:rPr>
        <w:drawing>
          <wp:inline distT="0" distB="0" distL="0" distR="0" wp14:anchorId="0FC63367" wp14:editId="1AA9D25B">
            <wp:extent cx="5210175" cy="2872740"/>
            <wp:effectExtent l="0" t="0" r="9525" b="3810"/>
            <wp:docPr id="862540715" name="Bilde 3" descr="Stolpe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540715" name="Bilde 3" descr="Stolpediagra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2872740"/>
                    </a:xfrm>
                    <a:prstGeom prst="rect">
                      <a:avLst/>
                    </a:prstGeom>
                    <a:noFill/>
                    <a:ln>
                      <a:noFill/>
                    </a:ln>
                  </pic:spPr>
                </pic:pic>
              </a:graphicData>
            </a:graphic>
          </wp:inline>
        </w:drawing>
      </w:r>
    </w:p>
    <w:p w14:paraId="7F3E5DD3" w14:textId="77777777" w:rsidR="003953D6" w:rsidRPr="00346CBB" w:rsidRDefault="003953D6" w:rsidP="00346CBB">
      <w:pPr>
        <w:pStyle w:val="figur-tittel"/>
      </w:pPr>
      <w:r w:rsidRPr="00346CBB">
        <w:lastRenderedPageBreak/>
        <w:t>Budsjettert og faktisk vekst i demografidrevet behov. Prosent. 2015 til 2025.</w:t>
      </w:r>
    </w:p>
    <w:p w14:paraId="16A254AD" w14:textId="77777777" w:rsidR="003953D6" w:rsidRPr="00346CBB" w:rsidRDefault="003953D6" w:rsidP="00346CBB">
      <w:pPr>
        <w:pStyle w:val="Kilde"/>
      </w:pPr>
      <w:r w:rsidRPr="00346CBB">
        <w:t>Kilde: Helsedirektoratet.</w:t>
      </w:r>
    </w:p>
    <w:p w14:paraId="6C972F69" w14:textId="77777777" w:rsidR="003953D6" w:rsidRPr="00346CBB" w:rsidRDefault="003953D6" w:rsidP="00346CBB">
      <w:r w:rsidRPr="00346CBB">
        <w:t>Tabell 4.1 viser Helsedirektoratets budsjetterte anslag og faktisk vekst i demografidrevet behov fra 2015 til 2025. De samme tallene er illustrert i figur 4.1. Helsedirektoratet benytter befolkningstall per 1. januar. Det er særlig i årene 2022 til 2024 at faktisk vekst avviker fra det budsjetterte anslaget. Dette skyldes blant annet at tilstrømmingen av flyktninger fra Ukraina ble høyere enn anslått.</w:t>
      </w:r>
    </w:p>
    <w:p w14:paraId="7F02C2AE" w14:textId="77777777" w:rsidR="003953D6" w:rsidRPr="00346CBB" w:rsidRDefault="003953D6" w:rsidP="00346CBB">
      <w:r w:rsidRPr="00346CBB">
        <w:t>Utvalget har oppdatert anslagene over merkostnader av demografiske endringer i 2024, 2025 og 2026:</w:t>
      </w:r>
    </w:p>
    <w:p w14:paraId="27F39103" w14:textId="77777777" w:rsidR="003953D6" w:rsidRPr="00346CBB" w:rsidRDefault="003953D6" w:rsidP="00346CBB">
      <w:pPr>
        <w:pStyle w:val="avsnitt-tittel"/>
        <w:rPr>
          <w:rStyle w:val="halvfet"/>
        </w:rPr>
      </w:pPr>
      <w:r w:rsidRPr="00346CBB">
        <w:t>For 2024</w:t>
      </w:r>
    </w:p>
    <w:p w14:paraId="460EE70C" w14:textId="77777777" w:rsidR="003953D6" w:rsidRPr="00346CBB" w:rsidRDefault="003953D6" w:rsidP="00346CBB">
      <w:r w:rsidRPr="00346CBB">
        <w:t>I utvalgets desember 2024-rapport, ble det vist til Helsedirektoratets etterberegning av vekst i demografidrevet behov for 2024 på 1,75 prosent, dvs. 0,24 prosentpoeng høyere enn lagt til grunn i statsbudsjettet for 2024, jf. tabell 4.1. Utvalget anslo i sin desember 2024-rapport at økningen i kostnader som følge av demografiske endringer, basert på de forutsetninger som lå til grunn for statsbudsjettet 2024 (marginalkostnad på 80 prosent), utgjorde 0,3 mrd. kroner.</w:t>
      </w:r>
    </w:p>
    <w:p w14:paraId="44C291B9" w14:textId="77777777" w:rsidR="003953D6" w:rsidRPr="00346CBB" w:rsidRDefault="003953D6" w:rsidP="00346CBB">
      <w:pPr>
        <w:pStyle w:val="avsnitt-tittel"/>
        <w:rPr>
          <w:rStyle w:val="kursiv"/>
        </w:rPr>
      </w:pPr>
      <w:r w:rsidRPr="00346CBB">
        <w:t>For 2025</w:t>
      </w:r>
    </w:p>
    <w:p w14:paraId="775D424A" w14:textId="401E482A" w:rsidR="003953D6" w:rsidRPr="00346CBB" w:rsidRDefault="003953D6" w:rsidP="00346CBB">
      <w:r w:rsidRPr="00346CBB">
        <w:t xml:space="preserve">Tilsvarende har Helsedirektoratet for 2025 nå </w:t>
      </w:r>
      <w:proofErr w:type="spellStart"/>
      <w:r w:rsidRPr="00346CBB">
        <w:t>etterberegnet</w:t>
      </w:r>
      <w:proofErr w:type="spellEnd"/>
      <w:r w:rsidRPr="00346CBB">
        <w:t xml:space="preserve"> vekst i demografidrevet behov for 2025 basert på faktiske folketall per 1. januar 2025 og forbruksratene i 2024 til 1,51 prosent, dvs. 0,03 prosentpoeng lavere enn lagt til grunn i statsbudsjettet for 2025, jf. tabell 4.1. Basert på de forutsetninger som ligger til grunn for statsbudsjettet for 2025 (marginalkostnad på 100 prosent), anslår utvalget at merkostnaden knyttet til vekst i demografisk behov tilsvarer anslaget i vedtatt statsbudsjett for 2025, dvs. om lag 2,9 mrd. kroner. Med utvalgets anslag på marginalkostnad på 92,5 prosent vil merkostnader som følge av demografiske endringer i 2025 være om lag 2,6 mrd. kroner.</w:t>
      </w:r>
    </w:p>
    <w:p w14:paraId="4FC51A27" w14:textId="77777777" w:rsidR="003953D6" w:rsidRPr="00346CBB" w:rsidRDefault="003953D6" w:rsidP="00346CBB">
      <w:pPr>
        <w:pStyle w:val="avsnitt-tittel"/>
        <w:rPr>
          <w:rStyle w:val="halvfet"/>
        </w:rPr>
      </w:pPr>
      <w:r w:rsidRPr="00346CBB">
        <w:lastRenderedPageBreak/>
        <w:t>For 2026</w:t>
      </w:r>
    </w:p>
    <w:p w14:paraId="57891B04" w14:textId="77777777" w:rsidR="003953D6" w:rsidRPr="00346CBB" w:rsidRDefault="003953D6" w:rsidP="00346CBB">
      <w:r w:rsidRPr="00346CBB">
        <w:t>I sin desember 2024-rapport viste utvalget til Helsedirektoratets budsjetterte anslag for demografidrevet behov på 1,30 prosent for 2026. Helsedirektoratets budsjetterte anslag var basert på SSB sin befolkningsframskriving fra juni 2024 og forbruksrater fra 2023.</w:t>
      </w:r>
    </w:p>
    <w:p w14:paraId="41DE41EB" w14:textId="77777777" w:rsidR="003953D6" w:rsidRPr="00346CBB" w:rsidRDefault="003953D6" w:rsidP="00346CBB">
      <w:r w:rsidRPr="00346CBB">
        <w:t>Helsedirektoratet beregner nå et budsjettert anslag for vekst i demografidrevet behov i 2026 på 1,38 prosent, dvs. en økning på 0,08 prosentpoeng sammenlignet med anslaget i desember 2024. Det nye anslaget er basert på SSB sin befolkningsframskriving fra juni 2024 på faktiske folketall 1. januar 2025, forbruksrater fra 2024 og siste informasjon om Utlendingsdirektoratet (UDI) sine anslag for bosetting av flyktninger fra Ukraina, jf. SSBs befolkningsframskriving for 2026 og marsrapport fra TBU kommune.</w:t>
      </w:r>
    </w:p>
    <w:p w14:paraId="0693A992" w14:textId="64C343BB" w:rsidR="003953D6" w:rsidRPr="00346CBB" w:rsidRDefault="003953D6" w:rsidP="00346CBB">
      <w:r w:rsidRPr="00346CBB">
        <w:t>Helsedirektoratet viser til at SSBs befolkningsframskriving (MMMM) gir en befolkningsvekst på 0,79 prosent fra 2025 til 2026. Beregnet behovsvekst for 2026 varierer mellom tjenesteområdene somatikk, psykisk helsevern og TSB. Innenfor en samlet behovsvekst på 1,38 prosent forventes behovet å øke med 1,56 prosent for somatikk, 0,91 prosent for det psykiske helsevernet for voksne, 0,79 prosent for TSB, mens det er en reduksjon på 0,12 prosent for det psykiske helsevernet for barn og unge. Reduksjonen skyldes forventet nedgang i folketallet for aldersgruppen under 19 år. Sterkere behovsvekst i somatisk spesialisthelsetjeneste henger sammen med at bruken av spesialisthelsetjenester øker med økende alder, og at befolkningen forventes å øke mest for de eldste aldersgruppene. Innenfor psykisk helsevern og TSB er behandlingsraten høyere for de yngre aldersgruppene enn for eldre.</w:t>
      </w:r>
    </w:p>
    <w:p w14:paraId="69DCE74E" w14:textId="77777777" w:rsidR="003953D6" w:rsidRPr="00346CBB" w:rsidRDefault="003953D6" w:rsidP="00346CBB">
      <w:r w:rsidRPr="00346CBB">
        <w:t>Utvalget beregner nå at et budsjettert anslag på demografidrevet behov på 1,38 prosent i 2026 tilsvarer en anslått merkostnad på om lag 2,5 mrd. 2025-kroner. Det er her brukt en forutsetning om 92,5 prosent marginalkostnad, der beregningsgrunnlaget er driftsbevilgningene til de regionale helseforetakene for 2025 i Saldert budsjett 2025, fratrukket pensjonskostnader.</w:t>
      </w:r>
    </w:p>
    <w:p w14:paraId="5AA28E0D" w14:textId="77777777" w:rsidR="003953D6" w:rsidRPr="00346CBB" w:rsidRDefault="003953D6" w:rsidP="00346CBB">
      <w:pPr>
        <w:pStyle w:val="Overskrift1"/>
      </w:pPr>
      <w:r w:rsidRPr="00346CBB">
        <w:lastRenderedPageBreak/>
        <w:t>Den økonomiske situasjonen</w:t>
      </w:r>
    </w:p>
    <w:p w14:paraId="29306616" w14:textId="77777777" w:rsidR="003953D6" w:rsidRPr="00346CBB" w:rsidRDefault="003953D6" w:rsidP="00346CBB">
      <w:pPr>
        <w:pStyle w:val="Overskrift2"/>
      </w:pPr>
      <w:r w:rsidRPr="00346CBB">
        <w:t>Innledning</w:t>
      </w:r>
    </w:p>
    <w:p w14:paraId="40C919E8" w14:textId="320A39EC" w:rsidR="003953D6" w:rsidRPr="00346CBB" w:rsidRDefault="003953D6" w:rsidP="00346CBB">
      <w:r w:rsidRPr="00346CBB">
        <w:t>Det framgår av mandatet at utvalget skal gi en faglig vurdering av data som gjelder økonomien i spesialisthelsetjenesten og særlig vurdere utviklingen i sykehusøkonomien. De regionale helseforetakene skal ivareta sitt sørge for-ansvar</w:t>
      </w:r>
      <w:r w:rsidRPr="00346CBB">
        <w:rPr>
          <w:rStyle w:val="Fotnotereferanse"/>
        </w:rPr>
        <w:footnoteReference w:id="4"/>
      </w:r>
      <w:r w:rsidRPr="00346CBB">
        <w:t xml:space="preserve"> innenfor de økonomiske rammene som Stortinget bevilger årlig. De regionale helseforetakene tildeles en samlet bevilgning som skal dekke kostnader til drift og investeringer. Innenfor denne rammen vil både inntektsutviklingen og utviklingen i den løpende driften ha betydning for helseforetakenes evne til å sørge for tilstrekkelig behandlingskapasitet og til å ivareta og fornye bygninger, teknologi og utstyr over tid. I dette kapittelet inkluderes også andre inntekter enn driftsbevilgninger. Utvalget viser til omtale av driftsbevilgningene i kapittel 3.</w:t>
      </w:r>
    </w:p>
    <w:p w14:paraId="7DF3B0CB" w14:textId="77777777" w:rsidR="003953D6" w:rsidRPr="00346CBB" w:rsidRDefault="003953D6" w:rsidP="00346CBB">
      <w:r w:rsidRPr="00346CBB">
        <w:t>En av intensjonene med helseforetaksmodellen var å oppnå større bevissthet om innsatsfaktoren kapital. Helseforetakene ble derfor underlagt regnskapslovens bestemmelser. Kostnadene til bygninger, teknologi og utstyr fordeles over den økonomiske levetiden og framkommer som avskrivninger i helseforetakenes regnskaper. Dermed blir kostnader til bygninger, teknologi og utstyr synliggjort i regnskapet på lik linje med kostnader til arbeidskraft og medikamenter mv.</w:t>
      </w:r>
    </w:p>
    <w:p w14:paraId="08D261F2" w14:textId="77777777" w:rsidR="003953D6" w:rsidRPr="00346CBB" w:rsidRDefault="003953D6" w:rsidP="00346CBB">
      <w:r w:rsidRPr="00346CBB">
        <w:t>Avskrivningskostnader er en ikke-betalbar kostnad og skal representere fall i bruksverdien for anleggsmidlene. Det følger av sammenstillingsprinsippet og Regnskapsloven § 5-3 andre ledd at anleggsmidler med begrenset økonomisk levetid skal avskrives etter en fornuftig avskrivningsplan. Det betyr at anskaffelseskostnaden for eiendelen fordeles over denne levetiden. De årlige avskrivningene kostnadsføres i resultatregnskapet.</w:t>
      </w:r>
    </w:p>
    <w:p w14:paraId="0A0440AF" w14:textId="4D5CD62B" w:rsidR="003953D6" w:rsidRPr="00346CBB" w:rsidRDefault="003953D6" w:rsidP="00346CBB">
      <w:r w:rsidRPr="00346CBB">
        <w:t xml:space="preserve">I NOU 2023: 8 </w:t>
      </w:r>
      <w:r w:rsidRPr="00346CBB">
        <w:rPr>
          <w:rStyle w:val="kursiv"/>
        </w:rPr>
        <w:t>Fellesskapets sykehus</w:t>
      </w:r>
      <w:r w:rsidRPr="00346CBB">
        <w:t xml:space="preserve"> er det vist til at bruk av regnskapslovens bestemmelser har vært et viktig bidrag for å gi oversikt over, og styring med, helseforetakenes økonomi og bruk av kapital. I NOU 2016: 25 </w:t>
      </w:r>
      <w:r w:rsidRPr="00346CBB">
        <w:rPr>
          <w:rStyle w:val="kursiv"/>
        </w:rPr>
        <w:t>Organisering og styring av spesialisthelsetjenesten</w:t>
      </w:r>
      <w:r w:rsidRPr="00346CBB">
        <w:t xml:space="preserve"> er det vist til at lavere vekst i kostnader enn i bevilgninger og bedre økonomistyring, har skapt rom for å øke investeringsnivået </w:t>
      </w:r>
      <w:r w:rsidRPr="00346CBB">
        <w:lastRenderedPageBreak/>
        <w:t>over tid. Helseforetakene har et helhetlig ansvar for å vurdere drift og kapital i sammenheng innenfor tilgjengelige økonomiske rammer. Det vises til følgende utdrag fra protokoll fra foretaksmøte for de regionale helseforetakene 15. januar 2025:</w:t>
      </w:r>
    </w:p>
    <w:p w14:paraId="60321CCA" w14:textId="77777777" w:rsidR="003953D6" w:rsidRPr="00346CBB" w:rsidRDefault="003953D6" w:rsidP="00346CBB">
      <w:pPr>
        <w:pStyle w:val="blokksit"/>
        <w:rPr>
          <w:rStyle w:val="kursiv"/>
        </w:rPr>
      </w:pPr>
      <w:proofErr w:type="gramStart"/>
      <w:r w:rsidRPr="00346CBB">
        <w:rPr>
          <w:rStyle w:val="kursiv"/>
        </w:rPr>
        <w:t>« –</w:t>
      </w:r>
      <w:proofErr w:type="gramEnd"/>
      <w:r w:rsidRPr="00346CBB">
        <w:rPr>
          <w:rStyle w:val="kursiv"/>
        </w:rPr>
        <w:t xml:space="preserve"> de regionale helseforetakene innretter virksomheten innenfor økonomiske rammer og krav som følger av Stortingets behandling av Prop. 1 S (2024–2025), foretaksmøtet og oppdragsdokumentet for 2025, slik at sørge for-ansvaret oppfylles og det legges til rette for en bærekraftig utvikling over tid.»</w:t>
      </w:r>
    </w:p>
    <w:p w14:paraId="7D875974" w14:textId="77777777" w:rsidR="003953D6" w:rsidRPr="00346CBB" w:rsidRDefault="003953D6" w:rsidP="00346CBB">
      <w:r w:rsidRPr="00346CBB">
        <w:t>Helseforetakene har ikke et krav til et resultat i balanse det enkelte år, men krav til en økonomisk bærekraftig utvikling over tid. Innenfor rammene av dette kravet kan likevel det økonomiske resultatet være negativt enkelte år, for eksempel etter innflytting i nye sykehusbygg med tilhørende økte kapitalkostnader</w:t>
      </w:r>
      <w:r w:rsidRPr="00346CBB">
        <w:rPr>
          <w:rStyle w:val="Fotnotereferanse"/>
        </w:rPr>
        <w:footnoteReference w:id="5"/>
      </w:r>
      <w:r w:rsidRPr="00346CBB">
        <w:t>.</w:t>
      </w:r>
    </w:p>
    <w:p w14:paraId="4C7FC2CE" w14:textId="77777777" w:rsidR="003953D6" w:rsidRPr="00346CBB" w:rsidRDefault="003953D6" w:rsidP="00346CBB">
      <w:r w:rsidRPr="00346CBB">
        <w:t xml:space="preserve">Helseforetakene må som et minimum frigjøre tilstrekkelig likviditet til å kunne vedlikeholde og </w:t>
      </w:r>
      <w:proofErr w:type="spellStart"/>
      <w:r w:rsidRPr="00346CBB">
        <w:t>gjenanskaffe</w:t>
      </w:r>
      <w:proofErr w:type="spellEnd"/>
      <w:r w:rsidRPr="00346CBB">
        <w:t xml:space="preserve"> bygninger, teknologi og utstyr, og dimensjonere kapasiteten i tråd med </w:t>
      </w:r>
      <w:proofErr w:type="gramStart"/>
      <w:r w:rsidRPr="00346CBB">
        <w:t>sørge</w:t>
      </w:r>
      <w:proofErr w:type="gramEnd"/>
      <w:r w:rsidRPr="00346CBB">
        <w:t xml:space="preserve"> for-ansvaret. Dagens finansieringsmodell krever at egenkapitalfinansiering til gjenanskaffelse av anleggsmidler til historisk anskaffelseskostnad, skaffes til veie gjennom fri likviditet fra avskrivninger ved et resultat i balanse. Dersom gjenanskaffelseskostnadene er større enn de historiske kostnadene, må differansen finansieres gjennom økt positivt driftsresultat før av- og nedskriving (EBITDA</w:t>
      </w:r>
      <w:r w:rsidRPr="00346CBB">
        <w:rPr>
          <w:rStyle w:val="Fotnotereferanse"/>
        </w:rPr>
        <w:footnoteReference w:id="6"/>
      </w:r>
      <w:r w:rsidRPr="00346CBB">
        <w:t>).</w:t>
      </w:r>
      <w:r w:rsidRPr="00346CBB">
        <w:rPr>
          <w:rStyle w:val="Fotnotereferanse"/>
        </w:rPr>
        <w:footnoteReference w:id="7"/>
      </w:r>
    </w:p>
    <w:p w14:paraId="5C6148DA" w14:textId="7D911BBD" w:rsidR="003953D6" w:rsidRPr="00346CBB" w:rsidRDefault="003953D6" w:rsidP="00346CBB">
      <w:r w:rsidRPr="00346CBB">
        <w:lastRenderedPageBreak/>
        <w:t xml:space="preserve">Det økte positive driftsresultatet må over tid tilsvare prisutvikling ved anskaffelse av bygg, teknologi og utstyr. Dersom driftsresultat før avskrivninger svekkes over tid, for eksempel i takt med fallende avskrivningskostnader, må driftsresultat før avskrivninger økes gjennom positive resultater for å ha tilstrekkelig egenfinansiering og bæreevne for å kunne </w:t>
      </w:r>
      <w:proofErr w:type="spellStart"/>
      <w:r w:rsidRPr="00346CBB">
        <w:t>gjenanskaffe</w:t>
      </w:r>
      <w:proofErr w:type="spellEnd"/>
      <w:r w:rsidRPr="00346CBB">
        <w:t xml:space="preserve"> kapitalen. Helseforetakene vil derfor – som hovedregel – måtte ha positive økonomiske resultater i perioden før gjenanskaffelse, fordi avskrivningsnivået målt i faste priser faller. Det betyr videre at dersom helseforetaket i utgangspunktet har et bærekraftig resultat før avskrivninger, vil det ikke være behov for å realisere driftsøkonomiske gevinster fra investeringen for å kunne </w:t>
      </w:r>
      <w:proofErr w:type="spellStart"/>
      <w:r w:rsidRPr="00346CBB">
        <w:t>gjenanskaffe</w:t>
      </w:r>
      <w:proofErr w:type="spellEnd"/>
      <w:r w:rsidRPr="00346CBB">
        <w:t xml:space="preserve"> kapitalen.</w:t>
      </w:r>
    </w:p>
    <w:p w14:paraId="1B34C23E" w14:textId="77777777" w:rsidR="003953D6" w:rsidRPr="00346CBB" w:rsidRDefault="003953D6" w:rsidP="00346CBB">
      <w:r w:rsidRPr="00346CBB">
        <w:t>Ofte gjennomføres større investeringer for å sikre tilstrekkelig behandlingskapasitet framover. Dermed vil kapitalbehovet og med det avskrivningsnivået øke. Som følge av dette vil også driftsresultat før avskrivninger måtte øke. Investeringer i spesialisthelsetjenesten er normalt en kombinasjon av gjenanskaffelse og behov for økt kapasitet. Det betyr at vurderingene vil være sammensatte.</w:t>
      </w:r>
    </w:p>
    <w:p w14:paraId="520C7F57" w14:textId="77777777" w:rsidR="003953D6" w:rsidRPr="00346CBB" w:rsidRDefault="003953D6" w:rsidP="00346CBB">
      <w:r w:rsidRPr="00346CBB">
        <w:t>Utvalget viser til NOU 2023: 8 for en beskrivelse av låneordningen.</w:t>
      </w:r>
    </w:p>
    <w:p w14:paraId="447E1CFF" w14:textId="77777777" w:rsidR="003953D6" w:rsidRPr="00346CBB" w:rsidRDefault="003953D6" w:rsidP="00346CBB">
      <w:r w:rsidRPr="00346CBB">
        <w:t>Dersom investeringene finansieres med lån</w:t>
      </w:r>
      <w:r w:rsidRPr="00346CBB">
        <w:rPr>
          <w:rStyle w:val="Fotnotereferanse"/>
        </w:rPr>
        <w:footnoteReference w:id="8"/>
      </w:r>
      <w:r w:rsidRPr="00346CBB">
        <w:t xml:space="preserve"> i tillegg til egenkapital, vil driftsresultat før avskrivninger måtte øke for å håndtere rentekostnadene. Avdrag på lån finansieres i hovedsak ved likviditet fra avskrivinger, dvs. den delen av basisbevilgningen som skal dekke avskrivninger som er en ikke-betalbar kostnad.</w:t>
      </w:r>
    </w:p>
    <w:p w14:paraId="352B4E29" w14:textId="77777777" w:rsidR="003953D6" w:rsidRPr="00346CBB" w:rsidRDefault="003953D6" w:rsidP="00346CBB">
      <w:pPr>
        <w:pStyle w:val="Overskrift2"/>
      </w:pPr>
      <w:r w:rsidRPr="00346CBB">
        <w:t>Utvikling i årsresultat og driftsresultat før avskrivninger</w:t>
      </w:r>
    </w:p>
    <w:p w14:paraId="59624778" w14:textId="77777777" w:rsidR="003953D6" w:rsidRPr="00346CBB" w:rsidRDefault="003953D6" w:rsidP="00346CBB">
      <w:r w:rsidRPr="00346CBB">
        <w:t>Utvalget beskriver to indikatorer for å belyse den økonomiske utviklingen i sektoren, årsresultatet og driftsresultat før avskrivninger. Driftsresultat før avskrivninger er et mål på hvor god den underliggende driften er økonomisk sett, og hva den frigjør av likviditet for å betjene kapitalkostnader og finansiere kommende investeringer.</w:t>
      </w:r>
    </w:p>
    <w:p w14:paraId="2A5CB8DC" w14:textId="77777777" w:rsidR="003953D6" w:rsidRPr="00346CBB" w:rsidRDefault="003953D6" w:rsidP="00346CBB">
      <w:r w:rsidRPr="00346CBB">
        <w:lastRenderedPageBreak/>
        <w:t>Årsregnskapene for 2024 ble godkjent i foretaksmøte 12. juni 2025. Samlet resultat i 2024 var på 3 276 mill. kroner mot 1 496 mill. kroner i 2023. Samlet resultat i 2024 tilsvarte 1,6 prosent av driftsinntektene</w:t>
      </w:r>
      <w:r w:rsidRPr="00346CBB">
        <w:rPr>
          <w:rStyle w:val="Fotnotereferanse"/>
        </w:rPr>
        <w:footnoteReference w:id="9"/>
      </w:r>
      <w:r w:rsidRPr="00346CBB">
        <w:t xml:space="preserve"> samme år. Resultatet ble styrket av tilleggsbevilgninger i revidert nasjonalbudsjett 2024 og nysalderingen i 2024 på til sammen 4,2 mrd. kroner, og både samlet årsresultat og driftsresultat før avskrivninger var bedre enn året før. Det er imidlertid betydelige regionale variasjoner.</w:t>
      </w:r>
    </w:p>
    <w:p w14:paraId="422CA9D6" w14:textId="77777777" w:rsidR="003953D6" w:rsidRPr="00346CBB" w:rsidRDefault="003953D6" w:rsidP="00346CBB">
      <w:r w:rsidRPr="00346CBB">
        <w:t>I 2025 er det budsjettert med et samlet årsresultat på om lag 2,6 mrd. kroner. Per april er det rapportert til Helse- og omsorgsdepartementet et samlet positivt resultat på 653 mill. kroner og et positivt avvik mot budsjett på 23 mill. kroner.</w:t>
      </w:r>
    </w:p>
    <w:p w14:paraId="467C4F62" w14:textId="77777777" w:rsidR="003953D6" w:rsidRPr="00346CBB" w:rsidRDefault="003953D6" w:rsidP="00346CBB">
      <w:pPr>
        <w:pStyle w:val="tabell-tittel"/>
      </w:pPr>
      <w:r w:rsidRPr="00346CBB">
        <w:t xml:space="preserve">Utvikling i samlet årsresultat 2015–2024 i løpende priser og mill. kroner. </w:t>
      </w:r>
    </w:p>
    <w:tbl>
      <w:tblPr>
        <w:tblW w:w="5000" w:type="pct"/>
        <w:tblCellMar>
          <w:left w:w="0" w:type="dxa"/>
          <w:right w:w="0" w:type="dxa"/>
        </w:tblCellMar>
        <w:tblLook w:val="0000" w:firstRow="0" w:lastRow="0" w:firstColumn="0" w:lastColumn="0" w:noHBand="0" w:noVBand="0"/>
      </w:tblPr>
      <w:tblGrid>
        <w:gridCol w:w="724"/>
        <w:gridCol w:w="1247"/>
        <w:gridCol w:w="1247"/>
        <w:gridCol w:w="1247"/>
        <w:gridCol w:w="1247"/>
        <w:gridCol w:w="1247"/>
        <w:gridCol w:w="1255"/>
      </w:tblGrid>
      <w:tr w:rsidR="00A4769D" w:rsidRPr="00346CBB" w14:paraId="2F38AD50" w14:textId="77777777" w:rsidTr="00346CBB">
        <w:trPr>
          <w:trHeight w:val="396"/>
          <w:tblHeader/>
        </w:trPr>
        <w:tc>
          <w:tcPr>
            <w:tcW w:w="44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9FE37DF" w14:textId="77777777" w:rsidR="003953D6" w:rsidRPr="00346CBB" w:rsidRDefault="003953D6" w:rsidP="00C9271A">
            <w:pPr>
              <w:jc w:val="right"/>
            </w:pPr>
          </w:p>
        </w:tc>
        <w:tc>
          <w:tcPr>
            <w:tcW w:w="75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8B2349D" w14:textId="77777777" w:rsidR="003953D6" w:rsidRPr="00346CBB" w:rsidRDefault="003953D6" w:rsidP="00346CBB">
            <w:pPr>
              <w:pStyle w:val="TabellHode-kolonne"/>
              <w:jc w:val="right"/>
            </w:pPr>
            <w:r w:rsidRPr="00346CBB">
              <w:t xml:space="preserve">Helse </w:t>
            </w:r>
            <w:r w:rsidRPr="00346CBB">
              <w:br/>
              <w:t>Sør-Øst</w:t>
            </w:r>
          </w:p>
        </w:tc>
        <w:tc>
          <w:tcPr>
            <w:tcW w:w="75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7993345" w14:textId="77777777" w:rsidR="003953D6" w:rsidRPr="00346CBB" w:rsidRDefault="003953D6" w:rsidP="00346CBB">
            <w:pPr>
              <w:pStyle w:val="TabellHode-kolonne"/>
              <w:jc w:val="right"/>
            </w:pPr>
            <w:r w:rsidRPr="00346CBB">
              <w:t>Helse Vest</w:t>
            </w:r>
          </w:p>
        </w:tc>
        <w:tc>
          <w:tcPr>
            <w:tcW w:w="75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B509571" w14:textId="77777777" w:rsidR="003953D6" w:rsidRPr="00346CBB" w:rsidRDefault="003953D6" w:rsidP="00346CBB">
            <w:pPr>
              <w:pStyle w:val="TabellHode-kolonne"/>
              <w:jc w:val="right"/>
            </w:pPr>
            <w:r w:rsidRPr="00346CBB">
              <w:t xml:space="preserve">Helse </w:t>
            </w:r>
            <w:r w:rsidRPr="00346CBB">
              <w:br/>
              <w:t>Midt-Norge</w:t>
            </w:r>
          </w:p>
        </w:tc>
        <w:tc>
          <w:tcPr>
            <w:tcW w:w="75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D81CC71" w14:textId="77777777" w:rsidR="003953D6" w:rsidRPr="00346CBB" w:rsidRDefault="003953D6" w:rsidP="00346CBB">
            <w:pPr>
              <w:pStyle w:val="TabellHode-kolonne"/>
              <w:jc w:val="right"/>
            </w:pPr>
            <w:r w:rsidRPr="00346CBB">
              <w:t>Helse Nord</w:t>
            </w:r>
          </w:p>
        </w:tc>
        <w:tc>
          <w:tcPr>
            <w:tcW w:w="75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78CF452" w14:textId="77777777" w:rsidR="003953D6" w:rsidRPr="00346CBB" w:rsidRDefault="003953D6" w:rsidP="00346CBB">
            <w:pPr>
              <w:pStyle w:val="TabellHode-kolonne"/>
              <w:jc w:val="right"/>
            </w:pPr>
            <w:r w:rsidRPr="00346CBB">
              <w:t>Sum</w:t>
            </w:r>
          </w:p>
        </w:tc>
        <w:tc>
          <w:tcPr>
            <w:tcW w:w="766"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585F5EE" w14:textId="42E225FC" w:rsidR="003953D6" w:rsidRPr="00346CBB" w:rsidRDefault="003953D6" w:rsidP="00346CBB">
            <w:pPr>
              <w:pStyle w:val="TabellHode-kolonne"/>
              <w:jc w:val="right"/>
            </w:pPr>
            <w:r w:rsidRPr="00346CBB">
              <w:t>Årsresultat i prosent av driftsinntektene</w:t>
            </w:r>
          </w:p>
        </w:tc>
      </w:tr>
      <w:tr w:rsidR="00A4769D" w:rsidRPr="00346CBB" w14:paraId="18AB96D1" w14:textId="77777777" w:rsidTr="00346CBB">
        <w:trPr>
          <w:trHeight w:val="396"/>
        </w:trPr>
        <w:tc>
          <w:tcPr>
            <w:tcW w:w="44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C5DA7A9" w14:textId="77777777" w:rsidR="003953D6" w:rsidRPr="00346CBB" w:rsidRDefault="003953D6" w:rsidP="00346CBB">
            <w:pPr>
              <w:pStyle w:val="TabellHode-rad"/>
            </w:pPr>
            <w:r w:rsidRPr="00346CBB">
              <w:t>2015</w:t>
            </w:r>
          </w:p>
        </w:tc>
        <w:tc>
          <w:tcPr>
            <w:tcW w:w="75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FF5D0D1" w14:textId="77777777" w:rsidR="003953D6" w:rsidRPr="00346CBB" w:rsidRDefault="003953D6" w:rsidP="00346CBB">
            <w:pPr>
              <w:jc w:val="right"/>
            </w:pPr>
            <w:r w:rsidRPr="00346CBB">
              <w:t>1 046</w:t>
            </w:r>
          </w:p>
        </w:tc>
        <w:tc>
          <w:tcPr>
            <w:tcW w:w="75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458B446" w14:textId="77777777" w:rsidR="003953D6" w:rsidRPr="00346CBB" w:rsidRDefault="003953D6" w:rsidP="00346CBB">
            <w:pPr>
              <w:jc w:val="right"/>
            </w:pPr>
            <w:r w:rsidRPr="00346CBB">
              <w:t>680</w:t>
            </w:r>
          </w:p>
        </w:tc>
        <w:tc>
          <w:tcPr>
            <w:tcW w:w="75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A08ACCF" w14:textId="77777777" w:rsidR="003953D6" w:rsidRPr="00346CBB" w:rsidRDefault="003953D6" w:rsidP="00346CBB">
            <w:pPr>
              <w:jc w:val="right"/>
            </w:pPr>
            <w:r w:rsidRPr="00346CBB">
              <w:t>393</w:t>
            </w:r>
          </w:p>
        </w:tc>
        <w:tc>
          <w:tcPr>
            <w:tcW w:w="75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9DA50B3" w14:textId="77777777" w:rsidR="003953D6" w:rsidRPr="00346CBB" w:rsidRDefault="003953D6" w:rsidP="00346CBB">
            <w:pPr>
              <w:jc w:val="right"/>
            </w:pPr>
            <w:r w:rsidRPr="00346CBB">
              <w:t>617</w:t>
            </w:r>
          </w:p>
        </w:tc>
        <w:tc>
          <w:tcPr>
            <w:tcW w:w="75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756B227" w14:textId="77777777" w:rsidR="003953D6" w:rsidRPr="00346CBB" w:rsidRDefault="003953D6" w:rsidP="00346CBB">
            <w:pPr>
              <w:jc w:val="right"/>
            </w:pPr>
            <w:r w:rsidRPr="00346CBB">
              <w:t>2 736</w:t>
            </w:r>
          </w:p>
        </w:tc>
        <w:tc>
          <w:tcPr>
            <w:tcW w:w="766"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3FD54D1" w14:textId="77777777" w:rsidR="003953D6" w:rsidRPr="00346CBB" w:rsidRDefault="003953D6" w:rsidP="00346CBB">
            <w:pPr>
              <w:jc w:val="right"/>
            </w:pPr>
            <w:r w:rsidRPr="00346CBB">
              <w:t>1,9 %</w:t>
            </w:r>
          </w:p>
        </w:tc>
      </w:tr>
      <w:tr w:rsidR="00A4769D" w:rsidRPr="00346CBB" w14:paraId="57CC6F2A" w14:textId="77777777" w:rsidTr="00346CBB">
        <w:trPr>
          <w:trHeight w:val="396"/>
        </w:trPr>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9C58EF2" w14:textId="77777777" w:rsidR="003953D6" w:rsidRPr="00346CBB" w:rsidRDefault="003953D6" w:rsidP="00346CBB">
            <w:pPr>
              <w:pStyle w:val="TabellHode-rad"/>
            </w:pPr>
            <w:r w:rsidRPr="00346CBB">
              <w:t>2016</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B09842C" w14:textId="77777777" w:rsidR="003953D6" w:rsidRPr="00346CBB" w:rsidRDefault="003953D6" w:rsidP="00346CBB">
            <w:pPr>
              <w:jc w:val="right"/>
            </w:pPr>
            <w:r w:rsidRPr="00346CBB">
              <w:t>1 343</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72076E8" w14:textId="77777777" w:rsidR="003953D6" w:rsidRPr="00346CBB" w:rsidRDefault="003953D6" w:rsidP="00346CBB">
            <w:pPr>
              <w:jc w:val="right"/>
            </w:pPr>
            <w:r w:rsidRPr="00346CBB">
              <w:t>724</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37E83E9" w14:textId="77777777" w:rsidR="003953D6" w:rsidRPr="00346CBB" w:rsidRDefault="003953D6" w:rsidP="00346CBB">
            <w:pPr>
              <w:jc w:val="right"/>
            </w:pPr>
            <w:r w:rsidRPr="00346CBB">
              <w:t>364</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797757C" w14:textId="77777777" w:rsidR="003953D6" w:rsidRPr="00346CBB" w:rsidRDefault="003953D6" w:rsidP="00346CBB">
            <w:pPr>
              <w:jc w:val="right"/>
            </w:pPr>
            <w:r w:rsidRPr="00346CBB">
              <w:t>539</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882E8FE" w14:textId="77777777" w:rsidR="003953D6" w:rsidRPr="00346CBB" w:rsidRDefault="003953D6" w:rsidP="00346CBB">
            <w:pPr>
              <w:jc w:val="right"/>
            </w:pPr>
            <w:r w:rsidRPr="00346CBB">
              <w:t>2 970</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131350A" w14:textId="77777777" w:rsidR="003953D6" w:rsidRPr="00346CBB" w:rsidRDefault="003953D6" w:rsidP="00346CBB">
            <w:pPr>
              <w:jc w:val="right"/>
            </w:pPr>
            <w:r w:rsidRPr="00346CBB">
              <w:t>2,0 %</w:t>
            </w:r>
          </w:p>
        </w:tc>
      </w:tr>
      <w:tr w:rsidR="00A4769D" w:rsidRPr="00346CBB" w14:paraId="28FA9479" w14:textId="77777777" w:rsidTr="00346CBB">
        <w:trPr>
          <w:trHeight w:val="396"/>
        </w:trPr>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8D17061" w14:textId="77777777" w:rsidR="003953D6" w:rsidRPr="00346CBB" w:rsidRDefault="003953D6" w:rsidP="00346CBB">
            <w:pPr>
              <w:pStyle w:val="TabellHode-rad"/>
            </w:pPr>
            <w:r w:rsidRPr="00346CBB">
              <w:t>2017</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5D12189" w14:textId="77777777" w:rsidR="003953D6" w:rsidRPr="00346CBB" w:rsidRDefault="003953D6" w:rsidP="00346CBB">
            <w:pPr>
              <w:jc w:val="right"/>
            </w:pPr>
            <w:r w:rsidRPr="00346CBB">
              <w:t>1 016</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3007EFA" w14:textId="77777777" w:rsidR="003953D6" w:rsidRPr="00346CBB" w:rsidRDefault="003953D6" w:rsidP="00346CBB">
            <w:pPr>
              <w:jc w:val="right"/>
            </w:pPr>
            <w:r w:rsidRPr="00346CBB">
              <w:t>577</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514208C" w14:textId="77777777" w:rsidR="003953D6" w:rsidRPr="00346CBB" w:rsidRDefault="003953D6" w:rsidP="00346CBB">
            <w:pPr>
              <w:jc w:val="right"/>
            </w:pPr>
            <w:r w:rsidRPr="00346CBB">
              <w:t>307</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0319213" w14:textId="77777777" w:rsidR="003953D6" w:rsidRPr="00346CBB" w:rsidRDefault="003953D6" w:rsidP="00346CBB">
            <w:pPr>
              <w:jc w:val="right"/>
            </w:pPr>
            <w:r w:rsidRPr="00346CBB">
              <w:t>383</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8BD9615" w14:textId="77777777" w:rsidR="003953D6" w:rsidRPr="00346CBB" w:rsidRDefault="003953D6" w:rsidP="00346CBB">
            <w:pPr>
              <w:jc w:val="right"/>
            </w:pPr>
            <w:r w:rsidRPr="00346CBB">
              <w:t>2 283</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C33596E" w14:textId="77777777" w:rsidR="003953D6" w:rsidRPr="00346CBB" w:rsidRDefault="003953D6" w:rsidP="00346CBB">
            <w:pPr>
              <w:jc w:val="right"/>
            </w:pPr>
            <w:r w:rsidRPr="00346CBB">
              <w:t>1,6 %</w:t>
            </w:r>
          </w:p>
        </w:tc>
      </w:tr>
      <w:tr w:rsidR="00A4769D" w:rsidRPr="00346CBB" w14:paraId="0BEEA79A" w14:textId="77777777" w:rsidTr="00346CBB">
        <w:trPr>
          <w:trHeight w:val="396"/>
        </w:trPr>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01EB2AF" w14:textId="77777777" w:rsidR="003953D6" w:rsidRPr="00346CBB" w:rsidRDefault="003953D6" w:rsidP="00346CBB">
            <w:pPr>
              <w:pStyle w:val="TabellHode-rad"/>
            </w:pPr>
            <w:r w:rsidRPr="00346CBB">
              <w:t>2018</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4B9BD6A" w14:textId="77777777" w:rsidR="003953D6" w:rsidRPr="00346CBB" w:rsidRDefault="003953D6" w:rsidP="00346CBB">
            <w:pPr>
              <w:jc w:val="right"/>
            </w:pPr>
            <w:r w:rsidRPr="00346CBB">
              <w:t>1 768</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4A45D2F" w14:textId="77777777" w:rsidR="003953D6" w:rsidRPr="00346CBB" w:rsidRDefault="003953D6" w:rsidP="00346CBB">
            <w:pPr>
              <w:jc w:val="right"/>
            </w:pPr>
            <w:r w:rsidRPr="00346CBB">
              <w:t>668</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097871A" w14:textId="77777777" w:rsidR="003953D6" w:rsidRPr="00346CBB" w:rsidRDefault="003953D6" w:rsidP="00346CBB">
            <w:pPr>
              <w:jc w:val="right"/>
            </w:pPr>
            <w:r w:rsidRPr="00346CBB">
              <w:t>602</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026BEAC" w14:textId="77777777" w:rsidR="003953D6" w:rsidRPr="00346CBB" w:rsidRDefault="003953D6" w:rsidP="00346CBB">
            <w:pPr>
              <w:jc w:val="right"/>
            </w:pPr>
            <w:r w:rsidRPr="00346CBB">
              <w:t>205</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96D983D" w14:textId="77777777" w:rsidR="003953D6" w:rsidRPr="00346CBB" w:rsidRDefault="003953D6" w:rsidP="00346CBB">
            <w:pPr>
              <w:jc w:val="right"/>
            </w:pPr>
            <w:r w:rsidRPr="00346CBB">
              <w:t>3 243</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C762823" w14:textId="77777777" w:rsidR="003953D6" w:rsidRPr="00346CBB" w:rsidRDefault="003953D6" w:rsidP="00346CBB">
            <w:pPr>
              <w:jc w:val="right"/>
            </w:pPr>
            <w:r w:rsidRPr="00346CBB">
              <w:t>2,2 %</w:t>
            </w:r>
          </w:p>
        </w:tc>
      </w:tr>
      <w:tr w:rsidR="00A4769D" w:rsidRPr="00346CBB" w14:paraId="6A5026AB" w14:textId="77777777" w:rsidTr="00346CBB">
        <w:trPr>
          <w:trHeight w:val="396"/>
        </w:trPr>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DA06D2D" w14:textId="77777777" w:rsidR="003953D6" w:rsidRPr="00346CBB" w:rsidRDefault="003953D6" w:rsidP="00346CBB">
            <w:pPr>
              <w:pStyle w:val="TabellHode-rad"/>
            </w:pPr>
            <w:r w:rsidRPr="00346CBB">
              <w:t>2019</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E8933F5" w14:textId="77777777" w:rsidR="003953D6" w:rsidRPr="00346CBB" w:rsidRDefault="003953D6" w:rsidP="00346CBB">
            <w:pPr>
              <w:jc w:val="right"/>
            </w:pPr>
            <w:r w:rsidRPr="00346CBB">
              <w:t>2 009</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09B2B54" w14:textId="77777777" w:rsidR="003953D6" w:rsidRPr="00346CBB" w:rsidRDefault="003953D6" w:rsidP="00346CBB">
            <w:pPr>
              <w:jc w:val="right"/>
            </w:pPr>
            <w:r w:rsidRPr="00346CBB">
              <w:t>662</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BD9E996" w14:textId="77777777" w:rsidR="003953D6" w:rsidRPr="00346CBB" w:rsidRDefault="003953D6" w:rsidP="00346CBB">
            <w:pPr>
              <w:jc w:val="right"/>
            </w:pPr>
            <w:r w:rsidRPr="00346CBB">
              <w:t>530</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1E328E8" w14:textId="77777777" w:rsidR="003953D6" w:rsidRPr="00346CBB" w:rsidRDefault="003953D6" w:rsidP="00346CBB">
            <w:pPr>
              <w:jc w:val="right"/>
            </w:pPr>
            <w:r w:rsidRPr="00346CBB">
              <w:t>181</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2A55194" w14:textId="77777777" w:rsidR="003953D6" w:rsidRPr="00346CBB" w:rsidRDefault="003953D6" w:rsidP="00346CBB">
            <w:pPr>
              <w:jc w:val="right"/>
            </w:pPr>
            <w:r w:rsidRPr="00346CBB">
              <w:t>3 382</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B377A01" w14:textId="77777777" w:rsidR="003953D6" w:rsidRPr="00346CBB" w:rsidRDefault="003953D6" w:rsidP="00346CBB">
            <w:pPr>
              <w:jc w:val="right"/>
            </w:pPr>
            <w:r w:rsidRPr="00346CBB">
              <w:t>2,1 %</w:t>
            </w:r>
          </w:p>
        </w:tc>
      </w:tr>
      <w:tr w:rsidR="00A4769D" w:rsidRPr="00346CBB" w14:paraId="136F387C" w14:textId="77777777" w:rsidTr="00346CBB">
        <w:trPr>
          <w:trHeight w:val="396"/>
        </w:trPr>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FE851B4" w14:textId="77777777" w:rsidR="003953D6" w:rsidRPr="00346CBB" w:rsidRDefault="003953D6" w:rsidP="00346CBB">
            <w:pPr>
              <w:pStyle w:val="TabellHode-rad"/>
            </w:pPr>
            <w:r w:rsidRPr="00346CBB">
              <w:lastRenderedPageBreak/>
              <w:t>2020</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E93293A" w14:textId="77777777" w:rsidR="003953D6" w:rsidRPr="00346CBB" w:rsidRDefault="003953D6" w:rsidP="00346CBB">
            <w:pPr>
              <w:jc w:val="right"/>
            </w:pPr>
            <w:r w:rsidRPr="00346CBB">
              <w:t>2 593</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EA170CF" w14:textId="77777777" w:rsidR="003953D6" w:rsidRPr="00346CBB" w:rsidRDefault="003953D6" w:rsidP="00346CBB">
            <w:pPr>
              <w:jc w:val="right"/>
            </w:pPr>
            <w:r w:rsidRPr="00346CBB">
              <w:t>1 534</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2718DC3" w14:textId="77777777" w:rsidR="003953D6" w:rsidRPr="00346CBB" w:rsidRDefault="003953D6" w:rsidP="00346CBB">
            <w:pPr>
              <w:jc w:val="right"/>
            </w:pPr>
            <w:r w:rsidRPr="00346CBB">
              <w:t>1 523</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9586682" w14:textId="77777777" w:rsidR="003953D6" w:rsidRPr="00346CBB" w:rsidRDefault="003953D6" w:rsidP="00346CBB">
            <w:pPr>
              <w:jc w:val="right"/>
            </w:pPr>
            <w:r w:rsidRPr="00346CBB">
              <w:t>552</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F6135A9" w14:textId="77777777" w:rsidR="003953D6" w:rsidRPr="00346CBB" w:rsidRDefault="003953D6" w:rsidP="00346CBB">
            <w:pPr>
              <w:jc w:val="right"/>
            </w:pPr>
            <w:r w:rsidRPr="00346CBB">
              <w:t>6 202</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F546337" w14:textId="77777777" w:rsidR="003953D6" w:rsidRPr="00346CBB" w:rsidRDefault="003953D6" w:rsidP="00346CBB">
            <w:pPr>
              <w:jc w:val="right"/>
            </w:pPr>
            <w:r w:rsidRPr="00346CBB">
              <w:t>3,8 %</w:t>
            </w:r>
          </w:p>
        </w:tc>
      </w:tr>
      <w:tr w:rsidR="00A4769D" w:rsidRPr="00346CBB" w14:paraId="25390B16" w14:textId="77777777" w:rsidTr="00346CBB">
        <w:trPr>
          <w:trHeight w:val="396"/>
        </w:trPr>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CD69822" w14:textId="77777777" w:rsidR="003953D6" w:rsidRPr="00346CBB" w:rsidRDefault="003953D6" w:rsidP="00346CBB">
            <w:pPr>
              <w:pStyle w:val="TabellHode-rad"/>
            </w:pPr>
            <w:r w:rsidRPr="00346CBB">
              <w:t>2021</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F9714D6" w14:textId="77777777" w:rsidR="003953D6" w:rsidRPr="00346CBB" w:rsidRDefault="003953D6" w:rsidP="00346CBB">
            <w:pPr>
              <w:jc w:val="right"/>
            </w:pPr>
            <w:r w:rsidRPr="00346CBB">
              <w:t>2 004</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2073055" w14:textId="77777777" w:rsidR="003953D6" w:rsidRPr="00346CBB" w:rsidRDefault="003953D6" w:rsidP="00346CBB">
            <w:pPr>
              <w:jc w:val="right"/>
            </w:pPr>
            <w:r w:rsidRPr="00346CBB">
              <w:t>842</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8D5F783" w14:textId="77777777" w:rsidR="003953D6" w:rsidRPr="00346CBB" w:rsidRDefault="003953D6" w:rsidP="00346CBB">
            <w:pPr>
              <w:jc w:val="right"/>
            </w:pPr>
            <w:r w:rsidRPr="00346CBB">
              <w:t>1 213</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3850CC6" w14:textId="77777777" w:rsidR="003953D6" w:rsidRPr="00346CBB" w:rsidRDefault="003953D6" w:rsidP="00346CBB">
            <w:pPr>
              <w:jc w:val="right"/>
            </w:pPr>
            <w:r w:rsidRPr="00346CBB">
              <w:t>-22</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247B389" w14:textId="77777777" w:rsidR="003953D6" w:rsidRPr="00346CBB" w:rsidRDefault="003953D6" w:rsidP="00346CBB">
            <w:pPr>
              <w:jc w:val="right"/>
            </w:pPr>
            <w:r w:rsidRPr="00346CBB">
              <w:t>4 037</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3BF8408" w14:textId="77777777" w:rsidR="003953D6" w:rsidRPr="00346CBB" w:rsidRDefault="003953D6" w:rsidP="00346CBB">
            <w:pPr>
              <w:jc w:val="right"/>
            </w:pPr>
            <w:r w:rsidRPr="00346CBB">
              <w:t>2,3 %</w:t>
            </w:r>
          </w:p>
        </w:tc>
      </w:tr>
      <w:tr w:rsidR="00A4769D" w:rsidRPr="00346CBB" w14:paraId="784C94D8" w14:textId="77777777" w:rsidTr="00346CBB">
        <w:trPr>
          <w:trHeight w:val="396"/>
        </w:trPr>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86B1F37" w14:textId="77777777" w:rsidR="003953D6" w:rsidRPr="00346CBB" w:rsidRDefault="003953D6" w:rsidP="00346CBB">
            <w:pPr>
              <w:pStyle w:val="TabellHode-rad"/>
            </w:pPr>
            <w:r w:rsidRPr="00346CBB">
              <w:t>2022</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0993AC0" w14:textId="77777777" w:rsidR="003953D6" w:rsidRPr="00346CBB" w:rsidRDefault="003953D6" w:rsidP="00346CBB">
            <w:pPr>
              <w:jc w:val="right"/>
            </w:pPr>
            <w:r w:rsidRPr="00346CBB">
              <w:t>1 674</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16FB34F" w14:textId="77777777" w:rsidR="003953D6" w:rsidRPr="00346CBB" w:rsidRDefault="003953D6" w:rsidP="00346CBB">
            <w:pPr>
              <w:jc w:val="right"/>
            </w:pPr>
            <w:r w:rsidRPr="00346CBB">
              <w:t>416</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53EDC8D" w14:textId="77777777" w:rsidR="003953D6" w:rsidRPr="00346CBB" w:rsidRDefault="003953D6" w:rsidP="00346CBB">
            <w:pPr>
              <w:jc w:val="right"/>
            </w:pPr>
            <w:r w:rsidRPr="00346CBB">
              <w:t>415</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79FFAFE" w14:textId="77777777" w:rsidR="003953D6" w:rsidRPr="00346CBB" w:rsidRDefault="003953D6" w:rsidP="00346CBB">
            <w:pPr>
              <w:jc w:val="right"/>
            </w:pPr>
            <w:r w:rsidRPr="00346CBB">
              <w:t>74</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F6CC016" w14:textId="77777777" w:rsidR="003953D6" w:rsidRPr="00346CBB" w:rsidRDefault="003953D6" w:rsidP="00346CBB">
            <w:pPr>
              <w:jc w:val="right"/>
            </w:pPr>
            <w:r w:rsidRPr="00346CBB">
              <w:t>2 578</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A11CF5A" w14:textId="77777777" w:rsidR="003953D6" w:rsidRPr="00346CBB" w:rsidRDefault="003953D6" w:rsidP="00346CBB">
            <w:pPr>
              <w:jc w:val="right"/>
            </w:pPr>
            <w:r w:rsidRPr="00346CBB">
              <w:t>1,4 %</w:t>
            </w:r>
          </w:p>
        </w:tc>
      </w:tr>
      <w:tr w:rsidR="00A4769D" w:rsidRPr="00346CBB" w14:paraId="6BBD0714" w14:textId="77777777" w:rsidTr="00346CBB">
        <w:trPr>
          <w:trHeight w:val="396"/>
        </w:trPr>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CF72AEA" w14:textId="77777777" w:rsidR="003953D6" w:rsidRPr="00346CBB" w:rsidRDefault="003953D6" w:rsidP="00346CBB">
            <w:pPr>
              <w:pStyle w:val="TabellHode-rad"/>
            </w:pPr>
            <w:r w:rsidRPr="00346CBB">
              <w:t>2023</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1362402" w14:textId="77777777" w:rsidR="003953D6" w:rsidRPr="00346CBB" w:rsidRDefault="003953D6" w:rsidP="00346CBB">
            <w:pPr>
              <w:jc w:val="right"/>
            </w:pPr>
            <w:r w:rsidRPr="00346CBB">
              <w:t>1 544</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51021C4" w14:textId="77777777" w:rsidR="003953D6" w:rsidRPr="00346CBB" w:rsidRDefault="003953D6" w:rsidP="00346CBB">
            <w:pPr>
              <w:jc w:val="right"/>
            </w:pPr>
            <w:r w:rsidRPr="00346CBB">
              <w:t>317</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6EC2928" w14:textId="77777777" w:rsidR="003953D6" w:rsidRPr="00346CBB" w:rsidRDefault="003953D6" w:rsidP="00346CBB">
            <w:pPr>
              <w:jc w:val="right"/>
            </w:pPr>
            <w:r w:rsidRPr="00346CBB">
              <w:t>42</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CF3ABE9" w14:textId="77777777" w:rsidR="003953D6" w:rsidRPr="00346CBB" w:rsidRDefault="003953D6" w:rsidP="00346CBB">
            <w:pPr>
              <w:jc w:val="right"/>
            </w:pPr>
            <w:r w:rsidRPr="00346CBB">
              <w:t>-407</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B16F551" w14:textId="77777777" w:rsidR="003953D6" w:rsidRPr="00346CBB" w:rsidRDefault="003953D6" w:rsidP="00346CBB">
            <w:pPr>
              <w:jc w:val="right"/>
            </w:pPr>
            <w:r w:rsidRPr="00346CBB">
              <w:t>1 496</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ACDFF04" w14:textId="77777777" w:rsidR="003953D6" w:rsidRPr="00346CBB" w:rsidRDefault="003953D6" w:rsidP="00346CBB">
            <w:pPr>
              <w:jc w:val="right"/>
            </w:pPr>
            <w:r w:rsidRPr="00346CBB">
              <w:t>0,8 %</w:t>
            </w:r>
          </w:p>
        </w:tc>
      </w:tr>
      <w:tr w:rsidR="00A4769D" w:rsidRPr="00346CBB" w14:paraId="3C8EE8FE" w14:textId="77777777" w:rsidTr="00346CBB">
        <w:trPr>
          <w:trHeight w:val="396"/>
        </w:trPr>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DC5872C" w14:textId="77777777" w:rsidR="003953D6" w:rsidRPr="00346CBB" w:rsidRDefault="003953D6" w:rsidP="00346CBB">
            <w:pPr>
              <w:pStyle w:val="TabellHode-rad"/>
            </w:pPr>
            <w:r w:rsidRPr="00346CBB">
              <w:t>2024</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DDF7508" w14:textId="77777777" w:rsidR="003953D6" w:rsidRPr="00346CBB" w:rsidRDefault="003953D6" w:rsidP="00346CBB">
            <w:pPr>
              <w:jc w:val="right"/>
            </w:pPr>
            <w:r w:rsidRPr="00346CBB">
              <w:t>3 184</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09989C5" w14:textId="77777777" w:rsidR="003953D6" w:rsidRPr="00346CBB" w:rsidRDefault="003953D6" w:rsidP="00346CBB">
            <w:pPr>
              <w:jc w:val="right"/>
            </w:pPr>
            <w:r w:rsidRPr="00346CBB">
              <w:t>903</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D4750EA" w14:textId="77777777" w:rsidR="003953D6" w:rsidRPr="00346CBB" w:rsidRDefault="003953D6" w:rsidP="00346CBB">
            <w:pPr>
              <w:jc w:val="right"/>
            </w:pPr>
            <w:r w:rsidRPr="00346CBB">
              <w:t>-877</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3F7EEB5" w14:textId="77777777" w:rsidR="003953D6" w:rsidRPr="00346CBB" w:rsidRDefault="003953D6" w:rsidP="00346CBB">
            <w:pPr>
              <w:jc w:val="right"/>
            </w:pPr>
            <w:r w:rsidRPr="00346CBB">
              <w:t>66</w:t>
            </w:r>
          </w:p>
        </w:tc>
        <w:tc>
          <w:tcPr>
            <w:tcW w:w="75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98D7D75" w14:textId="77777777" w:rsidR="003953D6" w:rsidRPr="00346CBB" w:rsidRDefault="003953D6" w:rsidP="00346CBB">
            <w:pPr>
              <w:jc w:val="right"/>
            </w:pPr>
            <w:r w:rsidRPr="00346CBB">
              <w:t>3 276</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412B3F7" w14:textId="77777777" w:rsidR="003953D6" w:rsidRPr="00346CBB" w:rsidRDefault="003953D6" w:rsidP="00346CBB">
            <w:pPr>
              <w:jc w:val="right"/>
            </w:pPr>
            <w:r w:rsidRPr="00346CBB">
              <w:t>1,6 %</w:t>
            </w:r>
          </w:p>
        </w:tc>
      </w:tr>
    </w:tbl>
    <w:p w14:paraId="518D1F14" w14:textId="77777777" w:rsidR="003953D6" w:rsidRPr="00346CBB" w:rsidRDefault="003953D6" w:rsidP="00C9271A">
      <w:pPr>
        <w:jc w:val="right"/>
      </w:pPr>
    </w:p>
    <w:p w14:paraId="2DEE350F" w14:textId="77777777" w:rsidR="003953D6" w:rsidRPr="00346CBB" w:rsidRDefault="003953D6" w:rsidP="00346CBB">
      <w:pPr>
        <w:pStyle w:val="Kilde"/>
      </w:pPr>
      <w:r w:rsidRPr="00346CBB">
        <w:t>Kilde: De regionale helseforetakenes regnskaper 2015-2024, Helse- og omsorgsdepartementet</w:t>
      </w:r>
    </w:p>
    <w:p w14:paraId="26763E6B" w14:textId="77777777" w:rsidR="003953D6" w:rsidRPr="00346CBB" w:rsidRDefault="003953D6" w:rsidP="00346CBB">
      <w:r w:rsidRPr="00346CBB">
        <w:t xml:space="preserve">Tabell 5.2 og figur 5.1 viser utvikling i årsresultat, renter og avskrivninger og driftsresultat før avskrivninger (EBITDA), i perioden 2015 til 2024. Tallene er oppgitt både i løpende priser og i faste 2024-priser, der prisjusteringsfaktoren er </w:t>
      </w:r>
      <w:proofErr w:type="spellStart"/>
      <w:r w:rsidRPr="00346CBB">
        <w:t>byggekostnadsindeksen</w:t>
      </w:r>
      <w:proofErr w:type="spellEnd"/>
      <w:r w:rsidRPr="00346CBB">
        <w:t xml:space="preserve"> som Statsbygg bruker for å prisjustere kostnadsrammen i sine byggeprosjekter, basert på publiserte tall fra SSB (SBED-indeksen). Avskrivninger på bygg estimeres til å utgjøre om lag 2/3-deler av avskrivningskostnadene. Resterende avskrivninger gjelder utstyr og teknologi som kan ha hatt en annen prisutvikling i perioden.</w:t>
      </w:r>
    </w:p>
    <w:p w14:paraId="21454AAB" w14:textId="77777777" w:rsidR="003953D6" w:rsidRPr="00346CBB" w:rsidRDefault="003953D6" w:rsidP="00346CBB">
      <w:r w:rsidRPr="00346CBB">
        <w:t xml:space="preserve">En bærekraftig utvikling tilsier at driftsresultat før renter og avskrivninger, som et minimum må øke med prisveksten, jf. omtalen over om å kunne </w:t>
      </w:r>
      <w:proofErr w:type="spellStart"/>
      <w:r w:rsidRPr="00346CBB">
        <w:t>gjenanskaffe</w:t>
      </w:r>
      <w:proofErr w:type="spellEnd"/>
      <w:r w:rsidRPr="00346CBB">
        <w:t xml:space="preserve"> kapitalen. Resultat før renter og avskrivninger er om lag uendret i faste priser fra 2015 til 2021 for deretter å svekkes i 2022 og 2023. I 2024 har det vært en positiv utvikling sammenlignet med året før. I perioden 2015 til 2024 har prisveksten på bygg, basert på SBED-indeksen, vært 43 prosent. Driftsresultat før </w:t>
      </w:r>
      <w:r w:rsidRPr="00346CBB">
        <w:lastRenderedPageBreak/>
        <w:t>avskrivninger i 2015 på 8,7 mrd. kroner tilsvarer derfor om lag 12,4 mrd. kroner i 2024-kroner. Samlet driftsresultat før renter og avskrivninger var 12,1 mrd. kroner i 2024.</w:t>
      </w:r>
    </w:p>
    <w:p w14:paraId="7A4E33A5" w14:textId="77777777" w:rsidR="003953D6" w:rsidRPr="00346CBB" w:rsidRDefault="003953D6" w:rsidP="00346CBB">
      <w:r w:rsidRPr="00346CBB">
        <w:t>Utvalget har ingen anbefaling om hva nivået på driftsresultat før avskrivninger bør være, men utviklingen må tilpasses investeringsbehovet for å sikre en bærekraftig utvikling over tid. Driftsresultat før avskrivninger i prosent av inntektene var samlet på 5,7 prosent i 2024 mot 6,5 prosent i siste normalår før pandemien (2019). Det er variasjoner mellom helseregionene fra 1,1 prosent i Helse Midt-Norge til 6,8 prosent i Helse Sør-Øst. Nivået i Helse Vest og Helse Nord var på 6,5 prosent og 5,2 prosent.</w:t>
      </w:r>
    </w:p>
    <w:p w14:paraId="2520439E" w14:textId="77777777" w:rsidR="003953D6" w:rsidRPr="00346CBB" w:rsidRDefault="003953D6" w:rsidP="00346CBB">
      <w:pPr>
        <w:pStyle w:val="tabell-tittel"/>
      </w:pPr>
      <w:r w:rsidRPr="00346CBB">
        <w:t>Utvikling i driftsresultat før avskrivninger 2015 til 2024 i mill. kroner i faste og løpende priser.</w:t>
      </w:r>
    </w:p>
    <w:tbl>
      <w:tblPr>
        <w:tblW w:w="5000" w:type="pct"/>
        <w:tblCellMar>
          <w:left w:w="0" w:type="dxa"/>
          <w:right w:w="0" w:type="dxa"/>
        </w:tblCellMar>
        <w:tblLook w:val="0000" w:firstRow="0" w:lastRow="0" w:firstColumn="0" w:lastColumn="0" w:noHBand="0" w:noVBand="0"/>
      </w:tblPr>
      <w:tblGrid>
        <w:gridCol w:w="664"/>
        <w:gridCol w:w="1062"/>
        <w:gridCol w:w="1062"/>
        <w:gridCol w:w="1060"/>
        <w:gridCol w:w="1062"/>
        <w:gridCol w:w="1060"/>
        <w:gridCol w:w="1063"/>
        <w:gridCol w:w="1181"/>
      </w:tblGrid>
      <w:tr w:rsidR="00A4769D" w:rsidRPr="00346CBB" w14:paraId="6BCB3186" w14:textId="77777777" w:rsidTr="00346CBB">
        <w:trPr>
          <w:trHeight w:val="396"/>
          <w:tblHeader/>
        </w:trPr>
        <w:tc>
          <w:tcPr>
            <w:tcW w:w="366"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1CED5D8" w14:textId="77777777" w:rsidR="003953D6" w:rsidRPr="00346CBB" w:rsidRDefault="003953D6" w:rsidP="00C9271A">
            <w:pPr>
              <w:jc w:val="right"/>
            </w:pPr>
          </w:p>
        </w:tc>
        <w:tc>
          <w:tcPr>
            <w:tcW w:w="652"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6EEAA51" w14:textId="77777777" w:rsidR="003953D6" w:rsidRPr="00346CBB" w:rsidRDefault="003953D6" w:rsidP="00346CBB">
            <w:pPr>
              <w:pStyle w:val="TabellHode-kolonne"/>
            </w:pPr>
            <w:r w:rsidRPr="00346CBB">
              <w:t>Årsresultat</w:t>
            </w:r>
          </w:p>
        </w:tc>
        <w:tc>
          <w:tcPr>
            <w:tcW w:w="652"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D08C004" w14:textId="78D805FE" w:rsidR="003953D6" w:rsidRPr="00346CBB" w:rsidRDefault="003953D6" w:rsidP="00346CBB">
            <w:pPr>
              <w:pStyle w:val="TabellHode-kolonne"/>
            </w:pPr>
            <w:r w:rsidRPr="00346CBB">
              <w:t>Netto finanskostnader</w:t>
            </w:r>
          </w:p>
        </w:tc>
        <w:tc>
          <w:tcPr>
            <w:tcW w:w="65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3BB2414" w14:textId="126ACC20" w:rsidR="003953D6" w:rsidRPr="00346CBB" w:rsidRDefault="003953D6" w:rsidP="00346CBB">
            <w:pPr>
              <w:pStyle w:val="TabellHode-kolonne"/>
            </w:pPr>
            <w:r w:rsidRPr="00346CBB">
              <w:t xml:space="preserve">Driftsresultat </w:t>
            </w:r>
          </w:p>
        </w:tc>
        <w:tc>
          <w:tcPr>
            <w:tcW w:w="652"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D64102B" w14:textId="77777777" w:rsidR="003953D6" w:rsidRPr="00346CBB" w:rsidRDefault="003953D6" w:rsidP="00346CBB">
            <w:pPr>
              <w:pStyle w:val="TabellHode-kolonne"/>
            </w:pPr>
            <w:r w:rsidRPr="00346CBB">
              <w:t>Avskrivninger og nedskrivninger</w:t>
            </w:r>
          </w:p>
        </w:tc>
        <w:tc>
          <w:tcPr>
            <w:tcW w:w="65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32CD3A08" w14:textId="26259C00" w:rsidR="003953D6" w:rsidRPr="00346CBB" w:rsidRDefault="003953D6" w:rsidP="00346CBB">
            <w:pPr>
              <w:pStyle w:val="TabellHode-kolonne"/>
            </w:pPr>
            <w:r w:rsidRPr="00346CBB">
              <w:t>Driftsresultat før avskrivninger i løpende priser</w:t>
            </w:r>
          </w:p>
        </w:tc>
        <w:tc>
          <w:tcPr>
            <w:tcW w:w="652"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6381ADA" w14:textId="0BDE8492" w:rsidR="003953D6" w:rsidRPr="00346CBB" w:rsidRDefault="003953D6" w:rsidP="00346CBB">
            <w:pPr>
              <w:pStyle w:val="TabellHode-kolonne"/>
            </w:pPr>
            <w:r w:rsidRPr="00346CBB">
              <w:t>Driftsresultat før avskrivninger i faste 2024-priser</w:t>
            </w:r>
          </w:p>
        </w:tc>
        <w:tc>
          <w:tcPr>
            <w:tcW w:w="726"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316ADDC9" w14:textId="2C17558B" w:rsidR="003953D6" w:rsidRPr="00346CBB" w:rsidRDefault="003953D6" w:rsidP="00346CBB">
            <w:pPr>
              <w:pStyle w:val="TabellHode-kolonne"/>
            </w:pPr>
            <w:r w:rsidRPr="00346CBB">
              <w:t>Driftsresultat før avskrivninger i prosent av driftsinntektene</w:t>
            </w:r>
          </w:p>
        </w:tc>
      </w:tr>
      <w:tr w:rsidR="00A4769D" w:rsidRPr="00346CBB" w14:paraId="26D4BD9D" w14:textId="77777777" w:rsidTr="00346CBB">
        <w:trPr>
          <w:trHeight w:val="396"/>
        </w:trPr>
        <w:tc>
          <w:tcPr>
            <w:tcW w:w="366"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D37C2C9" w14:textId="77777777" w:rsidR="003953D6" w:rsidRPr="00346CBB" w:rsidRDefault="003953D6" w:rsidP="00346CBB">
            <w:pPr>
              <w:pStyle w:val="TabellHode-rad"/>
            </w:pPr>
            <w:r w:rsidRPr="00346CBB">
              <w:t>2015</w:t>
            </w:r>
          </w:p>
        </w:tc>
        <w:tc>
          <w:tcPr>
            <w:tcW w:w="652"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F388272" w14:textId="77777777" w:rsidR="003953D6" w:rsidRPr="00346CBB" w:rsidRDefault="003953D6" w:rsidP="00346CBB">
            <w:pPr>
              <w:jc w:val="right"/>
            </w:pPr>
            <w:r w:rsidRPr="00346CBB">
              <w:t>2 736</w:t>
            </w:r>
          </w:p>
        </w:tc>
        <w:tc>
          <w:tcPr>
            <w:tcW w:w="652"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5F118C6" w14:textId="77777777" w:rsidR="003953D6" w:rsidRPr="00346CBB" w:rsidRDefault="003953D6" w:rsidP="00346CBB">
            <w:pPr>
              <w:jc w:val="right"/>
            </w:pPr>
            <w:r w:rsidRPr="00346CBB">
              <w:t>32</w:t>
            </w:r>
          </w:p>
        </w:tc>
        <w:tc>
          <w:tcPr>
            <w:tcW w:w="65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D5010BD" w14:textId="77777777" w:rsidR="003953D6" w:rsidRPr="00346CBB" w:rsidRDefault="003953D6" w:rsidP="00346CBB">
            <w:pPr>
              <w:jc w:val="right"/>
            </w:pPr>
            <w:r w:rsidRPr="00346CBB">
              <w:t>2 704</w:t>
            </w:r>
          </w:p>
        </w:tc>
        <w:tc>
          <w:tcPr>
            <w:tcW w:w="652"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39EEDF6" w14:textId="77777777" w:rsidR="003953D6" w:rsidRPr="00346CBB" w:rsidRDefault="003953D6" w:rsidP="00346CBB">
            <w:pPr>
              <w:jc w:val="right"/>
            </w:pPr>
            <w:r w:rsidRPr="00346CBB">
              <w:t>5 986</w:t>
            </w:r>
          </w:p>
        </w:tc>
        <w:tc>
          <w:tcPr>
            <w:tcW w:w="65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31BE544" w14:textId="77777777" w:rsidR="003953D6" w:rsidRPr="00346CBB" w:rsidRDefault="003953D6" w:rsidP="00346CBB">
            <w:pPr>
              <w:jc w:val="right"/>
            </w:pPr>
            <w:r w:rsidRPr="00346CBB">
              <w:t>8 690</w:t>
            </w:r>
          </w:p>
        </w:tc>
        <w:tc>
          <w:tcPr>
            <w:tcW w:w="652"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0370E96" w14:textId="77777777" w:rsidR="003953D6" w:rsidRPr="00346CBB" w:rsidRDefault="003953D6" w:rsidP="00346CBB">
            <w:pPr>
              <w:jc w:val="right"/>
            </w:pPr>
            <w:r w:rsidRPr="00346CBB">
              <w:t xml:space="preserve"> 12 425 </w:t>
            </w:r>
          </w:p>
        </w:tc>
        <w:tc>
          <w:tcPr>
            <w:tcW w:w="726"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B3762C3" w14:textId="77777777" w:rsidR="003953D6" w:rsidRPr="00346CBB" w:rsidRDefault="003953D6" w:rsidP="00346CBB">
            <w:pPr>
              <w:jc w:val="right"/>
            </w:pPr>
            <w:r w:rsidRPr="00346CBB">
              <w:t>6,0 %</w:t>
            </w:r>
          </w:p>
        </w:tc>
      </w:tr>
      <w:tr w:rsidR="00A4769D" w:rsidRPr="00346CBB" w14:paraId="442E0930" w14:textId="77777777" w:rsidTr="00346CBB">
        <w:trPr>
          <w:trHeight w:val="396"/>
        </w:trPr>
        <w:tc>
          <w:tcPr>
            <w:tcW w:w="3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A7B03A8" w14:textId="77777777" w:rsidR="003953D6" w:rsidRPr="00346CBB" w:rsidRDefault="003953D6" w:rsidP="00346CBB">
            <w:pPr>
              <w:pStyle w:val="TabellHode-rad"/>
            </w:pPr>
            <w:r w:rsidRPr="00346CBB">
              <w:t>2016</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C4812C7" w14:textId="77777777" w:rsidR="003953D6" w:rsidRPr="00346CBB" w:rsidRDefault="003953D6" w:rsidP="00346CBB">
            <w:pPr>
              <w:jc w:val="right"/>
            </w:pPr>
            <w:r w:rsidRPr="00346CBB">
              <w:t>2 970</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40558D3" w14:textId="77777777" w:rsidR="003953D6" w:rsidRPr="00346CBB" w:rsidRDefault="003953D6" w:rsidP="00346CBB">
            <w:pPr>
              <w:jc w:val="right"/>
            </w:pPr>
            <w:r w:rsidRPr="00346CBB">
              <w:t>96</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C2D6C4B" w14:textId="77777777" w:rsidR="003953D6" w:rsidRPr="00346CBB" w:rsidRDefault="003953D6" w:rsidP="00346CBB">
            <w:pPr>
              <w:jc w:val="right"/>
            </w:pPr>
            <w:r w:rsidRPr="00346CBB">
              <w:t>2 874</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5A06AAF" w14:textId="77777777" w:rsidR="003953D6" w:rsidRPr="00346CBB" w:rsidRDefault="003953D6" w:rsidP="00346CBB">
            <w:pPr>
              <w:jc w:val="right"/>
            </w:pPr>
            <w:r w:rsidRPr="00346CBB">
              <w:t>6 503</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629BC14" w14:textId="77777777" w:rsidR="003953D6" w:rsidRPr="00346CBB" w:rsidRDefault="003953D6" w:rsidP="00346CBB">
            <w:pPr>
              <w:jc w:val="right"/>
            </w:pPr>
            <w:r w:rsidRPr="00346CBB">
              <w:t>9 377</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A211286" w14:textId="77777777" w:rsidR="003953D6" w:rsidRPr="00346CBB" w:rsidRDefault="003953D6" w:rsidP="00346CBB">
            <w:pPr>
              <w:jc w:val="right"/>
            </w:pPr>
            <w:r w:rsidRPr="00346CBB">
              <w:t xml:space="preserve"> 13 017 </w:t>
            </w:r>
          </w:p>
        </w:tc>
        <w:tc>
          <w:tcPr>
            <w:tcW w:w="72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1D06E8D" w14:textId="77777777" w:rsidR="003953D6" w:rsidRPr="00346CBB" w:rsidRDefault="003953D6" w:rsidP="00346CBB">
            <w:pPr>
              <w:jc w:val="right"/>
            </w:pPr>
            <w:r w:rsidRPr="00346CBB">
              <w:t>6,4 %</w:t>
            </w:r>
          </w:p>
        </w:tc>
      </w:tr>
      <w:tr w:rsidR="00A4769D" w:rsidRPr="00346CBB" w14:paraId="11DB7A51" w14:textId="77777777" w:rsidTr="00346CBB">
        <w:trPr>
          <w:trHeight w:val="396"/>
        </w:trPr>
        <w:tc>
          <w:tcPr>
            <w:tcW w:w="3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5235AD8" w14:textId="77777777" w:rsidR="003953D6" w:rsidRPr="00346CBB" w:rsidRDefault="003953D6" w:rsidP="00346CBB">
            <w:pPr>
              <w:pStyle w:val="TabellHode-rad"/>
            </w:pPr>
            <w:r w:rsidRPr="00346CBB">
              <w:t>2017</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860D33B" w14:textId="77777777" w:rsidR="003953D6" w:rsidRPr="00346CBB" w:rsidRDefault="003953D6" w:rsidP="00346CBB">
            <w:pPr>
              <w:jc w:val="right"/>
            </w:pPr>
            <w:r w:rsidRPr="00346CBB">
              <w:t>2 283</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5945235" w14:textId="77777777" w:rsidR="003953D6" w:rsidRPr="00346CBB" w:rsidRDefault="003953D6" w:rsidP="00346CBB">
            <w:pPr>
              <w:jc w:val="right"/>
            </w:pPr>
            <w:r w:rsidRPr="00346CBB">
              <w:t>-43</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6227194" w14:textId="77777777" w:rsidR="003953D6" w:rsidRPr="00346CBB" w:rsidRDefault="003953D6" w:rsidP="00346CBB">
            <w:pPr>
              <w:jc w:val="right"/>
            </w:pPr>
            <w:r w:rsidRPr="00346CBB">
              <w:t>2 326</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26C08B1" w14:textId="77777777" w:rsidR="003953D6" w:rsidRPr="00346CBB" w:rsidRDefault="003953D6" w:rsidP="00346CBB">
            <w:pPr>
              <w:jc w:val="right"/>
            </w:pPr>
            <w:r w:rsidRPr="00346CBB">
              <w:t>6 821</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596448A" w14:textId="77777777" w:rsidR="003953D6" w:rsidRPr="00346CBB" w:rsidRDefault="003953D6" w:rsidP="00346CBB">
            <w:pPr>
              <w:jc w:val="right"/>
            </w:pPr>
            <w:r w:rsidRPr="00346CBB">
              <w:t>9 146</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0D064F6" w14:textId="77777777" w:rsidR="003953D6" w:rsidRPr="00346CBB" w:rsidRDefault="003953D6" w:rsidP="00346CBB">
            <w:pPr>
              <w:jc w:val="right"/>
            </w:pPr>
            <w:r w:rsidRPr="00346CBB">
              <w:t xml:space="preserve"> 12 328 </w:t>
            </w:r>
          </w:p>
        </w:tc>
        <w:tc>
          <w:tcPr>
            <w:tcW w:w="72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5BDEA89" w14:textId="77777777" w:rsidR="003953D6" w:rsidRPr="00346CBB" w:rsidRDefault="003953D6" w:rsidP="00346CBB">
            <w:pPr>
              <w:jc w:val="right"/>
            </w:pPr>
            <w:r w:rsidRPr="00346CBB">
              <w:t>6,3 %</w:t>
            </w:r>
          </w:p>
        </w:tc>
      </w:tr>
      <w:tr w:rsidR="00A4769D" w:rsidRPr="00346CBB" w14:paraId="03FA475E" w14:textId="77777777" w:rsidTr="00346CBB">
        <w:trPr>
          <w:trHeight w:val="396"/>
        </w:trPr>
        <w:tc>
          <w:tcPr>
            <w:tcW w:w="3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BF0224F" w14:textId="77777777" w:rsidR="003953D6" w:rsidRPr="00346CBB" w:rsidRDefault="003953D6" w:rsidP="00346CBB">
            <w:pPr>
              <w:pStyle w:val="TabellHode-rad"/>
            </w:pPr>
            <w:r w:rsidRPr="00346CBB">
              <w:t>2018</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66102F9" w14:textId="77777777" w:rsidR="003953D6" w:rsidRPr="00346CBB" w:rsidRDefault="003953D6" w:rsidP="00346CBB">
            <w:pPr>
              <w:jc w:val="right"/>
            </w:pPr>
            <w:r w:rsidRPr="00346CBB">
              <w:t>3 243</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2BBCEDE" w14:textId="77777777" w:rsidR="003953D6" w:rsidRPr="00346CBB" w:rsidRDefault="003953D6" w:rsidP="00346CBB">
            <w:pPr>
              <w:jc w:val="right"/>
            </w:pPr>
            <w:r w:rsidRPr="00346CBB">
              <w:t>37</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9FBEE45" w14:textId="77777777" w:rsidR="003953D6" w:rsidRPr="00346CBB" w:rsidRDefault="003953D6" w:rsidP="00346CBB">
            <w:pPr>
              <w:jc w:val="right"/>
            </w:pPr>
            <w:r w:rsidRPr="00346CBB">
              <w:t>3 206</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0F09BD2" w14:textId="77777777" w:rsidR="003953D6" w:rsidRPr="00346CBB" w:rsidRDefault="003953D6" w:rsidP="00346CBB">
            <w:pPr>
              <w:jc w:val="right"/>
            </w:pPr>
            <w:r w:rsidRPr="00346CBB">
              <w:t>6 850</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9967717" w14:textId="77777777" w:rsidR="003953D6" w:rsidRPr="00346CBB" w:rsidRDefault="003953D6" w:rsidP="00346CBB">
            <w:pPr>
              <w:jc w:val="right"/>
            </w:pPr>
            <w:r w:rsidRPr="00346CBB">
              <w:t>10 057</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C63A937" w14:textId="77777777" w:rsidR="003953D6" w:rsidRPr="00346CBB" w:rsidRDefault="003953D6" w:rsidP="00346CBB">
            <w:pPr>
              <w:jc w:val="right"/>
            </w:pPr>
            <w:r w:rsidRPr="00346CBB">
              <w:t xml:space="preserve"> 13 112 </w:t>
            </w:r>
          </w:p>
        </w:tc>
        <w:tc>
          <w:tcPr>
            <w:tcW w:w="72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65F6033" w14:textId="77777777" w:rsidR="003953D6" w:rsidRPr="00346CBB" w:rsidRDefault="003953D6" w:rsidP="00346CBB">
            <w:pPr>
              <w:jc w:val="right"/>
            </w:pPr>
            <w:r w:rsidRPr="00346CBB">
              <w:t>6,7 %</w:t>
            </w:r>
          </w:p>
        </w:tc>
      </w:tr>
      <w:tr w:rsidR="00A4769D" w:rsidRPr="00346CBB" w14:paraId="0CA652D4" w14:textId="77777777" w:rsidTr="00346CBB">
        <w:trPr>
          <w:trHeight w:val="396"/>
        </w:trPr>
        <w:tc>
          <w:tcPr>
            <w:tcW w:w="3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3909586" w14:textId="77777777" w:rsidR="003953D6" w:rsidRPr="00346CBB" w:rsidRDefault="003953D6" w:rsidP="00346CBB">
            <w:pPr>
              <w:pStyle w:val="TabellHode-rad"/>
            </w:pPr>
            <w:r w:rsidRPr="00346CBB">
              <w:t>2019</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CC50E3F" w14:textId="77777777" w:rsidR="003953D6" w:rsidRPr="00346CBB" w:rsidRDefault="003953D6" w:rsidP="00346CBB">
            <w:pPr>
              <w:jc w:val="right"/>
            </w:pPr>
            <w:r w:rsidRPr="00346CBB">
              <w:t>3 382</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EC05530" w14:textId="77777777" w:rsidR="003953D6" w:rsidRPr="00346CBB" w:rsidRDefault="003953D6" w:rsidP="00346CBB">
            <w:pPr>
              <w:jc w:val="right"/>
            </w:pPr>
            <w:r w:rsidRPr="00346CBB">
              <w:t>174</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390E528" w14:textId="77777777" w:rsidR="003953D6" w:rsidRPr="00346CBB" w:rsidRDefault="003953D6" w:rsidP="00346CBB">
            <w:pPr>
              <w:jc w:val="right"/>
            </w:pPr>
            <w:r w:rsidRPr="00346CBB">
              <w:t>3 208</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8B41DC1" w14:textId="77777777" w:rsidR="003953D6" w:rsidRPr="00346CBB" w:rsidRDefault="003953D6" w:rsidP="00346CBB">
            <w:pPr>
              <w:jc w:val="right"/>
            </w:pPr>
            <w:r w:rsidRPr="00346CBB">
              <w:t>7 011</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0E63015" w14:textId="77777777" w:rsidR="003953D6" w:rsidRPr="00346CBB" w:rsidRDefault="003953D6" w:rsidP="00346CBB">
            <w:pPr>
              <w:jc w:val="right"/>
            </w:pPr>
            <w:r w:rsidRPr="00346CBB">
              <w:t>10 219</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9CF6D99" w14:textId="77777777" w:rsidR="003953D6" w:rsidRPr="00346CBB" w:rsidRDefault="003953D6" w:rsidP="00346CBB">
            <w:pPr>
              <w:jc w:val="right"/>
            </w:pPr>
            <w:r w:rsidRPr="00346CBB">
              <w:t xml:space="preserve"> 13 018 </w:t>
            </w:r>
          </w:p>
        </w:tc>
        <w:tc>
          <w:tcPr>
            <w:tcW w:w="72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5AC4380" w14:textId="77777777" w:rsidR="003953D6" w:rsidRPr="00346CBB" w:rsidRDefault="003953D6" w:rsidP="00346CBB">
            <w:pPr>
              <w:jc w:val="right"/>
            </w:pPr>
            <w:r w:rsidRPr="00346CBB">
              <w:t>6,5 %</w:t>
            </w:r>
          </w:p>
        </w:tc>
      </w:tr>
      <w:tr w:rsidR="00A4769D" w:rsidRPr="00346CBB" w14:paraId="6F3DD38F" w14:textId="77777777" w:rsidTr="00346CBB">
        <w:trPr>
          <w:trHeight w:val="396"/>
        </w:trPr>
        <w:tc>
          <w:tcPr>
            <w:tcW w:w="3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3C453DF" w14:textId="77777777" w:rsidR="003953D6" w:rsidRPr="00346CBB" w:rsidRDefault="003953D6" w:rsidP="00346CBB">
            <w:pPr>
              <w:pStyle w:val="TabellHode-rad"/>
            </w:pPr>
            <w:r w:rsidRPr="00346CBB">
              <w:t>2020</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DD28F70" w14:textId="77777777" w:rsidR="003953D6" w:rsidRPr="00346CBB" w:rsidRDefault="003953D6" w:rsidP="00346CBB">
            <w:pPr>
              <w:jc w:val="right"/>
            </w:pPr>
            <w:r w:rsidRPr="00346CBB">
              <w:t>6 202</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1D5BE71" w14:textId="77777777" w:rsidR="003953D6" w:rsidRPr="00346CBB" w:rsidRDefault="003953D6" w:rsidP="00346CBB">
            <w:pPr>
              <w:jc w:val="right"/>
            </w:pPr>
            <w:r w:rsidRPr="00346CBB">
              <w:t>7</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FF7A72D" w14:textId="77777777" w:rsidR="003953D6" w:rsidRPr="00346CBB" w:rsidRDefault="003953D6" w:rsidP="00346CBB">
            <w:pPr>
              <w:jc w:val="right"/>
            </w:pPr>
            <w:r w:rsidRPr="00346CBB">
              <w:t>6 195</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AD5570A" w14:textId="77777777" w:rsidR="003953D6" w:rsidRPr="00346CBB" w:rsidRDefault="003953D6" w:rsidP="00346CBB">
            <w:pPr>
              <w:jc w:val="right"/>
            </w:pPr>
            <w:r w:rsidRPr="00346CBB">
              <w:t>7 328</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57917D7" w14:textId="77777777" w:rsidR="003953D6" w:rsidRPr="00346CBB" w:rsidRDefault="003953D6" w:rsidP="00346CBB">
            <w:pPr>
              <w:jc w:val="right"/>
            </w:pPr>
            <w:r w:rsidRPr="00346CBB">
              <w:t>13 523</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1945AA9" w14:textId="77777777" w:rsidR="003953D6" w:rsidRPr="00346CBB" w:rsidRDefault="003953D6" w:rsidP="00346CBB">
            <w:pPr>
              <w:jc w:val="right"/>
            </w:pPr>
            <w:r w:rsidRPr="00346CBB">
              <w:t xml:space="preserve"> 16 708 </w:t>
            </w:r>
          </w:p>
        </w:tc>
        <w:tc>
          <w:tcPr>
            <w:tcW w:w="72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366F125" w14:textId="77777777" w:rsidR="003953D6" w:rsidRPr="00346CBB" w:rsidRDefault="003953D6" w:rsidP="00346CBB">
            <w:pPr>
              <w:jc w:val="right"/>
            </w:pPr>
            <w:r w:rsidRPr="00346CBB">
              <w:t>8,3 %</w:t>
            </w:r>
          </w:p>
        </w:tc>
      </w:tr>
      <w:tr w:rsidR="00A4769D" w:rsidRPr="00346CBB" w14:paraId="17B00D23" w14:textId="77777777" w:rsidTr="00346CBB">
        <w:trPr>
          <w:trHeight w:val="396"/>
        </w:trPr>
        <w:tc>
          <w:tcPr>
            <w:tcW w:w="3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1E9FADA" w14:textId="77777777" w:rsidR="003953D6" w:rsidRPr="00346CBB" w:rsidRDefault="003953D6" w:rsidP="00346CBB">
            <w:pPr>
              <w:pStyle w:val="TabellHode-rad"/>
            </w:pPr>
            <w:r w:rsidRPr="00346CBB">
              <w:lastRenderedPageBreak/>
              <w:t>2021</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849583B" w14:textId="77777777" w:rsidR="003953D6" w:rsidRPr="00346CBB" w:rsidRDefault="003953D6" w:rsidP="00346CBB">
            <w:pPr>
              <w:jc w:val="right"/>
            </w:pPr>
            <w:r w:rsidRPr="00346CBB">
              <w:t>4 040</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0CAC3E0" w14:textId="77777777" w:rsidR="003953D6" w:rsidRPr="00346CBB" w:rsidRDefault="003953D6" w:rsidP="00346CBB">
            <w:pPr>
              <w:jc w:val="right"/>
            </w:pPr>
            <w:r w:rsidRPr="00346CBB">
              <w:t>4</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DC92657" w14:textId="77777777" w:rsidR="003953D6" w:rsidRPr="00346CBB" w:rsidRDefault="003953D6" w:rsidP="00346CBB">
            <w:pPr>
              <w:jc w:val="right"/>
            </w:pPr>
            <w:r w:rsidRPr="00346CBB">
              <w:t>4 036</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8D0B9C3" w14:textId="77777777" w:rsidR="003953D6" w:rsidRPr="00346CBB" w:rsidRDefault="003953D6" w:rsidP="00346CBB">
            <w:pPr>
              <w:jc w:val="right"/>
            </w:pPr>
            <w:r w:rsidRPr="00346CBB">
              <w:t>7 484</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A7345E1" w14:textId="77777777" w:rsidR="003953D6" w:rsidRPr="00346CBB" w:rsidRDefault="003953D6" w:rsidP="00346CBB">
            <w:pPr>
              <w:jc w:val="right"/>
            </w:pPr>
            <w:r w:rsidRPr="00346CBB">
              <w:t>11 520</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34CB2FD" w14:textId="77777777" w:rsidR="003953D6" w:rsidRPr="00346CBB" w:rsidRDefault="003953D6" w:rsidP="00346CBB">
            <w:pPr>
              <w:jc w:val="right"/>
            </w:pPr>
            <w:r w:rsidRPr="00346CBB">
              <w:t xml:space="preserve"> 13 221 </w:t>
            </w:r>
          </w:p>
        </w:tc>
        <w:tc>
          <w:tcPr>
            <w:tcW w:w="72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07B5D1F" w14:textId="77777777" w:rsidR="003953D6" w:rsidRPr="00346CBB" w:rsidRDefault="003953D6" w:rsidP="00346CBB">
            <w:pPr>
              <w:jc w:val="right"/>
            </w:pPr>
            <w:r w:rsidRPr="00346CBB">
              <w:t>6,6 %</w:t>
            </w:r>
          </w:p>
        </w:tc>
      </w:tr>
      <w:tr w:rsidR="00A4769D" w:rsidRPr="00346CBB" w14:paraId="28452ED8" w14:textId="77777777" w:rsidTr="00346CBB">
        <w:trPr>
          <w:trHeight w:val="396"/>
        </w:trPr>
        <w:tc>
          <w:tcPr>
            <w:tcW w:w="3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7F4A4E6" w14:textId="77777777" w:rsidR="003953D6" w:rsidRPr="00346CBB" w:rsidRDefault="003953D6" w:rsidP="00346CBB">
            <w:pPr>
              <w:pStyle w:val="TabellHode-rad"/>
            </w:pPr>
            <w:r w:rsidRPr="00346CBB">
              <w:t>2022</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F66DED6" w14:textId="77777777" w:rsidR="003953D6" w:rsidRPr="00346CBB" w:rsidRDefault="003953D6" w:rsidP="00346CBB">
            <w:pPr>
              <w:jc w:val="right"/>
            </w:pPr>
            <w:r w:rsidRPr="00346CBB">
              <w:t>2 580</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87FA0A5" w14:textId="77777777" w:rsidR="003953D6" w:rsidRPr="00346CBB" w:rsidRDefault="003953D6" w:rsidP="00346CBB">
            <w:pPr>
              <w:jc w:val="right"/>
            </w:pPr>
            <w:r w:rsidRPr="00346CBB">
              <w:t>288</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34298CF" w14:textId="77777777" w:rsidR="003953D6" w:rsidRPr="00346CBB" w:rsidRDefault="003953D6" w:rsidP="00346CBB">
            <w:pPr>
              <w:jc w:val="right"/>
            </w:pPr>
            <w:r w:rsidRPr="00346CBB">
              <w:t>2 293</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CECFFE3" w14:textId="77777777" w:rsidR="003953D6" w:rsidRPr="00346CBB" w:rsidRDefault="003953D6" w:rsidP="00346CBB">
            <w:pPr>
              <w:jc w:val="right"/>
            </w:pPr>
            <w:r w:rsidRPr="00346CBB">
              <w:t>7 911</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B217444" w14:textId="77777777" w:rsidR="003953D6" w:rsidRPr="00346CBB" w:rsidRDefault="003953D6" w:rsidP="00346CBB">
            <w:pPr>
              <w:jc w:val="right"/>
            </w:pPr>
            <w:r w:rsidRPr="00346CBB">
              <w:t>10 203</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D763584" w14:textId="77777777" w:rsidR="003953D6" w:rsidRPr="00346CBB" w:rsidRDefault="003953D6" w:rsidP="00346CBB">
            <w:pPr>
              <w:jc w:val="right"/>
            </w:pPr>
            <w:r w:rsidRPr="00346CBB">
              <w:t xml:space="preserve"> 10 903 </w:t>
            </w:r>
          </w:p>
        </w:tc>
        <w:tc>
          <w:tcPr>
            <w:tcW w:w="72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AEFB025" w14:textId="77777777" w:rsidR="003953D6" w:rsidRPr="00346CBB" w:rsidRDefault="003953D6" w:rsidP="00346CBB">
            <w:pPr>
              <w:jc w:val="right"/>
            </w:pPr>
            <w:r w:rsidRPr="00346CBB">
              <w:t>5,5 %</w:t>
            </w:r>
          </w:p>
        </w:tc>
      </w:tr>
      <w:tr w:rsidR="00A4769D" w:rsidRPr="00346CBB" w14:paraId="353FAB67" w14:textId="77777777" w:rsidTr="00346CBB">
        <w:trPr>
          <w:trHeight w:val="396"/>
        </w:trPr>
        <w:tc>
          <w:tcPr>
            <w:tcW w:w="3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122DF2D" w14:textId="77777777" w:rsidR="003953D6" w:rsidRPr="00346CBB" w:rsidRDefault="003953D6" w:rsidP="00346CBB">
            <w:pPr>
              <w:pStyle w:val="TabellHode-rad"/>
            </w:pPr>
            <w:r w:rsidRPr="00346CBB">
              <w:t>2023</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1D8787F" w14:textId="77777777" w:rsidR="003953D6" w:rsidRPr="00346CBB" w:rsidRDefault="003953D6" w:rsidP="00346CBB">
            <w:pPr>
              <w:jc w:val="right"/>
            </w:pPr>
            <w:r w:rsidRPr="00346CBB">
              <w:t>1 496</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8936DFD" w14:textId="77777777" w:rsidR="003953D6" w:rsidRPr="00346CBB" w:rsidRDefault="003953D6" w:rsidP="00346CBB">
            <w:pPr>
              <w:jc w:val="right"/>
            </w:pPr>
            <w:r w:rsidRPr="00346CBB">
              <w:t>380</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AEF5DB0" w14:textId="77777777" w:rsidR="003953D6" w:rsidRPr="00346CBB" w:rsidRDefault="003953D6" w:rsidP="00346CBB">
            <w:pPr>
              <w:jc w:val="right"/>
            </w:pPr>
            <w:r w:rsidRPr="00346CBB">
              <w:t>1 117</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BE9F1C5" w14:textId="77777777" w:rsidR="003953D6" w:rsidRPr="00346CBB" w:rsidRDefault="003953D6" w:rsidP="00346CBB">
            <w:pPr>
              <w:jc w:val="right"/>
            </w:pPr>
            <w:r w:rsidRPr="00346CBB">
              <w:t>8 163</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8ECDB53" w14:textId="77777777" w:rsidR="003953D6" w:rsidRPr="00346CBB" w:rsidRDefault="003953D6" w:rsidP="00346CBB">
            <w:pPr>
              <w:jc w:val="right"/>
            </w:pPr>
            <w:r w:rsidRPr="00346CBB">
              <w:t>9 280</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1A6C0F0" w14:textId="77777777" w:rsidR="003953D6" w:rsidRPr="00346CBB" w:rsidRDefault="003953D6" w:rsidP="00346CBB">
            <w:pPr>
              <w:jc w:val="right"/>
            </w:pPr>
            <w:r w:rsidRPr="00346CBB">
              <w:t xml:space="preserve"> 9 596 </w:t>
            </w:r>
          </w:p>
        </w:tc>
        <w:tc>
          <w:tcPr>
            <w:tcW w:w="72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544A376" w14:textId="77777777" w:rsidR="003953D6" w:rsidRPr="00346CBB" w:rsidRDefault="003953D6" w:rsidP="00346CBB">
            <w:pPr>
              <w:jc w:val="right"/>
            </w:pPr>
            <w:r w:rsidRPr="00346CBB">
              <w:t>4,8 %</w:t>
            </w:r>
          </w:p>
        </w:tc>
      </w:tr>
      <w:tr w:rsidR="00A4769D" w:rsidRPr="00346CBB" w14:paraId="63EBF337" w14:textId="77777777" w:rsidTr="00346CBB">
        <w:trPr>
          <w:trHeight w:val="396"/>
        </w:trPr>
        <w:tc>
          <w:tcPr>
            <w:tcW w:w="3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69F5779" w14:textId="77777777" w:rsidR="003953D6" w:rsidRPr="00346CBB" w:rsidRDefault="003953D6" w:rsidP="00346CBB">
            <w:pPr>
              <w:pStyle w:val="TabellHode-rad"/>
            </w:pPr>
            <w:r w:rsidRPr="00346CBB">
              <w:t>2024</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9EB9A9F" w14:textId="77777777" w:rsidR="003953D6" w:rsidRPr="00346CBB" w:rsidRDefault="003953D6" w:rsidP="00346CBB">
            <w:pPr>
              <w:jc w:val="right"/>
            </w:pPr>
            <w:r w:rsidRPr="00346CBB">
              <w:t>3 276</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E977B30" w14:textId="77777777" w:rsidR="003953D6" w:rsidRPr="00346CBB" w:rsidRDefault="003953D6" w:rsidP="00346CBB">
            <w:pPr>
              <w:jc w:val="right"/>
            </w:pPr>
            <w:r w:rsidRPr="00346CBB">
              <w:t>-204</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45DA779" w14:textId="77777777" w:rsidR="003953D6" w:rsidRPr="00346CBB" w:rsidRDefault="003953D6" w:rsidP="00346CBB">
            <w:pPr>
              <w:jc w:val="right"/>
            </w:pPr>
            <w:r w:rsidRPr="00346CBB">
              <w:t>3 480</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7EE87EE" w14:textId="77777777" w:rsidR="003953D6" w:rsidRPr="00346CBB" w:rsidRDefault="003953D6" w:rsidP="00346CBB">
            <w:pPr>
              <w:jc w:val="right"/>
            </w:pPr>
            <w:r w:rsidRPr="00346CBB">
              <w:t>8 590</w:t>
            </w:r>
          </w:p>
        </w:tc>
        <w:tc>
          <w:tcPr>
            <w:tcW w:w="65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4E16711" w14:textId="77777777" w:rsidR="003953D6" w:rsidRPr="00346CBB" w:rsidRDefault="003953D6" w:rsidP="00346CBB">
            <w:pPr>
              <w:jc w:val="right"/>
            </w:pPr>
            <w:r w:rsidRPr="00346CBB">
              <w:t>12 070</w:t>
            </w:r>
          </w:p>
        </w:tc>
        <w:tc>
          <w:tcPr>
            <w:tcW w:w="6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63BB418" w14:textId="77777777" w:rsidR="003953D6" w:rsidRPr="00346CBB" w:rsidRDefault="003953D6" w:rsidP="00346CBB">
            <w:pPr>
              <w:jc w:val="right"/>
            </w:pPr>
            <w:r w:rsidRPr="00346CBB">
              <w:t xml:space="preserve">12 070 </w:t>
            </w:r>
          </w:p>
        </w:tc>
        <w:tc>
          <w:tcPr>
            <w:tcW w:w="72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B78CA0B" w14:textId="77777777" w:rsidR="003953D6" w:rsidRPr="00346CBB" w:rsidRDefault="003953D6" w:rsidP="00346CBB">
            <w:pPr>
              <w:jc w:val="right"/>
            </w:pPr>
            <w:r w:rsidRPr="00346CBB">
              <w:t>5,7 %</w:t>
            </w:r>
          </w:p>
        </w:tc>
      </w:tr>
    </w:tbl>
    <w:p w14:paraId="6DDE827C" w14:textId="77777777" w:rsidR="003953D6" w:rsidRPr="00346CBB" w:rsidRDefault="003953D6" w:rsidP="00C9271A">
      <w:pPr>
        <w:jc w:val="right"/>
      </w:pPr>
    </w:p>
    <w:p w14:paraId="2908EDDD" w14:textId="79C0F4FA" w:rsidR="003953D6" w:rsidRPr="00346CBB" w:rsidRDefault="00DA60DA" w:rsidP="00346CBB">
      <w:r>
        <w:rPr>
          <w:noProof/>
        </w:rPr>
        <w:drawing>
          <wp:inline distT="0" distB="0" distL="0" distR="0" wp14:anchorId="266D13DB" wp14:editId="78253ECD">
            <wp:extent cx="5210175" cy="2872740"/>
            <wp:effectExtent l="0" t="0" r="9525" b="3810"/>
            <wp:docPr id="160284253" name="Bilde 4" descr="Stolpe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84253" name="Bilde 4" descr="Stolpediagram"/>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2872740"/>
                    </a:xfrm>
                    <a:prstGeom prst="rect">
                      <a:avLst/>
                    </a:prstGeom>
                    <a:noFill/>
                    <a:ln>
                      <a:noFill/>
                    </a:ln>
                  </pic:spPr>
                </pic:pic>
              </a:graphicData>
            </a:graphic>
          </wp:inline>
        </w:drawing>
      </w:r>
    </w:p>
    <w:p w14:paraId="569A05F5" w14:textId="77777777" w:rsidR="003953D6" w:rsidRPr="00346CBB" w:rsidRDefault="003953D6" w:rsidP="00346CBB">
      <w:pPr>
        <w:pStyle w:val="figur-tittel"/>
      </w:pPr>
      <w:r w:rsidRPr="00346CBB">
        <w:t>Utvikling i driftsresultat før avskrivninger 2015 til 2024 i mill. kroner i faste og løpende priser.</w:t>
      </w:r>
    </w:p>
    <w:p w14:paraId="6DE37D90" w14:textId="77777777" w:rsidR="003953D6" w:rsidRPr="00346CBB" w:rsidRDefault="003953D6" w:rsidP="00346CBB">
      <w:pPr>
        <w:pStyle w:val="Kilde"/>
      </w:pPr>
      <w:r w:rsidRPr="00346CBB">
        <w:lastRenderedPageBreak/>
        <w:t>Kilde: Helse- og omsorgsdepartementet.</w:t>
      </w:r>
    </w:p>
    <w:p w14:paraId="4B54FD4A" w14:textId="77777777" w:rsidR="003953D6" w:rsidRPr="00346CBB" w:rsidRDefault="003953D6" w:rsidP="00346CBB">
      <w:pPr>
        <w:pStyle w:val="Overskrift2"/>
      </w:pPr>
      <w:r w:rsidRPr="00346CBB">
        <w:t>Investeringer og gjeld</w:t>
      </w:r>
    </w:p>
    <w:p w14:paraId="1685E304" w14:textId="77777777" w:rsidR="003953D6" w:rsidRPr="00346CBB" w:rsidRDefault="003953D6" w:rsidP="00346CBB">
      <w:r w:rsidRPr="00346CBB">
        <w:t>Helseforetakene gjennomfører investeringer i bygninger, utstyr og teknologi i tillegg til større investeringer i nye sykehusbygg. I 2024 ble det investert for 23,3 mrd. kroner, mens avskrivningene utgjorde 8,6 mrd. kroner. Investeringsnivået har vært mulig som følge av at helseforetakene over tid har spart opp likviditet i form av positive driftsresultater, samt tilførsel av likviditet i form av lånefinansiering i den statlige låneordningen til større prosjekter</w:t>
      </w:r>
      <w:r w:rsidRPr="00346CBB">
        <w:rPr>
          <w:rStyle w:val="Fotnotereferanse"/>
        </w:rPr>
        <w:footnoteReference w:id="10"/>
      </w:r>
      <w:r w:rsidRPr="00346CBB">
        <w:t xml:space="preserve">, jf. tabell 3.1. I 2024 ble det utbetalt 9,7 mrd. kroner i investeringslån. Økte byggepriser har i de senere årene medført økte </w:t>
      </w:r>
      <w:proofErr w:type="spellStart"/>
      <w:r w:rsidRPr="00346CBB">
        <w:t>byggekostnader</w:t>
      </w:r>
      <w:proofErr w:type="spellEnd"/>
      <w:r w:rsidRPr="00346CBB">
        <w:t xml:space="preserve"> og dermed større likviditetsbehov i pågående og framtidige prosjekter.</w:t>
      </w:r>
    </w:p>
    <w:p w14:paraId="2962CFD8" w14:textId="04FF4FA4" w:rsidR="003953D6" w:rsidRPr="00346CBB" w:rsidRDefault="003953D6" w:rsidP="00346CBB">
      <w:r w:rsidRPr="00346CBB">
        <w:t xml:space="preserve">I 2023 ble prinsippet for prisjustering av lånerammene til de regionale helseforetakene endret. Statlige lånerammer prisjusteres nå med </w:t>
      </w:r>
      <w:proofErr w:type="spellStart"/>
      <w:r w:rsidRPr="00346CBB">
        <w:t>byggekostnadsindeksen</w:t>
      </w:r>
      <w:proofErr w:type="spellEnd"/>
      <w:r w:rsidRPr="00346CBB">
        <w:t xml:space="preserve"> Statsbygg bruker for sine prosjekter, basert på publiserte tall fra SSB (SBED). Tidligere ble lånerammen prisjustert med </w:t>
      </w:r>
      <w:proofErr w:type="spellStart"/>
      <w:r w:rsidRPr="00346CBB">
        <w:t>deflatoren</w:t>
      </w:r>
      <w:proofErr w:type="spellEnd"/>
      <w:r w:rsidRPr="00346CBB">
        <w:t xml:space="preserve"> for basisbevilgningen (i rapporten betegnet som </w:t>
      </w:r>
      <w:proofErr w:type="spellStart"/>
      <w:r w:rsidRPr="00346CBB">
        <w:t>deflatoren</w:t>
      </w:r>
      <w:proofErr w:type="spellEnd"/>
      <w:r w:rsidRPr="00346CBB">
        <w:t xml:space="preserve"> for spesialisthelsetjenesten). Endringen ble gjort med tilbakevirkende kraft for perioden 2015 til 2022 for de prosjektene som fikk lånebevilgning i 2023. Som følge av dette ble det gitt 5,4 mrd. kroner i økte lånerammer til de regionale helseforetakene og lånebevilgningen i 2023 ble økt med 1,3 mrd. kroner i ekstra rentebærende likviditet. Endringen skulle legge til rette for mer stabil og forutsigbar finansiering framover.</w:t>
      </w:r>
      <w:r w:rsidRPr="00346CBB">
        <w:rPr>
          <w:rStyle w:val="Fotnotereferanse"/>
        </w:rPr>
        <w:footnoteReference w:id="11"/>
      </w:r>
      <w:r w:rsidRPr="00346CBB">
        <w:t xml:space="preserve"> Ved Stortingets behandling av meldingen om Nasjonal helse- og samhandlingsplan 2024 til 2027 ble det vedtatt at de regionale helseforetakene nå kan søke om lån </w:t>
      </w:r>
      <w:r w:rsidRPr="00346CBB">
        <w:lastRenderedPageBreak/>
        <w:t>på inntil 90 prosent av prosjektets styringsramme (P50-estimat) for nye prosjekter og at rentemodellen fra før 2018 nå skal gjøres gjeldende for alle lån.</w:t>
      </w:r>
      <w:r w:rsidRPr="00346CBB">
        <w:rPr>
          <w:rStyle w:val="Fotnotereferanse"/>
        </w:rPr>
        <w:footnoteReference w:id="12"/>
      </w:r>
    </w:p>
    <w:p w14:paraId="4ECC5E92" w14:textId="77777777" w:rsidR="003953D6" w:rsidRPr="00346CBB" w:rsidRDefault="003953D6" w:rsidP="00346CBB">
      <w:r w:rsidRPr="00346CBB">
        <w:t>De årlige investeringene vil variere avhengig av hvilke utbygginger som pågår. Når større investeringer ferdigstilles vil nivået på de samlede avskrivningene øke. Ved lånefinansiering vil også rentekostnadene øke. Tabell 5.3 viser at det har vært en økning i helseforetakenes verdi på bygg, utstyr og immaterielle verdier på 14,6 mrd. kroner i 2024. Tomter eid av helseforetakene inngår i tabell 5.3.</w:t>
      </w:r>
    </w:p>
    <w:p w14:paraId="1154DD5C" w14:textId="77777777" w:rsidR="003953D6" w:rsidRPr="00346CBB" w:rsidRDefault="003953D6" w:rsidP="00346CBB">
      <w:pPr>
        <w:pStyle w:val="tabell-tittel"/>
      </w:pPr>
      <w:r w:rsidRPr="00346CBB">
        <w:lastRenderedPageBreak/>
        <w:t>Utvikling i helseforetakenes verdi på bygg, utstyr og immaterielle verdier 2003–2024 i mill. kroner i løpendepriser.</w:t>
      </w:r>
    </w:p>
    <w:tbl>
      <w:tblPr>
        <w:tblW w:w="5000" w:type="pct"/>
        <w:tblCellMar>
          <w:left w:w="0" w:type="dxa"/>
          <w:right w:w="0" w:type="dxa"/>
        </w:tblCellMar>
        <w:tblLook w:val="0000" w:firstRow="0" w:lastRow="0" w:firstColumn="0" w:lastColumn="0" w:noHBand="0" w:noVBand="0"/>
      </w:tblPr>
      <w:tblGrid>
        <w:gridCol w:w="1717"/>
        <w:gridCol w:w="847"/>
        <w:gridCol w:w="847"/>
        <w:gridCol w:w="972"/>
        <w:gridCol w:w="972"/>
        <w:gridCol w:w="953"/>
        <w:gridCol w:w="953"/>
        <w:gridCol w:w="953"/>
      </w:tblGrid>
      <w:tr w:rsidR="00A4769D" w:rsidRPr="00346CBB" w14:paraId="564FB081" w14:textId="77777777" w:rsidTr="00346CBB">
        <w:trPr>
          <w:trHeight w:val="396"/>
          <w:tblHeader/>
        </w:trPr>
        <w:tc>
          <w:tcPr>
            <w:tcW w:w="1066"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FBCCF7C" w14:textId="77777777" w:rsidR="003953D6" w:rsidRPr="00346CBB" w:rsidRDefault="003953D6" w:rsidP="00C9271A">
            <w:pPr>
              <w:jc w:val="right"/>
            </w:pPr>
          </w:p>
        </w:tc>
        <w:tc>
          <w:tcPr>
            <w:tcW w:w="51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970C9AD" w14:textId="77777777" w:rsidR="003953D6" w:rsidRPr="00346CBB" w:rsidRDefault="003953D6" w:rsidP="00346CBB">
            <w:pPr>
              <w:pStyle w:val="TabellHode-kolonne"/>
              <w:jc w:val="right"/>
            </w:pPr>
            <w:r w:rsidRPr="00346CBB">
              <w:t>2003</w:t>
            </w:r>
          </w:p>
        </w:tc>
        <w:tc>
          <w:tcPr>
            <w:tcW w:w="51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6F5AE9D" w14:textId="77777777" w:rsidR="003953D6" w:rsidRPr="00346CBB" w:rsidRDefault="003953D6" w:rsidP="00346CBB">
            <w:pPr>
              <w:pStyle w:val="TabellHode-kolonne"/>
              <w:jc w:val="right"/>
            </w:pPr>
            <w:r w:rsidRPr="00346CBB">
              <w:t>2015</w:t>
            </w:r>
          </w:p>
        </w:tc>
        <w:tc>
          <w:tcPr>
            <w:tcW w:w="552"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A38A2C9" w14:textId="77777777" w:rsidR="003953D6" w:rsidRPr="00346CBB" w:rsidRDefault="003953D6" w:rsidP="00346CBB">
            <w:pPr>
              <w:pStyle w:val="TabellHode-kolonne"/>
              <w:jc w:val="right"/>
            </w:pPr>
            <w:r w:rsidRPr="00346CBB">
              <w:t>2023</w:t>
            </w:r>
          </w:p>
        </w:tc>
        <w:tc>
          <w:tcPr>
            <w:tcW w:w="552"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9C9EC7C" w14:textId="77777777" w:rsidR="003953D6" w:rsidRPr="00346CBB" w:rsidRDefault="003953D6" w:rsidP="00346CBB">
            <w:pPr>
              <w:pStyle w:val="TabellHode-kolonne"/>
              <w:jc w:val="right"/>
            </w:pPr>
            <w:r w:rsidRPr="00346CBB">
              <w:t>2024</w:t>
            </w:r>
          </w:p>
        </w:tc>
        <w:tc>
          <w:tcPr>
            <w:tcW w:w="60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282275D" w14:textId="77777777" w:rsidR="003953D6" w:rsidRPr="00346CBB" w:rsidRDefault="003953D6" w:rsidP="00346CBB">
            <w:pPr>
              <w:pStyle w:val="TabellHode-kolonne"/>
              <w:jc w:val="right"/>
            </w:pPr>
            <w:r w:rsidRPr="00346CBB">
              <w:t>Prosent endring 2023–24</w:t>
            </w:r>
          </w:p>
        </w:tc>
        <w:tc>
          <w:tcPr>
            <w:tcW w:w="60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362CFE37" w14:textId="77777777" w:rsidR="003953D6" w:rsidRPr="00346CBB" w:rsidRDefault="003953D6" w:rsidP="00346CBB">
            <w:pPr>
              <w:pStyle w:val="TabellHode-kolonne"/>
              <w:jc w:val="right"/>
            </w:pPr>
            <w:r w:rsidRPr="00346CBB">
              <w:t>Prosent endring 2015–24</w:t>
            </w:r>
          </w:p>
        </w:tc>
        <w:tc>
          <w:tcPr>
            <w:tcW w:w="60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7215F3D" w14:textId="77777777" w:rsidR="003953D6" w:rsidRPr="00346CBB" w:rsidRDefault="003953D6" w:rsidP="00346CBB">
            <w:pPr>
              <w:pStyle w:val="TabellHode-kolonne"/>
              <w:jc w:val="right"/>
            </w:pPr>
            <w:r w:rsidRPr="00346CBB">
              <w:t>Prosent endring 2003–24</w:t>
            </w:r>
          </w:p>
        </w:tc>
      </w:tr>
      <w:tr w:rsidR="00A4769D" w:rsidRPr="00346CBB" w14:paraId="393D9CE2" w14:textId="77777777" w:rsidTr="00346CBB">
        <w:trPr>
          <w:trHeight w:val="396"/>
        </w:trPr>
        <w:tc>
          <w:tcPr>
            <w:tcW w:w="1066"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A331CC1" w14:textId="77777777" w:rsidR="003953D6" w:rsidRPr="00346CBB" w:rsidRDefault="003953D6" w:rsidP="00346CBB">
            <w:pPr>
              <w:pStyle w:val="TabellHode-rad"/>
            </w:pPr>
            <w:r w:rsidRPr="00346CBB">
              <w:t>Helse Sør-Øst</w:t>
            </w:r>
          </w:p>
        </w:tc>
        <w:tc>
          <w:tcPr>
            <w:tcW w:w="51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5E2F46D" w14:textId="77777777" w:rsidR="003953D6" w:rsidRPr="00346CBB" w:rsidRDefault="003953D6" w:rsidP="00346CBB">
            <w:pPr>
              <w:jc w:val="right"/>
            </w:pPr>
            <w:r w:rsidRPr="00346CBB">
              <w:t xml:space="preserve"> 36 913</w:t>
            </w:r>
          </w:p>
        </w:tc>
        <w:tc>
          <w:tcPr>
            <w:tcW w:w="51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EC7CB0C" w14:textId="77777777" w:rsidR="003953D6" w:rsidRPr="00346CBB" w:rsidRDefault="003953D6" w:rsidP="00346CBB">
            <w:pPr>
              <w:jc w:val="right"/>
            </w:pPr>
            <w:r w:rsidRPr="00346CBB">
              <w:t xml:space="preserve"> 45 892 </w:t>
            </w:r>
          </w:p>
        </w:tc>
        <w:tc>
          <w:tcPr>
            <w:tcW w:w="552"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1C54FD9" w14:textId="77777777" w:rsidR="003953D6" w:rsidRPr="00346CBB" w:rsidRDefault="003953D6" w:rsidP="00346CBB">
            <w:pPr>
              <w:jc w:val="right"/>
            </w:pPr>
            <w:r w:rsidRPr="00346CBB">
              <w:t xml:space="preserve"> 68 790 </w:t>
            </w:r>
          </w:p>
        </w:tc>
        <w:tc>
          <w:tcPr>
            <w:tcW w:w="552"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994EC0F" w14:textId="77777777" w:rsidR="003953D6" w:rsidRPr="00346CBB" w:rsidRDefault="003953D6" w:rsidP="00346CBB">
            <w:pPr>
              <w:jc w:val="right"/>
            </w:pPr>
            <w:r w:rsidRPr="00346CBB">
              <w:t xml:space="preserve"> 77 924 </w:t>
            </w:r>
          </w:p>
        </w:tc>
        <w:tc>
          <w:tcPr>
            <w:tcW w:w="60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130C614" w14:textId="77777777" w:rsidR="003953D6" w:rsidRPr="00346CBB" w:rsidRDefault="003953D6" w:rsidP="00346CBB">
            <w:pPr>
              <w:jc w:val="right"/>
            </w:pPr>
            <w:r w:rsidRPr="00346CBB">
              <w:t>13 %</w:t>
            </w:r>
          </w:p>
        </w:tc>
        <w:tc>
          <w:tcPr>
            <w:tcW w:w="60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72BC3CF" w14:textId="77777777" w:rsidR="003953D6" w:rsidRPr="00346CBB" w:rsidRDefault="003953D6" w:rsidP="00346CBB">
            <w:pPr>
              <w:jc w:val="right"/>
            </w:pPr>
            <w:r w:rsidRPr="00346CBB">
              <w:t>70 %</w:t>
            </w:r>
          </w:p>
        </w:tc>
        <w:tc>
          <w:tcPr>
            <w:tcW w:w="60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503AE2C" w14:textId="77777777" w:rsidR="003953D6" w:rsidRPr="00346CBB" w:rsidRDefault="003953D6" w:rsidP="00346CBB">
            <w:pPr>
              <w:jc w:val="right"/>
            </w:pPr>
            <w:r w:rsidRPr="00346CBB">
              <w:t>111 %</w:t>
            </w:r>
          </w:p>
        </w:tc>
      </w:tr>
      <w:tr w:rsidR="00A4769D" w:rsidRPr="00346CBB" w14:paraId="5F78A888" w14:textId="77777777" w:rsidTr="00346CBB">
        <w:trPr>
          <w:trHeight w:val="396"/>
        </w:trPr>
        <w:tc>
          <w:tcPr>
            <w:tcW w:w="10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BB86E36" w14:textId="77777777" w:rsidR="003953D6" w:rsidRPr="00346CBB" w:rsidRDefault="003953D6" w:rsidP="00346CBB">
            <w:pPr>
              <w:pStyle w:val="TabellHode-rad"/>
            </w:pPr>
            <w:r w:rsidRPr="00346CBB">
              <w:t>Helse Vest</w:t>
            </w:r>
          </w:p>
        </w:tc>
        <w:tc>
          <w:tcPr>
            <w:tcW w:w="5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D68B481" w14:textId="77777777" w:rsidR="003953D6" w:rsidRPr="00346CBB" w:rsidRDefault="003953D6" w:rsidP="00346CBB">
            <w:pPr>
              <w:jc w:val="right"/>
            </w:pPr>
            <w:r w:rsidRPr="00346CBB">
              <w:t xml:space="preserve"> 12 095</w:t>
            </w:r>
          </w:p>
        </w:tc>
        <w:tc>
          <w:tcPr>
            <w:tcW w:w="5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4E19D1D" w14:textId="77777777" w:rsidR="003953D6" w:rsidRPr="00346CBB" w:rsidRDefault="003953D6" w:rsidP="00346CBB">
            <w:pPr>
              <w:jc w:val="right"/>
            </w:pPr>
            <w:r w:rsidRPr="00346CBB">
              <w:t xml:space="preserve"> 15 031 </w:t>
            </w:r>
          </w:p>
        </w:tc>
        <w:tc>
          <w:tcPr>
            <w:tcW w:w="5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E556317" w14:textId="77777777" w:rsidR="003953D6" w:rsidRPr="00346CBB" w:rsidRDefault="003953D6" w:rsidP="00346CBB">
            <w:pPr>
              <w:jc w:val="right"/>
            </w:pPr>
            <w:r w:rsidRPr="00346CBB">
              <w:t xml:space="preserve"> 33 710 </w:t>
            </w:r>
          </w:p>
        </w:tc>
        <w:tc>
          <w:tcPr>
            <w:tcW w:w="5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CC71F13" w14:textId="77777777" w:rsidR="003953D6" w:rsidRPr="00346CBB" w:rsidRDefault="003953D6" w:rsidP="00346CBB">
            <w:pPr>
              <w:jc w:val="right"/>
            </w:pPr>
            <w:r w:rsidRPr="00346CBB">
              <w:t xml:space="preserve"> 37 052 </w:t>
            </w:r>
          </w:p>
        </w:tc>
        <w:tc>
          <w:tcPr>
            <w:tcW w:w="6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E00252B" w14:textId="77777777" w:rsidR="003953D6" w:rsidRPr="00346CBB" w:rsidRDefault="003953D6" w:rsidP="00346CBB">
            <w:pPr>
              <w:jc w:val="right"/>
            </w:pPr>
            <w:r w:rsidRPr="00346CBB">
              <w:t>10 %</w:t>
            </w:r>
          </w:p>
        </w:tc>
        <w:tc>
          <w:tcPr>
            <w:tcW w:w="6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69ED9D4" w14:textId="77777777" w:rsidR="003953D6" w:rsidRPr="00346CBB" w:rsidRDefault="003953D6" w:rsidP="00346CBB">
            <w:pPr>
              <w:jc w:val="right"/>
            </w:pPr>
            <w:r w:rsidRPr="00346CBB">
              <w:t>147 %</w:t>
            </w:r>
          </w:p>
        </w:tc>
        <w:tc>
          <w:tcPr>
            <w:tcW w:w="6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71799EA" w14:textId="77777777" w:rsidR="003953D6" w:rsidRPr="00346CBB" w:rsidRDefault="003953D6" w:rsidP="00346CBB">
            <w:pPr>
              <w:jc w:val="right"/>
            </w:pPr>
            <w:r w:rsidRPr="00346CBB">
              <w:t>206 %</w:t>
            </w:r>
          </w:p>
        </w:tc>
      </w:tr>
      <w:tr w:rsidR="00A4769D" w:rsidRPr="00346CBB" w14:paraId="49E11B60" w14:textId="77777777" w:rsidTr="00346CBB">
        <w:trPr>
          <w:trHeight w:val="396"/>
        </w:trPr>
        <w:tc>
          <w:tcPr>
            <w:tcW w:w="10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2E6536E" w14:textId="77777777" w:rsidR="003953D6" w:rsidRPr="00346CBB" w:rsidRDefault="003953D6" w:rsidP="00346CBB">
            <w:pPr>
              <w:pStyle w:val="TabellHode-rad"/>
            </w:pPr>
            <w:r w:rsidRPr="00346CBB">
              <w:t>Helse Midt-Norge</w:t>
            </w:r>
          </w:p>
        </w:tc>
        <w:tc>
          <w:tcPr>
            <w:tcW w:w="5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91B7DA0" w14:textId="77777777" w:rsidR="003953D6" w:rsidRPr="00346CBB" w:rsidRDefault="003953D6" w:rsidP="00346CBB">
            <w:pPr>
              <w:jc w:val="right"/>
            </w:pPr>
            <w:r w:rsidRPr="00346CBB">
              <w:t xml:space="preserve"> 9 001 </w:t>
            </w:r>
          </w:p>
        </w:tc>
        <w:tc>
          <w:tcPr>
            <w:tcW w:w="5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EAF34B9" w14:textId="77777777" w:rsidR="003953D6" w:rsidRPr="00346CBB" w:rsidRDefault="003953D6" w:rsidP="00346CBB">
            <w:pPr>
              <w:jc w:val="right"/>
            </w:pPr>
            <w:r w:rsidRPr="00346CBB">
              <w:t xml:space="preserve"> 13 729 </w:t>
            </w:r>
          </w:p>
        </w:tc>
        <w:tc>
          <w:tcPr>
            <w:tcW w:w="5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2866FA0" w14:textId="77777777" w:rsidR="003953D6" w:rsidRPr="00346CBB" w:rsidRDefault="003953D6" w:rsidP="00346CBB">
            <w:pPr>
              <w:jc w:val="right"/>
            </w:pPr>
            <w:r w:rsidRPr="00346CBB">
              <w:t xml:space="preserve"> 21 089 </w:t>
            </w:r>
          </w:p>
        </w:tc>
        <w:tc>
          <w:tcPr>
            <w:tcW w:w="5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A7545D5" w14:textId="77777777" w:rsidR="003953D6" w:rsidRPr="00346CBB" w:rsidRDefault="003953D6" w:rsidP="00346CBB">
            <w:pPr>
              <w:jc w:val="right"/>
            </w:pPr>
            <w:r w:rsidRPr="00346CBB">
              <w:t xml:space="preserve"> 22 651 </w:t>
            </w:r>
          </w:p>
        </w:tc>
        <w:tc>
          <w:tcPr>
            <w:tcW w:w="6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004EE1E" w14:textId="77777777" w:rsidR="003953D6" w:rsidRPr="00346CBB" w:rsidRDefault="003953D6" w:rsidP="00346CBB">
            <w:pPr>
              <w:jc w:val="right"/>
            </w:pPr>
            <w:r w:rsidRPr="00346CBB">
              <w:t>7 %</w:t>
            </w:r>
          </w:p>
        </w:tc>
        <w:tc>
          <w:tcPr>
            <w:tcW w:w="6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82FEAC3" w14:textId="77777777" w:rsidR="003953D6" w:rsidRPr="00346CBB" w:rsidRDefault="003953D6" w:rsidP="00346CBB">
            <w:pPr>
              <w:jc w:val="right"/>
            </w:pPr>
            <w:r w:rsidRPr="00346CBB">
              <w:t>65 %</w:t>
            </w:r>
          </w:p>
        </w:tc>
        <w:tc>
          <w:tcPr>
            <w:tcW w:w="6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14E09F7" w14:textId="77777777" w:rsidR="003953D6" w:rsidRPr="00346CBB" w:rsidRDefault="003953D6" w:rsidP="00346CBB">
            <w:pPr>
              <w:jc w:val="right"/>
            </w:pPr>
            <w:r w:rsidRPr="00346CBB">
              <w:t>152 %</w:t>
            </w:r>
          </w:p>
        </w:tc>
      </w:tr>
      <w:tr w:rsidR="00A4769D" w:rsidRPr="00346CBB" w14:paraId="6A61907E" w14:textId="77777777" w:rsidTr="00346CBB">
        <w:trPr>
          <w:trHeight w:val="396"/>
        </w:trPr>
        <w:tc>
          <w:tcPr>
            <w:tcW w:w="10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BE41920" w14:textId="77777777" w:rsidR="003953D6" w:rsidRPr="00346CBB" w:rsidRDefault="003953D6" w:rsidP="00346CBB">
            <w:pPr>
              <w:pStyle w:val="TabellHode-rad"/>
            </w:pPr>
            <w:r w:rsidRPr="00346CBB">
              <w:t>Helse Nord</w:t>
            </w:r>
          </w:p>
        </w:tc>
        <w:tc>
          <w:tcPr>
            <w:tcW w:w="5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8A4C600" w14:textId="77777777" w:rsidR="003953D6" w:rsidRPr="00346CBB" w:rsidRDefault="003953D6" w:rsidP="00346CBB">
            <w:pPr>
              <w:jc w:val="right"/>
            </w:pPr>
            <w:r w:rsidRPr="00346CBB">
              <w:t xml:space="preserve"> 8 578 </w:t>
            </w:r>
          </w:p>
        </w:tc>
        <w:tc>
          <w:tcPr>
            <w:tcW w:w="5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44CE4FC" w14:textId="77777777" w:rsidR="003953D6" w:rsidRPr="00346CBB" w:rsidRDefault="003953D6" w:rsidP="00346CBB">
            <w:pPr>
              <w:jc w:val="right"/>
            </w:pPr>
            <w:r w:rsidRPr="00346CBB">
              <w:t xml:space="preserve"> 11 736 </w:t>
            </w:r>
          </w:p>
        </w:tc>
        <w:tc>
          <w:tcPr>
            <w:tcW w:w="5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4F98278" w14:textId="77777777" w:rsidR="003953D6" w:rsidRPr="00346CBB" w:rsidRDefault="003953D6" w:rsidP="00346CBB">
            <w:pPr>
              <w:jc w:val="right"/>
            </w:pPr>
            <w:r w:rsidRPr="00346CBB">
              <w:t xml:space="preserve"> 18 589 </w:t>
            </w:r>
          </w:p>
        </w:tc>
        <w:tc>
          <w:tcPr>
            <w:tcW w:w="5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30F1728" w14:textId="77777777" w:rsidR="003953D6" w:rsidRPr="00346CBB" w:rsidRDefault="003953D6" w:rsidP="00346CBB">
            <w:pPr>
              <w:jc w:val="right"/>
            </w:pPr>
            <w:r w:rsidRPr="00346CBB">
              <w:t xml:space="preserve"> 19 143 </w:t>
            </w:r>
          </w:p>
        </w:tc>
        <w:tc>
          <w:tcPr>
            <w:tcW w:w="6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4F7F9AC" w14:textId="77777777" w:rsidR="003953D6" w:rsidRPr="00346CBB" w:rsidRDefault="003953D6" w:rsidP="00346CBB">
            <w:pPr>
              <w:jc w:val="right"/>
            </w:pPr>
            <w:r w:rsidRPr="00346CBB">
              <w:t>3 %</w:t>
            </w:r>
          </w:p>
        </w:tc>
        <w:tc>
          <w:tcPr>
            <w:tcW w:w="6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83238C4" w14:textId="77777777" w:rsidR="003953D6" w:rsidRPr="00346CBB" w:rsidRDefault="003953D6" w:rsidP="00346CBB">
            <w:pPr>
              <w:jc w:val="right"/>
            </w:pPr>
            <w:r w:rsidRPr="00346CBB">
              <w:t>63 %</w:t>
            </w:r>
          </w:p>
        </w:tc>
        <w:tc>
          <w:tcPr>
            <w:tcW w:w="6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9B89CBB" w14:textId="77777777" w:rsidR="003953D6" w:rsidRPr="00346CBB" w:rsidRDefault="003953D6" w:rsidP="00346CBB">
            <w:pPr>
              <w:jc w:val="right"/>
            </w:pPr>
            <w:r w:rsidRPr="00346CBB">
              <w:t>123 %</w:t>
            </w:r>
          </w:p>
        </w:tc>
      </w:tr>
      <w:tr w:rsidR="00A4769D" w:rsidRPr="00346CBB" w14:paraId="5718308B" w14:textId="77777777" w:rsidTr="00346CBB">
        <w:trPr>
          <w:trHeight w:hRule="exact" w:val="396"/>
        </w:trPr>
        <w:tc>
          <w:tcPr>
            <w:tcW w:w="10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BF11474" w14:textId="77777777" w:rsidR="003953D6" w:rsidRPr="00346CBB" w:rsidRDefault="003953D6" w:rsidP="00346CBB">
            <w:pPr>
              <w:pStyle w:val="TabellHode-rad"/>
            </w:pPr>
            <w:r w:rsidRPr="00346CBB">
              <w:t>Sum</w:t>
            </w:r>
          </w:p>
        </w:tc>
        <w:tc>
          <w:tcPr>
            <w:tcW w:w="5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AAA8873" w14:textId="77777777" w:rsidR="003953D6" w:rsidRPr="00346CBB" w:rsidRDefault="003953D6" w:rsidP="00346CBB">
            <w:pPr>
              <w:jc w:val="right"/>
            </w:pPr>
            <w:r w:rsidRPr="00346CBB">
              <w:t xml:space="preserve"> 66 587 </w:t>
            </w:r>
          </w:p>
        </w:tc>
        <w:tc>
          <w:tcPr>
            <w:tcW w:w="51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B41633D" w14:textId="77777777" w:rsidR="003953D6" w:rsidRPr="00346CBB" w:rsidRDefault="003953D6" w:rsidP="00346CBB">
            <w:pPr>
              <w:jc w:val="right"/>
            </w:pPr>
            <w:r w:rsidRPr="00346CBB">
              <w:t xml:space="preserve"> 86 388 </w:t>
            </w:r>
          </w:p>
        </w:tc>
        <w:tc>
          <w:tcPr>
            <w:tcW w:w="5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6891598" w14:textId="77777777" w:rsidR="003953D6" w:rsidRPr="00346CBB" w:rsidRDefault="003953D6" w:rsidP="00346CBB">
            <w:pPr>
              <w:jc w:val="right"/>
            </w:pPr>
            <w:r w:rsidRPr="00346CBB">
              <w:t xml:space="preserve">142 178 </w:t>
            </w:r>
          </w:p>
        </w:tc>
        <w:tc>
          <w:tcPr>
            <w:tcW w:w="5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40E3A91" w14:textId="77777777" w:rsidR="003953D6" w:rsidRPr="00346CBB" w:rsidRDefault="003953D6" w:rsidP="00346CBB">
            <w:pPr>
              <w:jc w:val="right"/>
            </w:pPr>
            <w:r w:rsidRPr="00346CBB">
              <w:t xml:space="preserve">156 770 </w:t>
            </w:r>
          </w:p>
        </w:tc>
        <w:tc>
          <w:tcPr>
            <w:tcW w:w="6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0E9980F" w14:textId="77777777" w:rsidR="003953D6" w:rsidRPr="00346CBB" w:rsidRDefault="003953D6" w:rsidP="00346CBB">
            <w:pPr>
              <w:jc w:val="right"/>
            </w:pPr>
            <w:r w:rsidRPr="00346CBB">
              <w:t>10 %</w:t>
            </w:r>
          </w:p>
        </w:tc>
        <w:tc>
          <w:tcPr>
            <w:tcW w:w="6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C7B2096" w14:textId="77777777" w:rsidR="003953D6" w:rsidRPr="00346CBB" w:rsidRDefault="003953D6" w:rsidP="00346CBB">
            <w:pPr>
              <w:jc w:val="right"/>
            </w:pPr>
            <w:r w:rsidRPr="00346CBB">
              <w:t>81 %</w:t>
            </w:r>
          </w:p>
        </w:tc>
        <w:tc>
          <w:tcPr>
            <w:tcW w:w="60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A9DE99E" w14:textId="77777777" w:rsidR="003953D6" w:rsidRPr="00346CBB" w:rsidRDefault="003953D6" w:rsidP="00346CBB">
            <w:pPr>
              <w:jc w:val="right"/>
            </w:pPr>
            <w:r w:rsidRPr="00346CBB">
              <w:t>135 %</w:t>
            </w:r>
          </w:p>
        </w:tc>
      </w:tr>
    </w:tbl>
    <w:p w14:paraId="560B3A6F" w14:textId="77777777" w:rsidR="003953D6" w:rsidRPr="00346CBB" w:rsidRDefault="003953D6" w:rsidP="00C9271A">
      <w:pPr>
        <w:jc w:val="right"/>
      </w:pPr>
    </w:p>
    <w:p w14:paraId="07CD8A6C" w14:textId="77777777" w:rsidR="003953D6" w:rsidRPr="00346CBB" w:rsidRDefault="003953D6" w:rsidP="00346CBB">
      <w:pPr>
        <w:pStyle w:val="Kilde"/>
      </w:pPr>
      <w:r w:rsidRPr="00346CBB">
        <w:t>Kilde: De regionale helseforetakenes regnskaper 2024.</w:t>
      </w:r>
    </w:p>
    <w:p w14:paraId="7343F965" w14:textId="77777777" w:rsidR="003953D6" w:rsidRPr="00346CBB" w:rsidRDefault="003953D6" w:rsidP="00346CBB">
      <w:r w:rsidRPr="00346CBB">
        <w:t>Ved innføringen av helseforetaksmodellen ble helseforetakenes bygningsmasse og utstyr verdsatt til 66 mrd. kroner. I perioden 2015–2024 har den regnskapsmessige verdien av sykehusenes bygg og utstyr samlet økt nominelt med 70,4 mrd. kroner eller 81 prosent, fra 86,4 mrd. kroner til 156,8 mrd. kroner.</w:t>
      </w:r>
    </w:p>
    <w:p w14:paraId="11C37F52" w14:textId="519F079D" w:rsidR="003953D6" w:rsidRPr="00346CBB" w:rsidRDefault="003953D6" w:rsidP="00346CBB">
      <w:r w:rsidRPr="00346CBB">
        <w:t xml:space="preserve">Tilførsel av likviditet i form rentebærende lån er viktig for å kunne gjennomføre nødvendige investeringer til rett tid. Ved utgangen av 2024 var samlet låneopptak 62 474 mill. kroner fordelt på 15 755 mill. kroner i ordinære nedbetalingslån </w:t>
      </w:r>
      <w:r w:rsidRPr="00346CBB">
        <w:lastRenderedPageBreak/>
        <w:t>og 46 719 mill. kroner i byggelån til pågående prosjekter. Renter på byggelån er flytende, balanseføres og legges til lånet på konverteringstidspunktet. Samlet låneopptak til investeringer i 2024 utgjorde 30 prosent av inntektene. Gjeldsgraden og rente- og avdragsbelastningen vil, i tråd med de økonomiske langtidsplanene, øke når en rekke pågående prosjekter ferdigstilles i de nærmeste årene.</w:t>
      </w:r>
    </w:p>
    <w:p w14:paraId="13F8285C" w14:textId="6E5B6567" w:rsidR="003953D6" w:rsidRPr="00346CBB" w:rsidRDefault="00DA60DA" w:rsidP="00346CBB">
      <w:r>
        <w:rPr>
          <w:noProof/>
        </w:rPr>
        <w:drawing>
          <wp:inline distT="0" distB="0" distL="0" distR="0" wp14:anchorId="00EB4D09" wp14:editId="24BD942D">
            <wp:extent cx="5210175" cy="2872740"/>
            <wp:effectExtent l="0" t="0" r="9525" b="3810"/>
            <wp:docPr id="71840498" name="Bilde 5" descr="Stolpe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40498" name="Bilde 5" descr="Stolpediagram"/>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0175" cy="2872740"/>
                    </a:xfrm>
                    <a:prstGeom prst="rect">
                      <a:avLst/>
                    </a:prstGeom>
                    <a:noFill/>
                    <a:ln>
                      <a:noFill/>
                    </a:ln>
                  </pic:spPr>
                </pic:pic>
              </a:graphicData>
            </a:graphic>
          </wp:inline>
        </w:drawing>
      </w:r>
    </w:p>
    <w:p w14:paraId="32311469" w14:textId="77777777" w:rsidR="003953D6" w:rsidRPr="00346CBB" w:rsidRDefault="003953D6" w:rsidP="00346CBB">
      <w:pPr>
        <w:pStyle w:val="figur-tittel"/>
      </w:pPr>
      <w:r w:rsidRPr="00346CBB">
        <w:t>Utvikling i samlet låneopptak til investeringer. Løpende priser og mill. kroner. Andel samlet låneopptak av totale inntekter i prosent. 2015–2024.</w:t>
      </w:r>
    </w:p>
    <w:p w14:paraId="1FE8C275" w14:textId="77777777" w:rsidR="003953D6" w:rsidRPr="00346CBB" w:rsidRDefault="003953D6" w:rsidP="00346CBB">
      <w:pPr>
        <w:pStyle w:val="Kilde"/>
      </w:pPr>
      <w:r w:rsidRPr="00346CBB">
        <w:t>Kilde: Helse- og omsorgsdepartementet.</w:t>
      </w:r>
    </w:p>
    <w:p w14:paraId="3F78D2D4" w14:textId="77777777" w:rsidR="003953D6" w:rsidRPr="00346CBB" w:rsidRDefault="003953D6" w:rsidP="00346CBB">
      <w:r w:rsidRPr="00346CBB">
        <w:t>Figur 5.2 viser utvikling i samlet låneopptak til investeringer i perioden 2015–2024 i løpende priser. Den grå linjen viser andel låneopptak av totale inntekter.</w:t>
      </w:r>
    </w:p>
    <w:p w14:paraId="193CDE11" w14:textId="41667186" w:rsidR="003953D6" w:rsidRPr="00346CBB" w:rsidRDefault="00DA60DA" w:rsidP="00346CBB">
      <w:r>
        <w:rPr>
          <w:noProof/>
        </w:rPr>
        <w:lastRenderedPageBreak/>
        <w:drawing>
          <wp:inline distT="0" distB="0" distL="0" distR="0" wp14:anchorId="288111C2" wp14:editId="2E89FF24">
            <wp:extent cx="5210175" cy="2872740"/>
            <wp:effectExtent l="0" t="0" r="9525" b="3810"/>
            <wp:docPr id="1933121539" name="Bilde 6" descr="Stolpe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121539" name="Bilde 6" descr="Stolpediagra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0175" cy="2872740"/>
                    </a:xfrm>
                    <a:prstGeom prst="rect">
                      <a:avLst/>
                    </a:prstGeom>
                    <a:noFill/>
                    <a:ln>
                      <a:noFill/>
                    </a:ln>
                  </pic:spPr>
                </pic:pic>
              </a:graphicData>
            </a:graphic>
          </wp:inline>
        </w:drawing>
      </w:r>
    </w:p>
    <w:p w14:paraId="4F1FFDDA" w14:textId="77777777" w:rsidR="003953D6" w:rsidRPr="00346CBB" w:rsidRDefault="003953D6" w:rsidP="00346CBB">
      <w:pPr>
        <w:pStyle w:val="figur-tittel"/>
      </w:pPr>
      <w:r w:rsidRPr="00346CBB">
        <w:t>Utvikling i renter og avdrag på nedbetalingslån 2015–2024. Løpende priser og mill. kroner.</w:t>
      </w:r>
    </w:p>
    <w:p w14:paraId="195A7F92" w14:textId="77777777" w:rsidR="003953D6" w:rsidRPr="00346CBB" w:rsidRDefault="003953D6" w:rsidP="00346CBB">
      <w:pPr>
        <w:pStyle w:val="Kilde"/>
      </w:pPr>
      <w:r w:rsidRPr="00346CBB">
        <w:t>Kilde: Helse- og omsorgsdepartementet.</w:t>
      </w:r>
    </w:p>
    <w:p w14:paraId="3FDCC2AE" w14:textId="77777777" w:rsidR="003953D6" w:rsidRPr="00346CBB" w:rsidRDefault="003953D6" w:rsidP="00346CBB">
      <w:pPr>
        <w:rPr>
          <w:rStyle w:val="kursiv"/>
        </w:rPr>
      </w:pPr>
      <w:r w:rsidRPr="00346CBB">
        <w:t>De regionale helseforetakene har fastrente på de fleste nedbetalingslånene. Gjennomsnittlig rente på nedbetalingslån er derfor lavere enn den flytende renten på 4,8 prosent i første halvår 2025. Det innebærer at økt rente på kort sikt i hovedsak får betydning for renten på byggelån, og for lån som vil bli konvertert i nærmeste framtid. I 2024 betalte de regionale helseforetakene 406 mill. kroner i renter på nedbetalingslån og påløpte byggelånsrenter for pågående prosjekter utgjorde 1 774 mill. kroner. Når det inngås nye fastrenteavtaler og tidligere avtaler utløper, må det forventes et høyere rentenivå.</w:t>
      </w:r>
    </w:p>
    <w:p w14:paraId="1325615C" w14:textId="77777777" w:rsidR="003953D6" w:rsidRPr="00346CBB" w:rsidRDefault="003953D6" w:rsidP="00346CBB">
      <w:r w:rsidRPr="00346CBB">
        <w:t>Byggelånsrentene legges til lånet. Økte byggelånsrenter som følge av økt rentenivå påvirker dermed framtidig bæreevne og muligheten til å sette i gang investeringsprosjekter framover. De regionale helseforetakene hensyntar dette i sine økonomiske langtidsplaner. Samtidig er det en sammenheng mellom rentenivå og inflasjon, og det vil være. utviklingen i realrenten som vil påvirke helseforetakenes bæreevne. Tidspunkt for når helseforetakene faktisk har tatt opp lån kan imidlertid innebære betydelige forskjeller i rentebelastning.</w:t>
      </w:r>
    </w:p>
    <w:p w14:paraId="1C14B93A" w14:textId="77777777" w:rsidR="003953D6" w:rsidRPr="00346CBB" w:rsidRDefault="003953D6" w:rsidP="00346CBB">
      <w:r w:rsidRPr="00346CBB">
        <w:t xml:space="preserve">Figur 5.4 viser utvikling i avskrivningskostnader (inngår i driftsresultatet og resultat) og investeringsutgifter (kontantutbetalinger vist i balanseregnskapet) i </w:t>
      </w:r>
      <w:r w:rsidRPr="00346CBB">
        <w:lastRenderedPageBreak/>
        <w:t>perioden 2002 til 2024. Figuren viser at investeringsutgiftene har vært høyere enn avskrivningskostnadene i perioden. Dette har vært mulig som følge positive driftsresultater over tid og tilførsel av likviditet gjennom låneopptak, jf. omtalen over.</w:t>
      </w:r>
    </w:p>
    <w:p w14:paraId="62129F64" w14:textId="128F504E" w:rsidR="003953D6" w:rsidRPr="00346CBB" w:rsidRDefault="00705B36" w:rsidP="00346CBB">
      <w:r>
        <w:rPr>
          <w:noProof/>
        </w:rPr>
        <w:drawing>
          <wp:inline distT="0" distB="0" distL="0" distR="0" wp14:anchorId="68F21D81" wp14:editId="06B3D9C9">
            <wp:extent cx="5210175" cy="2876550"/>
            <wp:effectExtent l="0" t="0" r="9525" b="0"/>
            <wp:docPr id="1985045613" name="Bilde 1" descr="Søyle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045613" name="Bilde 1" descr="Søylediagram"/>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2876550"/>
                    </a:xfrm>
                    <a:prstGeom prst="rect">
                      <a:avLst/>
                    </a:prstGeom>
                    <a:noFill/>
                    <a:ln>
                      <a:noFill/>
                    </a:ln>
                  </pic:spPr>
                </pic:pic>
              </a:graphicData>
            </a:graphic>
          </wp:inline>
        </w:drawing>
      </w:r>
    </w:p>
    <w:p w14:paraId="7F799771" w14:textId="77777777" w:rsidR="003953D6" w:rsidRPr="00346CBB" w:rsidRDefault="003953D6" w:rsidP="00346CBB">
      <w:pPr>
        <w:pStyle w:val="figur-tittel"/>
      </w:pPr>
      <w:r w:rsidRPr="00346CBB">
        <w:t>Utvikling i avskrivninger, investeringer og årsresultat i perioden 2002–2024. Løpende priser og mill. kroner.</w:t>
      </w:r>
    </w:p>
    <w:p w14:paraId="76B3BB44" w14:textId="77777777" w:rsidR="003953D6" w:rsidRPr="00346CBB" w:rsidRDefault="003953D6" w:rsidP="00346CBB">
      <w:pPr>
        <w:pStyle w:val="Kilde"/>
      </w:pPr>
      <w:r w:rsidRPr="00346CBB">
        <w:t>Kilde: Helse- og omsorgsdepartementet.</w:t>
      </w:r>
    </w:p>
    <w:p w14:paraId="68240B39" w14:textId="187E1614" w:rsidR="003953D6" w:rsidRPr="00346CBB" w:rsidRDefault="003953D6" w:rsidP="00346CBB">
      <w:r w:rsidRPr="00346CBB">
        <w:t xml:space="preserve">Helse- og omsorgsdepartementet justerer, på bakgrunn av Stortingets vedtak, de regionale helseforetakenes tilgjengelige driftskredittrammer i Norges Bank med differansen mellom pensjonskostnad og pensjonspremie. De regionale helseforetakenes trekk på tilgjengelig driftskredittrammer er rentebærende. I St.prp. nr. 1 (2008–2009) ble dagens bevilgningsmessige håndtering av pensjon etablert. Den innebærer at pensjonskostnaden legges til grunn for fastsettelsen av samlet basisbevilgning til de regionale helseforetakene. De likviditetsmessige effektene av at pensjonspremien avviker fra pensjonskostnaden, håndteres gjennom justeringer av driftskredittrammen. Dermed vil driftskredittrammen utvides dersom pensjonspremien er større enn pensjonskostnaden. De regionale helseforetakene vil få krav om å nedbetale driftskreditt dersom pensjonspremien er lavere enn pensjonskostnaden. Intensjonen med modellen er at svingninger i pensjonskostnader og pensjonspremie ikke skal påvirke den </w:t>
      </w:r>
      <w:r w:rsidRPr="00346CBB">
        <w:lastRenderedPageBreak/>
        <w:t>løpende driften i sykehusene eller helseforetakenes evne til å gjennomføre investeringer.</w:t>
      </w:r>
    </w:p>
    <w:p w14:paraId="49CF7CB9" w14:textId="77777777" w:rsidR="003953D6" w:rsidRPr="00346CBB" w:rsidRDefault="003953D6" w:rsidP="00346CBB">
      <w:r w:rsidRPr="00346CBB">
        <w:t>I de senere årene har pensjonspremiene vært vesentlig høyere enn pensjonskostnaden, i kombinasjon med økt rentenivå. I tråd med modellen er dette håndtert gjennom økt driftskredittramme og økt bruk av driftskreditt. I 2025 utgjør driftskredittrammen om lag 25 mrd. kroner etter revidert nasjonalbudsjett. Den økte driftskredittrammen i kombinasjon med et økt rentenivå til nærmere 5 prosent, gir de regionale helseforetakene betydelig økte rentekostnader. Rentekostnadene på benyttet driftskreditt utgjorde 821 mill. kroner i 2024 mot 177 mill. kroner året før, og kommer i tillegg til rentekostnader på nedbetalingslån.</w:t>
      </w:r>
    </w:p>
    <w:p w14:paraId="37F09814" w14:textId="77777777" w:rsidR="003953D6" w:rsidRPr="00346CBB" w:rsidRDefault="003953D6" w:rsidP="00346CBB">
      <w:pPr>
        <w:pStyle w:val="Overskrift1"/>
      </w:pPr>
      <w:r w:rsidRPr="00346CBB">
        <w:t>Vurdering av marginalkostnaden</w:t>
      </w:r>
    </w:p>
    <w:p w14:paraId="24070D10" w14:textId="77777777" w:rsidR="003953D6" w:rsidRPr="00346CBB" w:rsidRDefault="003953D6" w:rsidP="00346CBB">
      <w:pPr>
        <w:pStyle w:val="Overskrift2"/>
      </w:pPr>
      <w:r w:rsidRPr="00346CBB">
        <w:t>Innledning</w:t>
      </w:r>
    </w:p>
    <w:p w14:paraId="3D8CD177" w14:textId="77777777" w:rsidR="003953D6" w:rsidRPr="00346CBB" w:rsidRDefault="003953D6" w:rsidP="00346CBB">
      <w:r w:rsidRPr="00346CBB">
        <w:t>Definisjonen på marginalkostnad er «kostnadsendring ved en liten endring i aktivitet». I spesialisthelsetjenesten vil marginalkostnaden både kunne være forskjellig for ulike typer aktiviteter, for ulike deler av tjenesten og for ulike sykehus.</w:t>
      </w:r>
    </w:p>
    <w:p w14:paraId="5E4C93FA" w14:textId="77777777" w:rsidR="003953D6" w:rsidRPr="00346CBB" w:rsidRDefault="003953D6" w:rsidP="00346CBB">
      <w:r w:rsidRPr="00346CBB">
        <w:t>I denne sammenhengen skal marginalkostnad forstås som sektorens samlede merkostnad ved en liten endring i aktivitet over et stort antall tjenester og sykehus i hele landet. Denne marginalkostnaden vil dermed dekke et stort spekter av faktisk behov for ressurser ved endring i aktivitet fordelt over alle helseforetakene. Et anslag over marginalkostnaden er nødvendig for å gi anslag over realveksten i bevilgningene til spesialisthelsetjenesten utover vekst i demografidrevet behov (jf. kapittel 3). Et anslag på marginalkostnader er også nødvendig for å anslå ressursbehov knyttet til endringer i demografi (befolkningens størrelse og alderssammensetning) fra det ene året til det andre.</w:t>
      </w:r>
    </w:p>
    <w:p w14:paraId="3AD5BE2E" w14:textId="77777777" w:rsidR="003953D6" w:rsidRPr="00346CBB" w:rsidRDefault="003953D6" w:rsidP="00346CBB">
      <w:r w:rsidRPr="00346CBB">
        <w:t xml:space="preserve">I finansiering av spesialisthelsetjenesten i Norge ble det i perioden 2008 til 2024 lagt til grunn at en aktivitetsøkning kunne realiseres til en kostnad (i gjennomsnitt) lik 80 prosent av gjennomsnittskostnaden. I statsbudsjettet for 2025 ble det lagt til grunn en marginalkostnad lik gjennomsnittskostnaden, jf. Meld. St. 9 (2023–2024) </w:t>
      </w:r>
      <w:r w:rsidRPr="00346CBB">
        <w:rPr>
          <w:rStyle w:val="kursiv"/>
        </w:rPr>
        <w:t>Nasjonal helse og samhandlingsplan 2024–2027</w:t>
      </w:r>
      <w:r w:rsidRPr="00346CBB">
        <w:t>.</w:t>
      </w:r>
    </w:p>
    <w:p w14:paraId="34EDB4D1" w14:textId="77777777" w:rsidR="003953D6" w:rsidRPr="00346CBB" w:rsidRDefault="003953D6" w:rsidP="00346CBB">
      <w:r w:rsidRPr="00346CBB">
        <w:lastRenderedPageBreak/>
        <w:t>I kommunesektoren legges til grunn en marginalkostnad på 100 prosent for individrettede tjenester. Dette er tjenester som øker proporsjonalt med antall brukere når antall brukere øker. Tjenester som holdes utenfor er veier, kultur mv. og administrasjon.</w:t>
      </w:r>
    </w:p>
    <w:tbl>
      <w:tblPr>
        <w:tblStyle w:val="StandardBoks"/>
        <w:tblW w:w="5000" w:type="pct"/>
        <w:tblLook w:val="04A0" w:firstRow="1" w:lastRow="0" w:firstColumn="1" w:lastColumn="0" w:noHBand="0" w:noVBand="1"/>
      </w:tblPr>
      <w:tblGrid>
        <w:gridCol w:w="8220"/>
      </w:tblGrid>
      <w:tr w:rsidR="00A4769D" w:rsidRPr="00346CBB" w14:paraId="7AC5952F" w14:textId="77777777" w:rsidTr="00346CBB">
        <w:trPr>
          <w:trHeight w:val="60"/>
        </w:trPr>
        <w:tc>
          <w:tcPr>
            <w:tcW w:w="5000" w:type="pct"/>
          </w:tcPr>
          <w:p w14:paraId="1E3E820E" w14:textId="77777777" w:rsidR="003953D6" w:rsidRPr="00346CBB" w:rsidRDefault="003953D6" w:rsidP="00346CBB">
            <w:pPr>
              <w:pStyle w:val="tittel-ramme"/>
            </w:pPr>
            <w:r w:rsidRPr="00346CBB">
              <w:lastRenderedPageBreak/>
              <w:t>Marginalkostnad</w:t>
            </w:r>
          </w:p>
          <w:p w14:paraId="5F101B8A" w14:textId="77777777" w:rsidR="003953D6" w:rsidRPr="00346CBB" w:rsidRDefault="003953D6" w:rsidP="00346CBB">
            <w:r w:rsidRPr="00346CBB">
              <w:t>Et sentralt spørsmål i vurdering av inntektsutviklingen er hvordan kostnadene utvikler seg ved økt aktivitet (marginalkostnad) på kort, mellomlang og lang sikt. I de årlige budsjettene gis det et anslag på hvilken aktivitets- og bevilgningsvekst som er nødvendig for å holde tritt med den demografiske utviklingen.</w:t>
            </w:r>
          </w:p>
          <w:p w14:paraId="07FD6FC7" w14:textId="77777777" w:rsidR="003953D6" w:rsidRPr="00346CBB" w:rsidRDefault="003953D6" w:rsidP="00346CBB">
            <w:r w:rsidRPr="00346CBB">
              <w:t>I en rapport fra 2024 på oppdrag fra Helse- og omsorgsdepartementet har Oslo Economics beregnet marginalkostnaden i spesialisthelsetjenesten basert på analyser av data for perioden 2013 til 2019. Analysene viser under gitte forutsetninger at marginalkostnaden, i en situasjon uten mulighet for effektivisering av driften</w:t>
            </w:r>
            <w:r w:rsidRPr="00346CBB">
              <w:rPr>
                <w:rStyle w:val="Fotnotereferanse"/>
              </w:rPr>
              <w:footnoteReference w:id="13"/>
            </w:r>
            <w:r w:rsidRPr="00346CBB">
              <w:t>, utgjør mellom 90 og 95 prosent av gjennomsnittskostnaden og at budsjettering med en forutsetning om en marginalkostnad på 80 prosent da vil gi en for lav kompensasjon over tid. I rapporten heter det: «Under forutsetningen om at våre analyser gir et godt bilde av marginalkostnaden i spesialisthelsetjenesten, kan vi imidlertid med stor grad av sikkerhet si at en marginalkostnadssats på 80 prosent over tid vil lede til for lav kompensasjon.» Tilrådningen i rapporten fra Oslo Economics var å legge til grunn en marginalkostnad på 90 prosent av gjennomsnittskostnaden. Dette fanger både opp at marginalkostnaden ved effektiv drift er høyere enn 80 prosent og at helseforetakene antas å kunne finansiere deler av aktivitetsveksten gjennom effektivisering av driften.</w:t>
            </w:r>
          </w:p>
          <w:p w14:paraId="20B5D553" w14:textId="77777777" w:rsidR="003953D6" w:rsidRPr="00346CBB" w:rsidRDefault="003953D6" w:rsidP="00346CBB">
            <w:r w:rsidRPr="00346CBB">
              <w:t>Hvilke antakelser som gjøres om marginalkostnaden ved økt aktivitet, har konsekvenser for inntektsbehovet knyttet til demografiske endringer. Når det i statsbudsjettet for 2025 er lagt til grunn en marginalkostnad på 100 prosent, innebærer dette isolert sett en bevilgningsøkning på om lag 700 mill. kroner mer enn et tilsvarende budsjett basert på en forutsetning om 80 prosent marginalkostnad.</w:t>
            </w:r>
          </w:p>
        </w:tc>
      </w:tr>
    </w:tbl>
    <w:p w14:paraId="08F92995" w14:textId="77777777" w:rsidR="003953D6" w:rsidRPr="00346CBB" w:rsidRDefault="003953D6" w:rsidP="00346CBB"/>
    <w:p w14:paraId="59BCF632" w14:textId="77777777" w:rsidR="003953D6" w:rsidRPr="00346CBB" w:rsidRDefault="003953D6" w:rsidP="00346CBB">
      <w:pPr>
        <w:pStyle w:val="Overskrift2"/>
      </w:pPr>
      <w:r w:rsidRPr="00346CBB">
        <w:lastRenderedPageBreak/>
        <w:t>Kunnskapsgrunnlaget</w:t>
      </w:r>
    </w:p>
    <w:p w14:paraId="413DB76D" w14:textId="77777777" w:rsidR="003953D6" w:rsidRPr="00346CBB" w:rsidRDefault="003953D6" w:rsidP="00346CBB">
      <w:r w:rsidRPr="00346CBB">
        <w:t>Anslagene fra Oslo Economics viser marginalkostnad under forutsetning av at det ikke er ineffektivitet i tjenesten. Videre er resultatene basert på struktur, behandlingsteknologi og faktorpriser i perioden 2013–2019. Anslaget er for et «gjennomsnittlig foretak». Det betyr at det er estimert marginalkostnad for et foretak med gjennomsnittlige verdier på innsatsfaktorer og aktivitet (og ikke gjennomsnittet av marginalkostnaden over foretakene).</w:t>
      </w:r>
    </w:p>
    <w:p w14:paraId="77B2B393" w14:textId="77777777" w:rsidR="003953D6" w:rsidRPr="00346CBB" w:rsidRDefault="003953D6" w:rsidP="00346CBB">
      <w:r w:rsidRPr="00346CBB">
        <w:t>Anslaget kan ikke benyttes til å si noe om marginalkostnaden ved ett enkelt helseforetak eller ved en spesifisert økning i aktivitet innen ett område. «Aktivitet» er i analysene beskrevet gjennom henholdsvis sum DRG-poeng for medisinske pasienter, kirurgiske pasienter og dagbehandling/poliklinikk. Marginalkostnaden er da merkostnaden ved en proporsjonal endring i disse tre aggregerte aktivitetsformene etter å ha korrigert for eventuell ineffektivitet. Analysene er kun gjennomført for somatiske tjenester.</w:t>
      </w:r>
    </w:p>
    <w:p w14:paraId="1DA00C96" w14:textId="77777777" w:rsidR="003953D6" w:rsidRPr="00346CBB" w:rsidRDefault="003953D6" w:rsidP="00346CBB">
      <w:r w:rsidRPr="00346CBB">
        <w:t>I tillegg til at anslaget på marginalkostnader avhenger av hvordan man har operasjonalisert aktivitet og innsatsfaktorer, er resultatene følsomme for valg av statistisk metode. I analysene fra Oslo Economics er benyttet to metodiske tilnærminger: dataomhyllingsanalyse og stokastisk frontanalyse. Forskjellen mellom disse ligger dels på hvordan de håndterer statistisk usikkerhet, dels i hvor restriktive de er i forhold til den teknologien de skal estimere. Analysene begrenses også av at det er relativt få observasjoner fordi det er et lite antall helseforetak.</w:t>
      </w:r>
    </w:p>
    <w:p w14:paraId="200F8579" w14:textId="77777777" w:rsidR="003953D6" w:rsidRPr="00346CBB" w:rsidRDefault="003953D6" w:rsidP="00346CBB">
      <w:r w:rsidRPr="00346CBB">
        <w:t>Marginalkostnaden vil normalt være forskjellig på kort og lang sikt. Dette skyldes at på kort sikt vil både struktur og kapasiteten knyttet til bygninger og (dels) utstyr være gitt. Estimatene på lang sikt forutsetter at det både er mulig med strukturendringer og endring i kapitalbeholdningen. Det er i analysene fra Oslo Economics ikke store forskjeller på estimatene for marginalkostnad på kort sikt og lang sikt. Analysene indikerer at marginalkostnaden på kort sikt ligger 3 til 7 prosent under kostnaden på lang sikt.</w:t>
      </w:r>
    </w:p>
    <w:p w14:paraId="0E804887" w14:textId="77777777" w:rsidR="003953D6" w:rsidRPr="00346CBB" w:rsidRDefault="003953D6" w:rsidP="00346CBB">
      <w:r w:rsidRPr="00346CBB">
        <w:t>Finansieringen av spesialisthelsetjenesten skal dekke både kostnader til drift og investering. Det innebærer, etter utvalgets vurdering, at den relevante størrelsen både ved vurdering av realvekst og ressursbehov knyttet til demografiske endringer er estimatet for den langsiktige marginalkostnaden.</w:t>
      </w:r>
    </w:p>
    <w:p w14:paraId="6A6B2727" w14:textId="3821C293" w:rsidR="003953D6" w:rsidRPr="00346CBB" w:rsidRDefault="003953D6" w:rsidP="00346CBB">
      <w:r w:rsidRPr="00346CBB">
        <w:lastRenderedPageBreak/>
        <w:t>I den modellen som gir best forklaringskraft estimeres en marginalkostnad på lang sikt for gjennomsnittsforetaket på 91,7 prosent (89,3-94,8) ved bruk av dataomhyllingsanalyse og 93,2 prosent (87,1-99,3) ved hjelp av stokastisk frontanalyse. Analysene indikerer også at marginalkostnaden er økende.</w:t>
      </w:r>
    </w:p>
    <w:p w14:paraId="2BC9E148" w14:textId="77777777" w:rsidR="003953D6" w:rsidRPr="00346CBB" w:rsidRDefault="003953D6" w:rsidP="00346CBB">
      <w:pPr>
        <w:pStyle w:val="Overskrift2"/>
      </w:pPr>
      <w:r w:rsidRPr="00346CBB">
        <w:t>Marginalkostnad og effektivisering</w:t>
      </w:r>
    </w:p>
    <w:p w14:paraId="7AD44006" w14:textId="77777777" w:rsidR="003953D6" w:rsidRPr="00346CBB" w:rsidRDefault="003953D6" w:rsidP="00346CBB">
      <w:r w:rsidRPr="00346CBB">
        <w:t>Anslaget på marginalkostnad beskriver ressursbehovet for sektoren som helhet knyttet til en liten endring i aktivitet. Dersom det er et potensiale for effektivisering av driften kan det argumenteres for at det vil være mulig å øke aktiviteten gjennom å utnytte eksisterende ressurser bedre, og at den faktiske marginalkostnaden dermed er lik 0.</w:t>
      </w:r>
    </w:p>
    <w:p w14:paraId="3BA92136" w14:textId="77777777" w:rsidR="003953D6" w:rsidRPr="00346CBB" w:rsidRDefault="003953D6" w:rsidP="00346CBB">
      <w:r w:rsidRPr="00346CBB">
        <w:t xml:space="preserve">I analysene fra Oslo Economics er anslagene på marginalkostnad gjort langs en såkalt «beste-praksis» teknologi. Det innebærer at man har estimert forholdet mellom aktivitet og kostnader under forutsetning om at det ikke er et (målbart) </w:t>
      </w:r>
      <w:proofErr w:type="spellStart"/>
      <w:r w:rsidRPr="00346CBB">
        <w:t>effektiviseringspotensiale</w:t>
      </w:r>
      <w:proofErr w:type="spellEnd"/>
      <w:r w:rsidRPr="00346CBB">
        <w:t>. I analyser av effektivitet kan man skille mellom ineffektivitet som kan elimineres innen dagens organisatoriske, strukturelle og politiske rammebetingelser, og ineffektivitet som kommer som en følge av disse rammebetingelsene. For eksempel kan både størrelse, geografi og funksjonsfordeling ha konsekvenser for ressursbruk og dermed for effektivitet slik det måles i denne typen analyser.</w:t>
      </w:r>
    </w:p>
    <w:p w14:paraId="626BF858" w14:textId="77777777" w:rsidR="003953D6" w:rsidRPr="00346CBB" w:rsidRDefault="003953D6" w:rsidP="00346CBB">
      <w:r w:rsidRPr="00346CBB">
        <w:t xml:space="preserve">Marginalkostnaden henger tett sammen med størrelse. Ofte vil man anta at det i en virksomhet er stordriftsfordeler opp til en viss størrelse, for eksempel på grunn av virksomheten vil ha faste kostnader som er uavhengig av aktivitet. I dette tilfellet vil marginalkostnaden være lavere enn gjennomsnittskostnaden. Etter hvert kan det oppstå en situasjon med stordriftsulemper, for eksempel knyttet til at det kan være større kostnader knyttet til koordinering og organisering av driften i store enheter. Marginalkostnaden vil nå være høyere enn gjennomsnittskostnaden. Fra et rent driftsøkonomisk perspektiv vil derfor </w:t>
      </w:r>
      <w:proofErr w:type="gramStart"/>
      <w:r w:rsidRPr="00346CBB">
        <w:t>optimal</w:t>
      </w:r>
      <w:proofErr w:type="gramEnd"/>
      <w:r w:rsidRPr="00346CBB">
        <w:t xml:space="preserve"> størrelse være der hvor gjennomsnittskostnaden har sitt laveste nivå. I dette tilfellet vil gjennomsnittskostnaden være lik marginalkostnaden.</w:t>
      </w:r>
    </w:p>
    <w:p w14:paraId="63233F1A" w14:textId="77777777" w:rsidR="003953D6" w:rsidRPr="00346CBB" w:rsidRDefault="003953D6" w:rsidP="00346CBB">
      <w:r w:rsidRPr="00346CBB">
        <w:t xml:space="preserve">I sykehussektoren vil dette være en forenklet framstilling av virkeligheten. For det første utfører sykehusene flere typer aktivitet, både i form av at de dekker ulike funksjoner, og at de i tillegg til pasientbehandling driver forskning og utdanning. Optimal størrelse vil dermed ikke bare avhenge av samlet størrelse, </w:t>
      </w:r>
      <w:r w:rsidRPr="00346CBB">
        <w:lastRenderedPageBreak/>
        <w:t>men også av sammensetningen av aktiviteten. For det andre vil den faktiske sykehusstrukturen være basert på flere hensyn enn de rent driftsøkonomiske. Geografisk tilgjengelighet og forskjeller i behovet for beredskap vil ha betydning både for lokalisering, funksjonsfordeling og størrelse på sykehusene.</w:t>
      </w:r>
    </w:p>
    <w:p w14:paraId="5A38C14E" w14:textId="02325BEB" w:rsidR="003953D6" w:rsidRPr="00346CBB" w:rsidRDefault="003953D6" w:rsidP="00346CBB">
      <w:r w:rsidRPr="00346CBB">
        <w:t>I praksis vil derfor marginalkostnaden ved aktivitetsendring variere både mellom og innen sykehus. Siden aktivitetsnivået over tid øker, vil også marginalkostnaden kunne endres. Også endringer i sammensetningen av aktivitet vil kunne påvirke marginalkostnaden. Slike endringer kan komme som følge av endring i sykelighet og demografi, men også gjennom flytting av ansvaret for oppgaver mellom ulike nivå i helsetjenesten</w:t>
      </w:r>
      <w:r w:rsidRPr="00346CBB">
        <w:rPr>
          <w:rStyle w:val="Fotnotereferanse"/>
        </w:rPr>
        <w:footnoteReference w:id="14"/>
      </w:r>
      <w:r w:rsidRPr="00346CBB">
        <w:t>.</w:t>
      </w:r>
    </w:p>
    <w:p w14:paraId="4E5CA6A6" w14:textId="77777777" w:rsidR="003953D6" w:rsidRPr="00346CBB" w:rsidRDefault="003953D6" w:rsidP="00346CBB">
      <w:r w:rsidRPr="00346CBB">
        <w:t>Utvalget registrerer også at helseforetakene, på linje med andre statlige sektorer, siden 2015 har vært pålagt et generelt effektiviseringskrav (se boks 6.2). Dette vil påvirke helseforetakenes faktiske merinntekter, men vil være politiske beslutninger som fattes uavhengig av anslagene på marginalkostnad.</w:t>
      </w:r>
    </w:p>
    <w:tbl>
      <w:tblPr>
        <w:tblStyle w:val="StandardBoks"/>
        <w:tblW w:w="5000" w:type="pct"/>
        <w:tblLook w:val="04A0" w:firstRow="1" w:lastRow="0" w:firstColumn="1" w:lastColumn="0" w:noHBand="0" w:noVBand="1"/>
      </w:tblPr>
      <w:tblGrid>
        <w:gridCol w:w="8220"/>
      </w:tblGrid>
      <w:tr w:rsidR="00A4769D" w:rsidRPr="00346CBB" w14:paraId="7383AA8E" w14:textId="77777777" w:rsidTr="00346CBB">
        <w:trPr>
          <w:trHeight w:val="60"/>
        </w:trPr>
        <w:tc>
          <w:tcPr>
            <w:tcW w:w="5000" w:type="pct"/>
          </w:tcPr>
          <w:p w14:paraId="53721BED" w14:textId="77777777" w:rsidR="003953D6" w:rsidRPr="00346CBB" w:rsidRDefault="003953D6" w:rsidP="00346CBB">
            <w:pPr>
              <w:pStyle w:val="tittel-ramme"/>
            </w:pPr>
            <w:r w:rsidRPr="00346CBB">
              <w:lastRenderedPageBreak/>
              <w:t>Effektiviseringskrav</w:t>
            </w:r>
          </w:p>
          <w:p w14:paraId="5BA622F8" w14:textId="77777777" w:rsidR="003953D6" w:rsidRPr="00346CBB" w:rsidRDefault="003953D6" w:rsidP="00346CBB">
            <w:r w:rsidRPr="00346CBB">
              <w:t>Siden 2015 har de regionale helseforetakene årlig vært pålagt et generelt effektiviseringskrav i størrelsesorden 200–600 mill. kroner, jf. tabellen nedenfor. Effektiviseringskravet er hensyntatt i den årlige driftsbevilgningen i tabell 3.1. Under Regjeringen Solberg var dette del av det som ble omtalt som en avbyråkratiserings- og effektiviseringsreform (ABE), mens nåværende regjering omtaler det som et effektiviseringskrav. Det kan være ulike begrunnelser for effektiviseringskravene.</w:t>
            </w:r>
          </w:p>
          <w:p w14:paraId="0F987610" w14:textId="77777777" w:rsidR="003953D6" w:rsidRPr="00346CBB" w:rsidRDefault="003953D6" w:rsidP="00346CBB">
            <w:pPr>
              <w:pStyle w:val="tabell-tittel"/>
            </w:pPr>
            <w:r w:rsidRPr="00346CBB">
              <w:t>Tabell. Effektiviseringskrav til de regionale helseforetakene i årlige budsjettproposisjoner. 2015 til 2025. Mill. kroner i løpende priser.</w:t>
            </w:r>
          </w:p>
          <w:p w14:paraId="66F601DA" w14:textId="77777777" w:rsidR="003953D6" w:rsidRPr="00346CBB" w:rsidRDefault="003953D6" w:rsidP="00C9271A">
            <w:pPr>
              <w:jc w:val="right"/>
            </w:pPr>
          </w:p>
          <w:p w14:paraId="06B1F153" w14:textId="77777777" w:rsidR="003953D6" w:rsidRPr="00346CBB" w:rsidRDefault="003953D6" w:rsidP="00346CBB">
            <w:pPr>
              <w:pStyle w:val="Kilde"/>
            </w:pPr>
            <w:r w:rsidRPr="00346CBB">
              <w:t>Kilde: Helse- og omsorgsdepartementet.</w:t>
            </w:r>
          </w:p>
        </w:tc>
      </w:tr>
    </w:tbl>
    <w:p w14:paraId="1D330CA3" w14:textId="77777777" w:rsidR="003953D6" w:rsidRPr="00346CBB" w:rsidRDefault="003953D6" w:rsidP="00346CBB"/>
    <w:p w14:paraId="4A789737" w14:textId="77777777" w:rsidR="003953D6" w:rsidRPr="00346CBB" w:rsidRDefault="003953D6" w:rsidP="00346CBB">
      <w:pPr>
        <w:pStyle w:val="Overskrift2"/>
      </w:pPr>
      <w:r w:rsidRPr="00346CBB">
        <w:t>Utvalgets vurdering</w:t>
      </w:r>
    </w:p>
    <w:p w14:paraId="0F4DF632" w14:textId="77777777" w:rsidR="003953D6" w:rsidRPr="00346CBB" w:rsidRDefault="003953D6" w:rsidP="00346CBB">
      <w:r w:rsidRPr="00346CBB">
        <w:t>Anslagene over marginalkostnad vil ha betydning for vurdering av realveksten i spesialisthelsetjenesten. I utvalgets høstrapport i 2024 ble illustrert utviklingen av realvekst under ulike forutsetninger om hva den faktiske marginalkostnaden har vært i perioden 2013 til 2024.</w:t>
      </w:r>
    </w:p>
    <w:p w14:paraId="3CEA8E24" w14:textId="60FD0A08" w:rsidR="003953D6" w:rsidRPr="00346CBB" w:rsidRDefault="003953D6" w:rsidP="00346CBB">
      <w:r w:rsidRPr="00346CBB">
        <w:t xml:space="preserve">I perioden 2008 til 2024 har det vært lagt til grunn at en aktivitetsvekst kunne realiseres til en kostnad lik 80 prosent av gjennomsnittskostnaden. For 2025 gikk man bort fra denne forutsetningen og benytter en antakelse om at marginalkostnaden er lik gjennomsnittkostnaden. I Prop. 1 S (2024–2025) beskrives dette som «en </w:t>
      </w:r>
      <w:proofErr w:type="spellStart"/>
      <w:r w:rsidRPr="00346CBB">
        <w:t>gjeninnhenting</w:t>
      </w:r>
      <w:proofErr w:type="spellEnd"/>
      <w:r w:rsidRPr="00346CBB">
        <w:t xml:space="preserve"> etter flere år med beregnet 80 prosent marginalkostnad».</w:t>
      </w:r>
    </w:p>
    <w:p w14:paraId="0D5BDAD7" w14:textId="77777777" w:rsidR="003953D6" w:rsidRPr="00346CBB" w:rsidRDefault="003953D6" w:rsidP="00346CBB">
      <w:r w:rsidRPr="00346CBB">
        <w:t>Utvalget skal i henhold til sitt mandat «</w:t>
      </w:r>
      <w:proofErr w:type="gramStart"/>
      <w:r w:rsidRPr="00346CBB">
        <w:t>særlig…</w:t>
      </w:r>
      <w:proofErr w:type="gramEnd"/>
      <w:r w:rsidRPr="00346CBB">
        <w:t xml:space="preserve"> vurdere realveksten i bevilgningene (…) og merkostnadene som den demografiske utviklingen anslås å gi sektoren». Helsedirektoratet utarbeider i dag anslag over behovsvekst. Disse </w:t>
      </w:r>
      <w:r w:rsidRPr="00346CBB">
        <w:lastRenderedPageBreak/>
        <w:t>må så kombineres med anslag over kostnadene ved en aktivitetsøkning, med andre ord et anslag over marginalkostnaden.</w:t>
      </w:r>
    </w:p>
    <w:p w14:paraId="17E722D4" w14:textId="77777777" w:rsidR="003953D6" w:rsidRPr="00346CBB" w:rsidRDefault="003953D6" w:rsidP="00346CBB">
      <w:r w:rsidRPr="00346CBB">
        <w:t>Utvalget mener anslaget må baseres på beste tilgjengelige kunnskap, og at dette i dag er de analysene som ligger til grunn for rapporten fra Oslo Economics. Som redegjort for over gir rapporten flere estimat på marginalkostnaden og beskriver også usikkerheten knyttet til disse</w:t>
      </w:r>
    </w:p>
    <w:p w14:paraId="192FE5C0" w14:textId="77777777" w:rsidR="003953D6" w:rsidRPr="00346CBB" w:rsidRDefault="003953D6" w:rsidP="00346CBB">
      <w:r w:rsidRPr="00346CBB">
        <w:t>Utvalget velger å basere sitt anslag på estimatene fra de empiriske analysene i rapporten fra Oslo Economics. Rapporten presenterer estimater på kort sikt og lang sikt. Kort sikt innebærer at det ikke er mulig å endre kapitalbeholdningen. På kort sikt anslås marginalkostnaden å være noe lavere enn på lang sikt. Helseforetakenes inntekter skal dekke både drift og investering, og utvalget mener derfor det er estimatet for en langsiktig marginalkostnad som er det relevante. Som en pragmatisk tilnærming til bruk av resultatene fra rapporten velger utvalget å legge seg på et nivå som ligger mellom estimatene fra de to ulike metodiske tilnærmingene, det vil si 92,5 prosent. Til grunn for vurdering av realvekst i perioden 2015 til 2024, og ressursbehov knyttet til demografiske endringer for 2025 og 2026 vil derfor utvalget benytte et anslag for marginalkostnaden på 92,5 prosent.</w:t>
      </w:r>
    </w:p>
    <w:p w14:paraId="5D8DBC35" w14:textId="77777777" w:rsidR="003953D6" w:rsidRPr="00346CBB" w:rsidRDefault="003953D6" w:rsidP="00346CBB">
      <w:r w:rsidRPr="00346CBB">
        <w:t>Analysene som ligger til grunn for rapporten fra Oslo Economics baseres på et datagrunnlag fra årene 2013 til 2019. I TBU sine rapporter presenteres utviklingstall for siste 10 årsperiode.</w:t>
      </w:r>
    </w:p>
    <w:p w14:paraId="217A25B5" w14:textId="77777777" w:rsidR="003953D6" w:rsidRPr="00346CBB" w:rsidRDefault="003953D6" w:rsidP="00346CBB">
      <w:r w:rsidRPr="00346CBB">
        <w:t>Faktiske marginalkostnader kan endres som følge av endringer i struktur, oppgavefordeling, behandlingsformer og behov. Over tid vil også små årlige aktivitetsendringer akkumuleres og kunne påvirke marginalkostnaden. I analysene fra Oslo Economics observeres en svakt, men ikke signifikant, stigende trend. Utvalget mener det vil være nødvendig med jevnlige oppdateringer av anslagene marginalkostnaden i spesialisthelsetjenesten. Det er nå mulig å supplere grunnlaget for analysene til Oslo Economics med driftsårene 2020 til 2024. Siden perioden 2020 til 2022 var preget av pandemien, mener utvalget at det er hensiktsmessig å vente med å oppdatere analysene til det også foreligger data fra driftsåret 2025. Nye analyser vil dermed kunne innarbeides i TBU sin rapport høsten 2026.</w:t>
      </w:r>
    </w:p>
    <w:p w14:paraId="66054C2C" w14:textId="77777777" w:rsidR="003953D6" w:rsidRPr="00346CBB" w:rsidRDefault="003953D6" w:rsidP="00346CBB">
      <w:pPr>
        <w:pStyle w:val="UnOverskrift1"/>
      </w:pPr>
      <w:r w:rsidRPr="00346CBB">
        <w:lastRenderedPageBreak/>
        <w:t>Litteraturliste</w:t>
      </w:r>
    </w:p>
    <w:p w14:paraId="74480F65" w14:textId="77777777" w:rsidR="003953D6" w:rsidRPr="00346CBB" w:rsidRDefault="003953D6" w:rsidP="00346CBB">
      <w:pPr>
        <w:pStyle w:val="opplisting"/>
      </w:pPr>
      <w:r w:rsidRPr="00346CBB">
        <w:t xml:space="preserve">Meld. St. 3 (2024–2025) </w:t>
      </w:r>
      <w:proofErr w:type="spellStart"/>
      <w:r w:rsidRPr="00346CBB">
        <w:rPr>
          <w:rStyle w:val="kursiv"/>
        </w:rPr>
        <w:t>Statsrekneskapen</w:t>
      </w:r>
      <w:proofErr w:type="spellEnd"/>
      <w:r w:rsidRPr="00346CBB">
        <w:rPr>
          <w:rStyle w:val="kursiv"/>
        </w:rPr>
        <w:t xml:space="preserve"> 2024.</w:t>
      </w:r>
      <w:r w:rsidRPr="00346CBB">
        <w:t xml:space="preserve"> Årlige publikasjoner tilbake fra 2015</w:t>
      </w:r>
    </w:p>
    <w:p w14:paraId="0B83869D" w14:textId="77777777" w:rsidR="003953D6" w:rsidRPr="00346CBB" w:rsidRDefault="003953D6" w:rsidP="00346CBB">
      <w:pPr>
        <w:pStyle w:val="opplisting"/>
      </w:pPr>
      <w:r w:rsidRPr="00346CBB">
        <w:t xml:space="preserve">Meld. St. 9 (2023–2024) </w:t>
      </w:r>
      <w:r w:rsidRPr="00346CBB">
        <w:rPr>
          <w:rStyle w:val="kursiv"/>
        </w:rPr>
        <w:t>Nasjonal helse- og samhandlingsplan 2024–2027</w:t>
      </w:r>
    </w:p>
    <w:p w14:paraId="4FCFDE52" w14:textId="77777777" w:rsidR="003953D6" w:rsidRPr="00346CBB" w:rsidRDefault="003953D6" w:rsidP="00346CBB">
      <w:pPr>
        <w:pStyle w:val="opplisting"/>
      </w:pPr>
      <w:r w:rsidRPr="00346CBB">
        <w:t xml:space="preserve">NOU 2016: 25 </w:t>
      </w:r>
      <w:r w:rsidRPr="00346CBB">
        <w:rPr>
          <w:rStyle w:val="kursiv"/>
        </w:rPr>
        <w:t>Organisering og styring av spesialisthelsetjenesten – Hvordan bør statens eierskap innrettes framover?</w:t>
      </w:r>
    </w:p>
    <w:p w14:paraId="7490CCD9" w14:textId="77777777" w:rsidR="003953D6" w:rsidRPr="00346CBB" w:rsidRDefault="003953D6" w:rsidP="00346CBB">
      <w:pPr>
        <w:pStyle w:val="opplisting"/>
      </w:pPr>
      <w:r w:rsidRPr="00346CBB">
        <w:t xml:space="preserve">NOU 2019: 24 </w:t>
      </w:r>
      <w:r w:rsidRPr="00346CBB">
        <w:rPr>
          <w:rStyle w:val="kursiv"/>
        </w:rPr>
        <w:t>Inntektsfordeling mellom regionale helseforetak</w:t>
      </w:r>
    </w:p>
    <w:p w14:paraId="720F9199" w14:textId="77777777" w:rsidR="003953D6" w:rsidRPr="00346CBB" w:rsidRDefault="003953D6" w:rsidP="00346CBB">
      <w:pPr>
        <w:pStyle w:val="opplisting"/>
        <w:rPr>
          <w:rStyle w:val="kursiv"/>
        </w:rPr>
      </w:pPr>
      <w:r w:rsidRPr="00346CBB">
        <w:t xml:space="preserve">NOU 2023: 8 </w:t>
      </w:r>
      <w:r w:rsidRPr="00346CBB">
        <w:rPr>
          <w:rStyle w:val="kursiv"/>
        </w:rPr>
        <w:t>Fellesskapets sykehus – Styring, finansiering, samhandling og ledelse</w:t>
      </w:r>
    </w:p>
    <w:p w14:paraId="5A5182A8" w14:textId="77777777" w:rsidR="003953D6" w:rsidRPr="00346CBB" w:rsidRDefault="003953D6" w:rsidP="00346CBB">
      <w:pPr>
        <w:pStyle w:val="opplisting"/>
        <w:rPr>
          <w:rStyle w:val="kursiv"/>
        </w:rPr>
      </w:pPr>
      <w:r w:rsidRPr="00346CBB">
        <w:t xml:space="preserve">NOU 2024: 6 </w:t>
      </w:r>
      <w:r w:rsidRPr="00346CBB">
        <w:rPr>
          <w:rStyle w:val="kursiv"/>
        </w:rPr>
        <w:t>Grunnlaget for inntektsoppgjørene 2024</w:t>
      </w:r>
    </w:p>
    <w:p w14:paraId="040E4C6A" w14:textId="77777777" w:rsidR="003953D6" w:rsidRPr="00346CBB" w:rsidRDefault="003953D6" w:rsidP="00346CBB">
      <w:pPr>
        <w:pStyle w:val="opplisting"/>
        <w:rPr>
          <w:rStyle w:val="kursiv"/>
        </w:rPr>
      </w:pPr>
      <w:r w:rsidRPr="00346CBB">
        <w:t xml:space="preserve">NOU 2024: 23 </w:t>
      </w:r>
      <w:r w:rsidRPr="00346CBB">
        <w:rPr>
          <w:rStyle w:val="kursiv"/>
        </w:rPr>
        <w:t>Teknisk beregningsutvalg for kommunal og fylkeskommunal økonomi</w:t>
      </w:r>
    </w:p>
    <w:p w14:paraId="339628C5" w14:textId="77777777" w:rsidR="003953D6" w:rsidRPr="00346CBB" w:rsidRDefault="003953D6" w:rsidP="00346CBB">
      <w:pPr>
        <w:pStyle w:val="opplisting"/>
        <w:rPr>
          <w:rStyle w:val="kursiv"/>
        </w:rPr>
      </w:pPr>
      <w:r w:rsidRPr="00346CBB">
        <w:t xml:space="preserve">NOU 2025: 4 </w:t>
      </w:r>
      <w:r w:rsidRPr="00346CBB">
        <w:rPr>
          <w:rStyle w:val="kursiv"/>
        </w:rPr>
        <w:t>Grunnlaget for inntektsoppgjørene 2025</w:t>
      </w:r>
    </w:p>
    <w:p w14:paraId="22A6D221" w14:textId="77777777" w:rsidR="003953D6" w:rsidRPr="00346CBB" w:rsidRDefault="003953D6" w:rsidP="00346CBB">
      <w:pPr>
        <w:pStyle w:val="opplisting"/>
      </w:pPr>
      <w:r w:rsidRPr="00346CBB">
        <w:t>Oslo Economics (2024). Marginalkostnader i spesialisthelsetjenesten. Rapport</w:t>
      </w:r>
    </w:p>
    <w:p w14:paraId="74D7F72E" w14:textId="77777777" w:rsidR="003953D6" w:rsidRPr="00346CBB" w:rsidRDefault="003953D6" w:rsidP="00346CBB">
      <w:pPr>
        <w:pStyle w:val="opplisting"/>
      </w:pPr>
      <w:r w:rsidRPr="00346CBB">
        <w:t xml:space="preserve">Prop. 1 S (2024–2025) </w:t>
      </w:r>
      <w:r w:rsidRPr="00346CBB">
        <w:rPr>
          <w:rStyle w:val="kursiv"/>
        </w:rPr>
        <w:t>Statsbudsjettet for 2025 (Gul bok).</w:t>
      </w:r>
      <w:r w:rsidRPr="00346CBB">
        <w:t xml:space="preserve"> Finansdepartementet. Årlige publikasjoner tilbake fra 2015</w:t>
      </w:r>
    </w:p>
    <w:p w14:paraId="1C328C96" w14:textId="77777777" w:rsidR="003953D6" w:rsidRPr="00346CBB" w:rsidRDefault="003953D6" w:rsidP="00346CBB">
      <w:pPr>
        <w:pStyle w:val="opplisting"/>
      </w:pPr>
      <w:r w:rsidRPr="00346CBB">
        <w:t xml:space="preserve">Prop. 1 S (2024–2025) </w:t>
      </w:r>
      <w:r w:rsidRPr="00346CBB">
        <w:rPr>
          <w:rStyle w:val="kursiv"/>
        </w:rPr>
        <w:t>Helse- og omsorgsdepartementets forslag til budsjett for 2025.</w:t>
      </w:r>
      <w:r w:rsidRPr="00346CBB">
        <w:t xml:space="preserve"> Helse- og omsorgsdepartementet. Årlige publikasjoner tilbake fra 2015</w:t>
      </w:r>
    </w:p>
    <w:p w14:paraId="5A48071F" w14:textId="77777777" w:rsidR="003953D6" w:rsidRPr="00346CBB" w:rsidRDefault="003953D6" w:rsidP="00346CBB">
      <w:pPr>
        <w:pStyle w:val="opplisting"/>
      </w:pPr>
      <w:r w:rsidRPr="00346CBB">
        <w:t>Statsbudsjettet 2025 (Blå bok). Stortinget. Årlige publikasjoner tilbake fra 2015</w:t>
      </w:r>
    </w:p>
    <w:p w14:paraId="184605AF" w14:textId="77777777" w:rsidR="003953D6" w:rsidRPr="00346CBB" w:rsidRDefault="003953D6" w:rsidP="00346CBB">
      <w:pPr>
        <w:pStyle w:val="opplisting"/>
      </w:pPr>
      <w:r w:rsidRPr="00346CBB">
        <w:t xml:space="preserve">Prop. 146 S (2024–2025) </w:t>
      </w:r>
      <w:r w:rsidRPr="00346CBB">
        <w:rPr>
          <w:rStyle w:val="kursiv"/>
        </w:rPr>
        <w:t>Tilleggsbevilgninger og omprioriteringer i statsbudsjettet 2025</w:t>
      </w:r>
    </w:p>
    <w:p w14:paraId="5154C0BF" w14:textId="77777777" w:rsidR="003953D6" w:rsidRPr="00346CBB" w:rsidRDefault="003953D6" w:rsidP="00346CBB">
      <w:pPr>
        <w:pStyle w:val="opplisting"/>
      </w:pPr>
      <w:r w:rsidRPr="00346CBB">
        <w:t>Rapport med notater fra Teknisk beregningsutvalg for kommunal og fylkeskommunal økonomi. Mars 2025. Kommunal- og distriktsdepartementet</w:t>
      </w:r>
    </w:p>
    <w:p w14:paraId="3B7345BD" w14:textId="77777777" w:rsidR="003953D6" w:rsidRPr="00346CBB" w:rsidRDefault="003953D6" w:rsidP="00346CBB">
      <w:pPr>
        <w:pStyle w:val="UnOverskrift1"/>
        <w:rPr>
          <w:rStyle w:val="halvfet"/>
        </w:rPr>
      </w:pPr>
      <w:r w:rsidRPr="00346CBB">
        <w:rPr>
          <w:rStyle w:val="halvfet"/>
        </w:rPr>
        <w:t xml:space="preserve">Vedlegg 1 </w:t>
      </w:r>
      <w:r w:rsidRPr="00346CBB">
        <w:br/>
      </w:r>
      <w:proofErr w:type="spellStart"/>
      <w:r w:rsidRPr="00346CBB">
        <w:t>Deflator</w:t>
      </w:r>
      <w:proofErr w:type="spellEnd"/>
      <w:r w:rsidRPr="00346CBB">
        <w:t xml:space="preserve"> for regionale helseforetak</w:t>
      </w:r>
    </w:p>
    <w:p w14:paraId="50474225" w14:textId="77777777" w:rsidR="003953D6" w:rsidRPr="00346CBB" w:rsidRDefault="003953D6" w:rsidP="00346CBB">
      <w:r w:rsidRPr="00346CBB">
        <w:t xml:space="preserve">Staten har ansvar for å finansiere spesialisthelsetjenesten. Stortinget vedtar de årlige bevilgningene. Tildelingen av budsjettbevilgningene, og fastsettelse av vilkår knyttet til denne, skjer i hovedsak gjennom de årlige oppdragsdokumentene fra Helse- og omsorgsdepartementet til de regionale helseforetakene (den helsepolitiske bestillingen). Bevilgningene som stilles til disposisjon er nominelle beløp. For å komme fram til hvor mye budsjettet reelt sett er styrket med for blant annet å kunne dekke opp for den demografiske utviklingen (realinntektsveksten), må økte bevilgninger til å dekke anslått pris- og lønnsvekst trekkes fra </w:t>
      </w:r>
      <w:r w:rsidRPr="00346CBB">
        <w:lastRenderedPageBreak/>
        <w:t>den nominelle økningen i budsjettet. Kompensasjon for anslått pris- og lønnsvekst i bevilgningene til drift i de regionale helseforetakene for 2025, dvs. kap. 732, postene 70 til 80, utgjør om lag 7,4 mrd. kroner i budsjettforslaget for 2025.</w:t>
      </w:r>
    </w:p>
    <w:p w14:paraId="58C16127" w14:textId="77777777" w:rsidR="003953D6" w:rsidRPr="00346CBB" w:rsidRDefault="003953D6" w:rsidP="00346CBB">
      <w:r w:rsidRPr="00346CBB">
        <w:t xml:space="preserve">Realinntektsveksten vil endre seg dersom pris- og lønnsvekst i etterkant viser seg å avvike fra det man opprinnelig har lagt til grunn. En oppdatert versjon av </w:t>
      </w:r>
      <w:proofErr w:type="spellStart"/>
      <w:r w:rsidRPr="00346CBB">
        <w:t>deflatoren</w:t>
      </w:r>
      <w:proofErr w:type="spellEnd"/>
      <w:r w:rsidRPr="00346CBB">
        <w:t xml:space="preserve"> for spesialisthelsetjenesten kan da brukes til å sammenligne en </w:t>
      </w:r>
      <w:proofErr w:type="spellStart"/>
      <w:r w:rsidRPr="00346CBB">
        <w:t>etterberegnet</w:t>
      </w:r>
      <w:proofErr w:type="spellEnd"/>
      <w:r w:rsidRPr="00346CBB">
        <w:t xml:space="preserve"> realinntektsvekst opp mot veksten som var lagt til grunn for bevilgningene i statsbudsjettet.</w:t>
      </w:r>
    </w:p>
    <w:p w14:paraId="0DB8FB99" w14:textId="77777777" w:rsidR="003953D6" w:rsidRPr="00346CBB" w:rsidRDefault="003953D6" w:rsidP="00346CBB">
      <w:r w:rsidRPr="00346CBB">
        <w:t xml:space="preserve">SSB publiserer ikke egne prisindekser for offentlig forvaltning, verken for de regionale helseforetakene, for kommunesektoren eller for andre virksomheter innen offentlig sektor. Finansdepartementet lager derfor anslag og beregninger på de ulike </w:t>
      </w:r>
      <w:proofErr w:type="spellStart"/>
      <w:r w:rsidRPr="00346CBB">
        <w:t>deflatorene</w:t>
      </w:r>
      <w:proofErr w:type="spellEnd"/>
      <w:r w:rsidRPr="00346CBB">
        <w:t xml:space="preserve"> basert på SSB sine publiseringer av regnskapsstatistikk og et sett av prisindekser på ulike varegrupper. Nedenfor er metoden for beregning av historiske tall, omtalt som faktisk </w:t>
      </w:r>
      <w:proofErr w:type="spellStart"/>
      <w:r w:rsidRPr="00346CBB">
        <w:t>deflator</w:t>
      </w:r>
      <w:proofErr w:type="spellEnd"/>
      <w:r w:rsidRPr="00346CBB">
        <w:t xml:space="preserve">, og anslag for </w:t>
      </w:r>
      <w:proofErr w:type="spellStart"/>
      <w:r w:rsidRPr="00346CBB">
        <w:t>deflatoren</w:t>
      </w:r>
      <w:proofErr w:type="spellEnd"/>
      <w:r w:rsidRPr="00346CBB">
        <w:t xml:space="preserve"> for spesialisthelsetjenesten omtalt nærmere.</w:t>
      </w:r>
    </w:p>
    <w:p w14:paraId="0C98DBAD" w14:textId="77777777" w:rsidR="003953D6" w:rsidRPr="00346CBB" w:rsidRDefault="003953D6" w:rsidP="00346CBB">
      <w:pPr>
        <w:pStyle w:val="UnOverskrift2"/>
      </w:pPr>
      <w:r w:rsidRPr="00346CBB">
        <w:t xml:space="preserve">Finansdepartementets </w:t>
      </w:r>
      <w:proofErr w:type="spellStart"/>
      <w:r w:rsidRPr="00346CBB">
        <w:t>deflator</w:t>
      </w:r>
      <w:proofErr w:type="spellEnd"/>
      <w:r w:rsidRPr="00346CBB">
        <w:t xml:space="preserve"> for spesialisthelsetjenesten</w:t>
      </w:r>
    </w:p>
    <w:p w14:paraId="5F302D13" w14:textId="77777777" w:rsidR="003953D6" w:rsidRPr="00346CBB" w:rsidRDefault="003953D6" w:rsidP="00346CBB">
      <w:r w:rsidRPr="00346CBB">
        <w:t xml:space="preserve">Finansdepartementet beregner og anslår en rekke </w:t>
      </w:r>
      <w:proofErr w:type="spellStart"/>
      <w:r w:rsidRPr="00346CBB">
        <w:t>deflatorer</w:t>
      </w:r>
      <w:proofErr w:type="spellEnd"/>
      <w:r w:rsidRPr="00346CBB">
        <w:t xml:space="preserve"> som benyttes til å beregne realveksten i statsbudsjettets størrelser. I beregningene av </w:t>
      </w:r>
      <w:proofErr w:type="spellStart"/>
      <w:r w:rsidRPr="00346CBB">
        <w:t>deflatorene</w:t>
      </w:r>
      <w:proofErr w:type="spellEnd"/>
      <w:r w:rsidRPr="00346CBB">
        <w:t xml:space="preserve"> legger departementet følgende til grunn:</w:t>
      </w:r>
    </w:p>
    <w:p w14:paraId="563E18B4" w14:textId="77777777" w:rsidR="003953D6" w:rsidRPr="00346CBB" w:rsidRDefault="003953D6" w:rsidP="00346CBB">
      <w:pPr>
        <w:pStyle w:val="Liste"/>
      </w:pPr>
      <w:r w:rsidRPr="00346CBB">
        <w:rPr>
          <w:rStyle w:val="kursiv"/>
        </w:rPr>
        <w:t>Relevans:</w:t>
      </w:r>
      <w:r w:rsidRPr="00346CBB">
        <w:t xml:space="preserve"> </w:t>
      </w:r>
      <w:proofErr w:type="spellStart"/>
      <w:r w:rsidRPr="00346CBB">
        <w:t>Deflatoren</w:t>
      </w:r>
      <w:proofErr w:type="spellEnd"/>
      <w:r w:rsidRPr="00346CBB">
        <w:t xml:space="preserve"> bør være et rimelig og godt mål på kostnadsveksten i den sektoren </w:t>
      </w:r>
      <w:proofErr w:type="spellStart"/>
      <w:r w:rsidRPr="00346CBB">
        <w:t>deflatoren</w:t>
      </w:r>
      <w:proofErr w:type="spellEnd"/>
      <w:r w:rsidRPr="00346CBB">
        <w:t xml:space="preserve"> skal brukes på.</w:t>
      </w:r>
    </w:p>
    <w:p w14:paraId="27469353" w14:textId="77777777" w:rsidR="003953D6" w:rsidRPr="00346CBB" w:rsidRDefault="003953D6" w:rsidP="00346CBB">
      <w:pPr>
        <w:pStyle w:val="Liste"/>
      </w:pPr>
      <w:r w:rsidRPr="00346CBB">
        <w:rPr>
          <w:rStyle w:val="kursiv"/>
        </w:rPr>
        <w:t>Enkelhet:</w:t>
      </w:r>
      <w:r w:rsidRPr="00346CBB">
        <w:t xml:space="preserve"> Metodene som brukes for å beregne </w:t>
      </w:r>
      <w:proofErr w:type="spellStart"/>
      <w:r w:rsidRPr="00346CBB">
        <w:t>deflatorene</w:t>
      </w:r>
      <w:proofErr w:type="spellEnd"/>
      <w:r w:rsidRPr="00346CBB">
        <w:t xml:space="preserve"> bør være mest mulig enkle. Det må være forståelig hvordan departementet har kommet fram til </w:t>
      </w:r>
      <w:proofErr w:type="spellStart"/>
      <w:r w:rsidRPr="00346CBB">
        <w:t>deflatorene</w:t>
      </w:r>
      <w:proofErr w:type="spellEnd"/>
      <w:r w:rsidRPr="00346CBB">
        <w:t>.</w:t>
      </w:r>
    </w:p>
    <w:p w14:paraId="598E9A23" w14:textId="77777777" w:rsidR="003953D6" w:rsidRPr="00346CBB" w:rsidRDefault="003953D6" w:rsidP="00346CBB">
      <w:pPr>
        <w:pStyle w:val="Liste"/>
      </w:pPr>
      <w:r w:rsidRPr="00346CBB">
        <w:rPr>
          <w:rStyle w:val="kursiv"/>
        </w:rPr>
        <w:t>Robusthet:</w:t>
      </w:r>
      <w:r w:rsidRPr="00346CBB">
        <w:t xml:space="preserve"> Metodene bør være mest mulig </w:t>
      </w:r>
      <w:proofErr w:type="gramStart"/>
      <w:r w:rsidRPr="00346CBB">
        <w:t>robust</w:t>
      </w:r>
      <w:proofErr w:type="gramEnd"/>
      <w:r w:rsidRPr="00346CBB">
        <w:t xml:space="preserve"> i valg av kostnadselementer og hvordan disse tallfestes. Dette fordi det er ønskelig at </w:t>
      </w:r>
      <w:proofErr w:type="spellStart"/>
      <w:r w:rsidRPr="00346CBB">
        <w:t>deflatorene</w:t>
      </w:r>
      <w:proofErr w:type="spellEnd"/>
      <w:r w:rsidRPr="00346CBB">
        <w:t xml:space="preserve"> ikke revideres betydelig fordi tallgrunnlaget endrer seg. Det innebærer blant annet at beregningene er basert på offisiell statistikk for regnskapstall og prisindekser.</w:t>
      </w:r>
    </w:p>
    <w:p w14:paraId="4EBC1964" w14:textId="77777777" w:rsidR="003953D6" w:rsidRPr="00346CBB" w:rsidRDefault="003953D6" w:rsidP="00346CBB">
      <w:pPr>
        <w:pStyle w:val="Liste"/>
      </w:pPr>
      <w:r w:rsidRPr="00346CBB">
        <w:rPr>
          <w:rStyle w:val="kursiv"/>
        </w:rPr>
        <w:t>Transparens:</w:t>
      </w:r>
      <w:r w:rsidRPr="00346CBB">
        <w:t xml:space="preserve"> Metodene bør være gjennomsiktige og etterprøvbare. Tallfestingen bør derfor være basert på offentlig statistikk.</w:t>
      </w:r>
    </w:p>
    <w:p w14:paraId="2126E1A7" w14:textId="6676AF92" w:rsidR="003953D6" w:rsidRPr="00346CBB" w:rsidRDefault="003953D6" w:rsidP="00346CBB">
      <w:r w:rsidRPr="00346CBB">
        <w:lastRenderedPageBreak/>
        <w:t xml:space="preserve">Metodekravene må avveies mot hverandre. Hensynet til relevans trekker isolert sett i retning av mer kompliserte metoder og høy detaljeringsgrad. Enkelhet og transparens trekker i motsatt retning. En eventuell gevinst ved økt detaljering og kompleksitet for å gi høyere relevans må derfor vurderes opp mot kostnadene ved et mer komplisert system. Hvis det er lite trolig at en endring bidrar til vesentlig endret </w:t>
      </w:r>
      <w:proofErr w:type="spellStart"/>
      <w:r w:rsidRPr="00346CBB">
        <w:t>deflator</w:t>
      </w:r>
      <w:proofErr w:type="spellEnd"/>
      <w:r w:rsidRPr="00346CBB">
        <w:t>, bør en unngå økt kompleksitet.</w:t>
      </w:r>
    </w:p>
    <w:p w14:paraId="6BAB92B7" w14:textId="77777777" w:rsidR="003953D6" w:rsidRPr="00346CBB" w:rsidRDefault="003953D6" w:rsidP="00346CBB">
      <w:r w:rsidRPr="00346CBB">
        <w:t xml:space="preserve">Det kan skilles mellom beregninger av den faktiske </w:t>
      </w:r>
      <w:proofErr w:type="spellStart"/>
      <w:r w:rsidRPr="00346CBB">
        <w:t>deflatoren</w:t>
      </w:r>
      <w:proofErr w:type="spellEnd"/>
      <w:r w:rsidRPr="00346CBB">
        <w:t xml:space="preserve"> for tidligere år og anslag på </w:t>
      </w:r>
      <w:proofErr w:type="spellStart"/>
      <w:r w:rsidRPr="00346CBB">
        <w:t>deflatoren</w:t>
      </w:r>
      <w:proofErr w:type="spellEnd"/>
      <w:r w:rsidRPr="00346CBB">
        <w:t xml:space="preserve"> for inneværende år og kommende budsjettår. Beregningene av den faktiske </w:t>
      </w:r>
      <w:proofErr w:type="spellStart"/>
      <w:r w:rsidRPr="00346CBB">
        <w:t>deflatoren</w:t>
      </w:r>
      <w:proofErr w:type="spellEnd"/>
      <w:r w:rsidRPr="00346CBB">
        <w:t xml:space="preserve"> er basert på publisert lønnsvekst og for prisvekst på kjøp av varer og tjenester (produktinnsats og investeringer), et sett av </w:t>
      </w:r>
      <w:proofErr w:type="spellStart"/>
      <w:r w:rsidRPr="00346CBB">
        <w:t>utgiftsvekter</w:t>
      </w:r>
      <w:proofErr w:type="spellEnd"/>
      <w:r w:rsidRPr="00346CBB">
        <w:t xml:space="preserve"> for ulike varegrupper koblet sammen med ulike prisindekser publisert av SSB.</w:t>
      </w:r>
    </w:p>
    <w:p w14:paraId="30286886" w14:textId="77777777" w:rsidR="003953D6" w:rsidRPr="00346CBB" w:rsidRDefault="003953D6" w:rsidP="00346CBB">
      <w:r w:rsidRPr="00346CBB">
        <w:t xml:space="preserve">Finansdepartementet har i år lagt om metoden for beregning av </w:t>
      </w:r>
      <w:proofErr w:type="spellStart"/>
      <w:r w:rsidRPr="00346CBB">
        <w:t>deflatoren</w:t>
      </w:r>
      <w:proofErr w:type="spellEnd"/>
      <w:r w:rsidRPr="00346CBB">
        <w:t xml:space="preserve"> for å øke </w:t>
      </w:r>
      <w:proofErr w:type="spellStart"/>
      <w:r w:rsidRPr="00346CBB">
        <w:t>deflatorens</w:t>
      </w:r>
      <w:proofErr w:type="spellEnd"/>
      <w:r w:rsidRPr="00346CBB">
        <w:t xml:space="preserve"> relevans. Se notat fra Finansdepartementet til utvalget i vedlegg 5 for gjennomgang av endringene som er gjort.</w:t>
      </w:r>
    </w:p>
    <w:p w14:paraId="193EA1D7" w14:textId="77777777" w:rsidR="003953D6" w:rsidRPr="00346CBB" w:rsidRDefault="003953D6" w:rsidP="00346CBB">
      <w:r w:rsidRPr="00346CBB">
        <w:t xml:space="preserve">Tabell 1 viser for hvilke år </w:t>
      </w:r>
      <w:proofErr w:type="spellStart"/>
      <w:r w:rsidRPr="00346CBB">
        <w:t>deflatoren</w:t>
      </w:r>
      <w:proofErr w:type="spellEnd"/>
      <w:r w:rsidRPr="00346CBB">
        <w:t xml:space="preserve"> er basert på statistikk (faktisk) og hvilke år den er basert på anslag i utvalgets årlige rapporter. I </w:t>
      </w:r>
      <w:proofErr w:type="spellStart"/>
      <w:r w:rsidRPr="00346CBB">
        <w:t>juninotatet</w:t>
      </w:r>
      <w:proofErr w:type="spellEnd"/>
      <w:r w:rsidRPr="00346CBB">
        <w:t xml:space="preserve"> for år T vil </w:t>
      </w:r>
      <w:proofErr w:type="spellStart"/>
      <w:r w:rsidRPr="00346CBB">
        <w:t>deflatoren</w:t>
      </w:r>
      <w:proofErr w:type="spellEnd"/>
      <w:r w:rsidRPr="00346CBB">
        <w:t xml:space="preserve"> for foregående år (T-1) være faktisk, mens </w:t>
      </w:r>
      <w:proofErr w:type="spellStart"/>
      <w:r w:rsidRPr="00346CBB">
        <w:t>deflatoren</w:t>
      </w:r>
      <w:proofErr w:type="spellEnd"/>
      <w:r w:rsidRPr="00346CBB">
        <w:t xml:space="preserve"> for inneværende år (T) er basert på Finansdepartementets anslag i revidert nasjonalbudsjett.</w:t>
      </w:r>
    </w:p>
    <w:p w14:paraId="12D381AF" w14:textId="77777777" w:rsidR="003953D6" w:rsidRPr="00346CBB" w:rsidRDefault="003953D6" w:rsidP="00346CBB">
      <w:r w:rsidRPr="00346CBB">
        <w:t xml:space="preserve">Til </w:t>
      </w:r>
      <w:proofErr w:type="spellStart"/>
      <w:r w:rsidRPr="00346CBB">
        <w:t>novemberrapporten</w:t>
      </w:r>
      <w:proofErr w:type="spellEnd"/>
      <w:r w:rsidRPr="00346CBB">
        <w:t xml:space="preserve"> for år T vil </w:t>
      </w:r>
      <w:proofErr w:type="spellStart"/>
      <w:r w:rsidRPr="00346CBB">
        <w:t>deflatoren</w:t>
      </w:r>
      <w:proofErr w:type="spellEnd"/>
      <w:r w:rsidRPr="00346CBB">
        <w:t xml:space="preserve"> for inneværende år være basert på et oppdatert anslag. I tillegg vil det foreligge et anslag på </w:t>
      </w:r>
      <w:proofErr w:type="spellStart"/>
      <w:r w:rsidRPr="00346CBB">
        <w:t>deflatoren</w:t>
      </w:r>
      <w:proofErr w:type="spellEnd"/>
      <w:r w:rsidRPr="00346CBB">
        <w:t xml:space="preserve"> for neste år (T+1). Disse hentes fra forslaget til statsbudsjett for kommende år.</w:t>
      </w:r>
    </w:p>
    <w:p w14:paraId="5722E27A" w14:textId="77777777" w:rsidR="003953D6" w:rsidRPr="00346CBB" w:rsidRDefault="003953D6" w:rsidP="00346CBB">
      <w:pPr>
        <w:pStyle w:val="avsnitt-undertittel"/>
        <w:rPr>
          <w:rStyle w:val="halvfet"/>
        </w:rPr>
      </w:pPr>
      <w:r w:rsidRPr="00346CBB">
        <w:t xml:space="preserve">Tabell 1. Status på </w:t>
      </w:r>
      <w:proofErr w:type="spellStart"/>
      <w:r w:rsidRPr="00346CBB">
        <w:t>deflatoren</w:t>
      </w:r>
      <w:proofErr w:type="spellEnd"/>
      <w:r w:rsidRPr="00346CBB">
        <w:t xml:space="preserve"> for spesialisthelsetjenesten i utvalgets rapporter gjennom året.</w:t>
      </w:r>
    </w:p>
    <w:tbl>
      <w:tblPr>
        <w:tblW w:w="5000" w:type="pct"/>
        <w:tblCellMar>
          <w:left w:w="0" w:type="dxa"/>
          <w:right w:w="0" w:type="dxa"/>
        </w:tblCellMar>
        <w:tblLook w:val="0000" w:firstRow="0" w:lastRow="0" w:firstColumn="0" w:lastColumn="0" w:noHBand="0" w:noVBand="0"/>
      </w:tblPr>
      <w:tblGrid>
        <w:gridCol w:w="2738"/>
        <w:gridCol w:w="2739"/>
        <w:gridCol w:w="2737"/>
      </w:tblGrid>
      <w:tr w:rsidR="00A4769D" w:rsidRPr="00346CBB" w14:paraId="33FBA07A" w14:textId="77777777" w:rsidTr="00346CBB">
        <w:trPr>
          <w:trHeight w:val="396"/>
          <w:tblHeader/>
        </w:trPr>
        <w:tc>
          <w:tcPr>
            <w:tcW w:w="1666"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0573C3B" w14:textId="77777777" w:rsidR="003953D6" w:rsidRPr="00346CBB" w:rsidRDefault="003953D6" w:rsidP="00346CBB">
            <w:pPr>
              <w:pStyle w:val="TabellHode-kolonne"/>
            </w:pPr>
            <w:proofErr w:type="spellStart"/>
            <w:r w:rsidRPr="00346CBB">
              <w:t>Deflator</w:t>
            </w:r>
            <w:proofErr w:type="spellEnd"/>
          </w:p>
        </w:tc>
        <w:tc>
          <w:tcPr>
            <w:tcW w:w="1667"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DAEA270" w14:textId="77777777" w:rsidR="003953D6" w:rsidRPr="009B28A1" w:rsidRDefault="003953D6" w:rsidP="00346CBB">
            <w:pPr>
              <w:pStyle w:val="TabellHode-kolonne"/>
              <w:jc w:val="right"/>
              <w:rPr>
                <w:lang w:val="nn-NO"/>
              </w:rPr>
            </w:pPr>
            <w:r w:rsidRPr="009B28A1">
              <w:rPr>
                <w:lang w:val="nn-NO"/>
              </w:rPr>
              <w:t>Juni-rapporten i år T</w:t>
            </w:r>
          </w:p>
        </w:tc>
        <w:tc>
          <w:tcPr>
            <w:tcW w:w="1666"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F9A7809" w14:textId="77777777" w:rsidR="003953D6" w:rsidRPr="00346CBB" w:rsidRDefault="003953D6" w:rsidP="00346CBB">
            <w:pPr>
              <w:pStyle w:val="TabellHode-kolonne"/>
              <w:jc w:val="right"/>
            </w:pPr>
            <w:r w:rsidRPr="00346CBB">
              <w:t>November-rapporten i år T</w:t>
            </w:r>
          </w:p>
        </w:tc>
      </w:tr>
      <w:tr w:rsidR="00A4769D" w:rsidRPr="00346CBB" w14:paraId="359EB39A" w14:textId="77777777" w:rsidTr="00346CBB">
        <w:trPr>
          <w:trHeight w:val="396"/>
        </w:trPr>
        <w:tc>
          <w:tcPr>
            <w:tcW w:w="1666"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7482C6E" w14:textId="77777777" w:rsidR="003953D6" w:rsidRPr="00346CBB" w:rsidRDefault="003953D6" w:rsidP="00346CBB">
            <w:pPr>
              <w:pStyle w:val="TabellHode-rad"/>
            </w:pPr>
            <w:r w:rsidRPr="00346CBB">
              <w:t>År T-1</w:t>
            </w:r>
          </w:p>
        </w:tc>
        <w:tc>
          <w:tcPr>
            <w:tcW w:w="1667"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6DD5613" w14:textId="77777777" w:rsidR="003953D6" w:rsidRPr="00346CBB" w:rsidRDefault="003953D6" w:rsidP="00346CBB">
            <w:pPr>
              <w:jc w:val="right"/>
            </w:pPr>
            <w:r w:rsidRPr="00346CBB">
              <w:t>Faktisk</w:t>
            </w:r>
          </w:p>
        </w:tc>
        <w:tc>
          <w:tcPr>
            <w:tcW w:w="1666"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43BCFC5" w14:textId="77777777" w:rsidR="003953D6" w:rsidRPr="00346CBB" w:rsidRDefault="003953D6" w:rsidP="00346CBB">
            <w:pPr>
              <w:jc w:val="right"/>
            </w:pPr>
            <w:r w:rsidRPr="00346CBB">
              <w:t>Faktisk</w:t>
            </w:r>
          </w:p>
        </w:tc>
      </w:tr>
      <w:tr w:rsidR="00A4769D" w:rsidRPr="00346CBB" w14:paraId="739EFE79" w14:textId="77777777" w:rsidTr="00346CBB">
        <w:trPr>
          <w:trHeight w:val="396"/>
        </w:trPr>
        <w:tc>
          <w:tcPr>
            <w:tcW w:w="16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45CD850" w14:textId="77777777" w:rsidR="003953D6" w:rsidRPr="00346CBB" w:rsidRDefault="003953D6" w:rsidP="00346CBB">
            <w:pPr>
              <w:pStyle w:val="TabellHode-rad"/>
            </w:pPr>
            <w:r w:rsidRPr="00346CBB">
              <w:t>År T</w:t>
            </w:r>
          </w:p>
        </w:tc>
        <w:tc>
          <w:tcPr>
            <w:tcW w:w="16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8E345D7" w14:textId="77777777" w:rsidR="003953D6" w:rsidRPr="00346CBB" w:rsidRDefault="003953D6" w:rsidP="00346CBB">
            <w:pPr>
              <w:jc w:val="right"/>
            </w:pPr>
            <w:r w:rsidRPr="00346CBB">
              <w:t>Anslag</w:t>
            </w:r>
          </w:p>
        </w:tc>
        <w:tc>
          <w:tcPr>
            <w:tcW w:w="16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1FAF53D" w14:textId="77777777" w:rsidR="003953D6" w:rsidRPr="00346CBB" w:rsidRDefault="003953D6" w:rsidP="00346CBB">
            <w:pPr>
              <w:jc w:val="right"/>
            </w:pPr>
            <w:r w:rsidRPr="00346CBB">
              <w:t>Anslag</w:t>
            </w:r>
          </w:p>
        </w:tc>
      </w:tr>
      <w:tr w:rsidR="00A4769D" w:rsidRPr="00346CBB" w14:paraId="1D9C0402" w14:textId="77777777" w:rsidTr="00346CBB">
        <w:trPr>
          <w:trHeight w:val="396"/>
        </w:trPr>
        <w:tc>
          <w:tcPr>
            <w:tcW w:w="16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5955594" w14:textId="77777777" w:rsidR="003953D6" w:rsidRPr="00346CBB" w:rsidRDefault="003953D6" w:rsidP="00346CBB">
            <w:pPr>
              <w:pStyle w:val="TabellHode-rad"/>
            </w:pPr>
            <w:r w:rsidRPr="00346CBB">
              <w:lastRenderedPageBreak/>
              <w:t>År T+1</w:t>
            </w:r>
          </w:p>
        </w:tc>
        <w:tc>
          <w:tcPr>
            <w:tcW w:w="16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D00DEB7" w14:textId="77777777" w:rsidR="003953D6" w:rsidRPr="00346CBB" w:rsidRDefault="003953D6" w:rsidP="00346CBB">
            <w:pPr>
              <w:jc w:val="right"/>
            </w:pPr>
            <w:r w:rsidRPr="00346CBB">
              <w:t>-</w:t>
            </w:r>
          </w:p>
        </w:tc>
        <w:tc>
          <w:tcPr>
            <w:tcW w:w="16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56CE50D" w14:textId="77777777" w:rsidR="003953D6" w:rsidRPr="00346CBB" w:rsidRDefault="003953D6" w:rsidP="00346CBB">
            <w:pPr>
              <w:jc w:val="right"/>
            </w:pPr>
            <w:r w:rsidRPr="00346CBB">
              <w:t>Anslag</w:t>
            </w:r>
          </w:p>
        </w:tc>
      </w:tr>
      <w:tr w:rsidR="00A4769D" w:rsidRPr="00346CBB" w14:paraId="43BB9AFE" w14:textId="77777777" w:rsidTr="00346CBB">
        <w:trPr>
          <w:trHeight w:val="396"/>
        </w:trPr>
        <w:tc>
          <w:tcPr>
            <w:tcW w:w="16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55283DE" w14:textId="77777777" w:rsidR="003953D6" w:rsidRPr="00346CBB" w:rsidRDefault="003953D6" w:rsidP="00346CBB">
            <w:pPr>
              <w:pStyle w:val="TabellHode-rad"/>
            </w:pPr>
            <w:r w:rsidRPr="00346CBB">
              <w:t xml:space="preserve">Kilde for </w:t>
            </w:r>
            <w:proofErr w:type="spellStart"/>
            <w:r w:rsidRPr="00346CBB">
              <w:t>deflatorene</w:t>
            </w:r>
            <w:proofErr w:type="spellEnd"/>
          </w:p>
        </w:tc>
        <w:tc>
          <w:tcPr>
            <w:tcW w:w="16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9998588" w14:textId="77777777" w:rsidR="003953D6" w:rsidRPr="00346CBB" w:rsidRDefault="003953D6" w:rsidP="00346CBB">
            <w:pPr>
              <w:jc w:val="right"/>
            </w:pPr>
            <w:r w:rsidRPr="00346CBB">
              <w:t>Revidert nasjonalbudsjett for år T</w:t>
            </w:r>
          </w:p>
        </w:tc>
        <w:tc>
          <w:tcPr>
            <w:tcW w:w="16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1A4A0DA" w14:textId="77777777" w:rsidR="003953D6" w:rsidRPr="00346CBB" w:rsidRDefault="003953D6" w:rsidP="00346CBB">
            <w:pPr>
              <w:jc w:val="right"/>
            </w:pPr>
            <w:r w:rsidRPr="00346CBB">
              <w:t>Statsbudsjettet for år T+1</w:t>
            </w:r>
          </w:p>
        </w:tc>
      </w:tr>
    </w:tbl>
    <w:p w14:paraId="0F35ED46" w14:textId="77777777" w:rsidR="003953D6" w:rsidRPr="00346CBB" w:rsidRDefault="003953D6" w:rsidP="00C9271A">
      <w:pPr>
        <w:jc w:val="right"/>
      </w:pPr>
    </w:p>
    <w:p w14:paraId="22DC5898" w14:textId="77777777" w:rsidR="003953D6" w:rsidRPr="00346CBB" w:rsidRDefault="003953D6" w:rsidP="00346CBB">
      <w:pPr>
        <w:pStyle w:val="Kilde"/>
      </w:pPr>
      <w:r w:rsidRPr="00346CBB">
        <w:t>Kilde: Finansdepartementet.</w:t>
      </w:r>
    </w:p>
    <w:p w14:paraId="7A3F819A" w14:textId="77777777" w:rsidR="003953D6" w:rsidRPr="00346CBB" w:rsidRDefault="003953D6" w:rsidP="00346CBB">
      <w:proofErr w:type="spellStart"/>
      <w:r w:rsidRPr="00346CBB">
        <w:t>Deflatoren</w:t>
      </w:r>
      <w:proofErr w:type="spellEnd"/>
      <w:r w:rsidRPr="00346CBB">
        <w:t xml:space="preserve"> for spesialisthelsetjenesten beregnes som et veid gjennomsnitt av lønnsvekst og prisvekst på helseforetakenes kjøp av varer og tjenester. Se vedlegg 2 for detaljer.</w:t>
      </w:r>
    </w:p>
    <w:p w14:paraId="715BEE99" w14:textId="77777777" w:rsidR="003953D6" w:rsidRPr="00346CBB" w:rsidRDefault="003953D6" w:rsidP="00346CBB">
      <w:r w:rsidRPr="00346CBB">
        <w:t xml:space="preserve">I forbindelse med revidert nasjonalbudsjett 2025 anslår Finansdepartementet </w:t>
      </w:r>
      <w:proofErr w:type="spellStart"/>
      <w:r w:rsidRPr="00346CBB">
        <w:t>defIatoren</w:t>
      </w:r>
      <w:proofErr w:type="spellEnd"/>
      <w:r w:rsidRPr="00346CBB">
        <w:t xml:space="preserve"> for 2025 til 3,6 prosent, basert på en vekst i lønnskostnadene ekskl. pensjon på 4,0 prosent og en prisvekst på kjøp av varer og tjenester på 3,2 prosent</w:t>
      </w:r>
      <w:r w:rsidRPr="00346CBB">
        <w:rPr>
          <w:rStyle w:val="Fotnotereferanse"/>
        </w:rPr>
        <w:footnoteReference w:id="15"/>
      </w:r>
      <w:r w:rsidRPr="00346CBB">
        <w:t xml:space="preserve">. Til sammenligning var anslaget på </w:t>
      </w:r>
      <w:proofErr w:type="spellStart"/>
      <w:r w:rsidRPr="00346CBB">
        <w:t>deflatoren</w:t>
      </w:r>
      <w:proofErr w:type="spellEnd"/>
      <w:r w:rsidRPr="00346CBB">
        <w:t xml:space="preserve"> i statsbudsjettet for 2025 anslått til 4,1 prosent, basert på en lønnsvekst på 4,5 prosent og en prisvekst på kjøp av varer og tjenester på 3,1 prosent. Lavere vekting av lønnsvekst bidrar også til lavere </w:t>
      </w:r>
      <w:proofErr w:type="spellStart"/>
      <w:r w:rsidRPr="00346CBB">
        <w:t>deflator</w:t>
      </w:r>
      <w:proofErr w:type="spellEnd"/>
      <w:r w:rsidRPr="00346CBB">
        <w:t>.</w:t>
      </w:r>
    </w:p>
    <w:p w14:paraId="6EDD54F2" w14:textId="723A5CA3" w:rsidR="003953D6" w:rsidRPr="00346CBB" w:rsidRDefault="003953D6" w:rsidP="00346CBB">
      <w:r w:rsidRPr="00346CBB">
        <w:t xml:space="preserve">Lønnsveksten justeres for eventuelle endringer i den generelle arbeidsgiveravgiftssatsen. Endringer i pensjonskostnadene holdes utenfor da disse budsjettmessig behandles særskilt. Avviklingen av den ekstra arbeidsgiveravgiften fra inntektsåret 2025 bidrar isolert sett til å redusere anslaget på </w:t>
      </w:r>
      <w:proofErr w:type="spellStart"/>
      <w:r w:rsidRPr="00346CBB">
        <w:t>deflatoren</w:t>
      </w:r>
      <w:proofErr w:type="spellEnd"/>
      <w:r w:rsidRPr="00346CBB">
        <w:t xml:space="preserve"> for 2025 med 0,2 prosentpoeng.</w:t>
      </w:r>
    </w:p>
    <w:p w14:paraId="3C10C160" w14:textId="77777777" w:rsidR="003953D6" w:rsidRPr="00346CBB" w:rsidRDefault="003953D6" w:rsidP="00346CBB">
      <w:r w:rsidRPr="00346CBB">
        <w:t xml:space="preserve">Beregningen av prisveksten på kjøp av varer og tjenester er basert på en </w:t>
      </w:r>
      <w:proofErr w:type="spellStart"/>
      <w:r w:rsidRPr="00346CBB">
        <w:t>sammenvekting</w:t>
      </w:r>
      <w:proofErr w:type="spellEnd"/>
      <w:r w:rsidRPr="00346CBB">
        <w:t xml:space="preserve"> av prisindekser for ulike vare- og tjenestegrupper. For den faktiske </w:t>
      </w:r>
      <w:proofErr w:type="spellStart"/>
      <w:r w:rsidRPr="00346CBB">
        <w:t>deflatoren</w:t>
      </w:r>
      <w:proofErr w:type="spellEnd"/>
      <w:r w:rsidRPr="00346CBB">
        <w:t xml:space="preserve"> trenger man et sett med vekter basert på publiserte regnskapstall og </w:t>
      </w:r>
      <w:r w:rsidRPr="00346CBB">
        <w:lastRenderedPageBreak/>
        <w:t xml:space="preserve">et sett med prisindekser som er relevant for disse vare- og tjenestegruppene. For anslagene brukes samme overordnede rammeverk som for den faktiske </w:t>
      </w:r>
      <w:proofErr w:type="spellStart"/>
      <w:r w:rsidRPr="00346CBB">
        <w:t>deflatoren</w:t>
      </w:r>
      <w:proofErr w:type="spellEnd"/>
      <w:r w:rsidRPr="00346CBB">
        <w:t>, men da basert på Finansdepartementets mer aggregerte anslag på den generelle konsumprisveksten i økonomien (KPI), tilpasset at det er forskjell mellom offentlig sektor og husholdningene.</w:t>
      </w:r>
    </w:p>
    <w:p w14:paraId="69D74448" w14:textId="77777777" w:rsidR="003953D6" w:rsidRPr="00346CBB" w:rsidRDefault="003953D6" w:rsidP="00346CBB">
      <w:proofErr w:type="spellStart"/>
      <w:r w:rsidRPr="00346CBB">
        <w:t>Utgiftsvektene</w:t>
      </w:r>
      <w:proofErr w:type="spellEnd"/>
      <w:r w:rsidRPr="00346CBB">
        <w:t xml:space="preserve"> beregnes basert på regnskapstall for helseforetakene hentet fra SSBs statistikk for offentlige finanser. Statistikken gir informasjon om utgifter og inntekter i stats- og kommuneforvaltningen, herunder helseforetakene, og er basert på retningslinjene for nasjonalregnskap og statistikk om offentlige finanser.</w:t>
      </w:r>
    </w:p>
    <w:p w14:paraId="02637825" w14:textId="77777777" w:rsidR="003953D6" w:rsidRPr="00346CBB" w:rsidRDefault="003953D6" w:rsidP="00346CBB">
      <w:r w:rsidRPr="00346CBB">
        <w:t xml:space="preserve">Metoden er basert på vektene for basisåret, dvs. året man regner prisveksten fra. For </w:t>
      </w:r>
      <w:proofErr w:type="spellStart"/>
      <w:r w:rsidRPr="00346CBB">
        <w:t>deflatoren</w:t>
      </w:r>
      <w:proofErr w:type="spellEnd"/>
      <w:r w:rsidRPr="00346CBB">
        <w:t xml:space="preserve"> for 2024 betyr dette at vi bruker regnskapstall for 2023.</w:t>
      </w:r>
    </w:p>
    <w:p w14:paraId="3D04CBD4" w14:textId="77777777" w:rsidR="003953D6" w:rsidRPr="00346CBB" w:rsidRDefault="003953D6" w:rsidP="00346CBB">
      <w:r w:rsidRPr="00346CBB">
        <w:t xml:space="preserve">Prisindeksene som brukes publiseres i hovedsak enten månedlig eller per kvartal. For 2024 var alle nødvendige prisindekser for desember eller fjerde kvartal 2024 publisert innen slutten av februar 2025. På dette tidspunktet kan derfor faktisk </w:t>
      </w:r>
      <w:proofErr w:type="spellStart"/>
      <w:r w:rsidRPr="00346CBB">
        <w:t>deflator</w:t>
      </w:r>
      <w:proofErr w:type="spellEnd"/>
      <w:r w:rsidRPr="00346CBB">
        <w:t xml:space="preserve"> for spesialisthelsetjenesten for 2024 fastsettes.</w:t>
      </w:r>
    </w:p>
    <w:p w14:paraId="7C0C5A2F" w14:textId="77777777" w:rsidR="003953D6" w:rsidRPr="00346CBB" w:rsidRDefault="003953D6" w:rsidP="00346CBB">
      <w:r w:rsidRPr="00346CBB">
        <w:t>I den gamle metoden ble det brukt en fast sjablongvekt på 70/30 i forholdet mellom lønnsvekst og prisvekst på produktinnsats. Et slikt fast forhold tar ikke hensyn til at lønnsandelen har falt de siste årene. Det metodiske rammeverket avviker med dette fra det teoretiske grunnlaget for prisindekser (</w:t>
      </w:r>
      <w:proofErr w:type="spellStart"/>
      <w:r w:rsidRPr="00346CBB">
        <w:t>Laspeyres</w:t>
      </w:r>
      <w:proofErr w:type="spellEnd"/>
      <w:r w:rsidRPr="00346CBB">
        <w:t xml:space="preserve"> prisindekser) og metoden som brukes for kommunesektoren. Figur 1 viser utviklingen i vekting lønnskostnader i årene 2007 til 2023 med fast sjablong på 70 prosent og løpende andeler med og uten investeringer.</w:t>
      </w:r>
    </w:p>
    <w:p w14:paraId="00ECA993" w14:textId="5B0BF3C4" w:rsidR="003953D6" w:rsidRPr="00346CBB" w:rsidRDefault="00DA60DA" w:rsidP="00346CBB">
      <w:r>
        <w:rPr>
          <w:noProof/>
        </w:rPr>
        <w:lastRenderedPageBreak/>
        <w:drawing>
          <wp:inline distT="0" distB="0" distL="0" distR="0" wp14:anchorId="020F7960" wp14:editId="67403816">
            <wp:extent cx="5210175" cy="2872740"/>
            <wp:effectExtent l="0" t="0" r="9525" b="3810"/>
            <wp:docPr id="1785173799" name="Bilde 8" descr="Linjedia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173799" name="Bilde 8" descr="Linjediagram&#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0175" cy="2872740"/>
                    </a:xfrm>
                    <a:prstGeom prst="rect">
                      <a:avLst/>
                    </a:prstGeom>
                    <a:noFill/>
                    <a:ln>
                      <a:noFill/>
                    </a:ln>
                  </pic:spPr>
                </pic:pic>
              </a:graphicData>
            </a:graphic>
          </wp:inline>
        </w:drawing>
      </w:r>
    </w:p>
    <w:p w14:paraId="1232207B" w14:textId="77777777" w:rsidR="003953D6" w:rsidRPr="00346CBB" w:rsidRDefault="003953D6" w:rsidP="00346CBB">
      <w:pPr>
        <w:pStyle w:val="avsnitt-undertittel"/>
        <w:rPr>
          <w:rStyle w:val="halvfet"/>
        </w:rPr>
      </w:pPr>
      <w:r w:rsidRPr="00346CBB">
        <w:t xml:space="preserve">Figur 1. Vekting av lønnskostnader i </w:t>
      </w:r>
      <w:proofErr w:type="spellStart"/>
      <w:r w:rsidRPr="00346CBB">
        <w:t>deflatoren</w:t>
      </w:r>
      <w:proofErr w:type="spellEnd"/>
      <w:r w:rsidRPr="00346CBB">
        <w:t xml:space="preserve"> for spesialisthelsetjenesten. 2007 til 2023. Prosent.</w:t>
      </w:r>
    </w:p>
    <w:p w14:paraId="2814CB61" w14:textId="77777777" w:rsidR="003953D6" w:rsidRPr="00346CBB" w:rsidRDefault="003953D6" w:rsidP="00346CBB">
      <w:pPr>
        <w:pStyle w:val="Kilde"/>
      </w:pPr>
      <w:r w:rsidRPr="00346CBB">
        <w:t>Kilde: Finansdepartementet.</w:t>
      </w:r>
    </w:p>
    <w:p w14:paraId="40CB0C29" w14:textId="77777777" w:rsidR="003953D6" w:rsidRPr="00346CBB" w:rsidRDefault="003953D6" w:rsidP="00346CBB">
      <w:r w:rsidRPr="00346CBB">
        <w:t xml:space="preserve">Tabell 2 viser </w:t>
      </w:r>
      <w:proofErr w:type="spellStart"/>
      <w:r w:rsidRPr="00346CBB">
        <w:t>sammenvektingen</w:t>
      </w:r>
      <w:proofErr w:type="spellEnd"/>
      <w:r w:rsidRPr="00346CBB">
        <w:t xml:space="preserve"> og samlet </w:t>
      </w:r>
      <w:proofErr w:type="spellStart"/>
      <w:r w:rsidRPr="00346CBB">
        <w:t>deflator</w:t>
      </w:r>
      <w:proofErr w:type="spellEnd"/>
      <w:r w:rsidRPr="00346CBB">
        <w:t xml:space="preserve"> for spesialisthelsetjenesten for perioden 2018 til 2025, hvor tallet for 2025 er oppdaterte anslag i forbindelse med revidert nasjonalbudsjett 2025.</w:t>
      </w:r>
    </w:p>
    <w:p w14:paraId="489E60C4" w14:textId="77777777" w:rsidR="003953D6" w:rsidRPr="00346CBB" w:rsidRDefault="003953D6" w:rsidP="00346CBB">
      <w:pPr>
        <w:pStyle w:val="avsnitt-undertittel"/>
        <w:rPr>
          <w:rStyle w:val="halvfet"/>
        </w:rPr>
      </w:pPr>
      <w:r w:rsidRPr="00346CBB">
        <w:t xml:space="preserve">Tabell 2. </w:t>
      </w:r>
      <w:proofErr w:type="spellStart"/>
      <w:r w:rsidRPr="00346CBB">
        <w:t>Kostnadsdeflator</w:t>
      </w:r>
      <w:proofErr w:type="spellEnd"/>
      <w:r w:rsidRPr="00346CBB">
        <w:t xml:space="preserve"> for de regionale helseforetakene. Prosent.</w:t>
      </w:r>
    </w:p>
    <w:tbl>
      <w:tblPr>
        <w:tblW w:w="5000" w:type="pct"/>
        <w:tblCellMar>
          <w:left w:w="0" w:type="dxa"/>
          <w:right w:w="0" w:type="dxa"/>
        </w:tblCellMar>
        <w:tblLook w:val="0000" w:firstRow="0" w:lastRow="0" w:firstColumn="0" w:lastColumn="0" w:noHBand="0" w:noVBand="0"/>
      </w:tblPr>
      <w:tblGrid>
        <w:gridCol w:w="1362"/>
        <w:gridCol w:w="848"/>
        <w:gridCol w:w="850"/>
        <w:gridCol w:w="850"/>
        <w:gridCol w:w="850"/>
        <w:gridCol w:w="850"/>
        <w:gridCol w:w="850"/>
        <w:gridCol w:w="848"/>
        <w:gridCol w:w="906"/>
      </w:tblGrid>
      <w:tr w:rsidR="00A4769D" w:rsidRPr="00346CBB" w14:paraId="7464A383" w14:textId="77777777" w:rsidTr="00346CBB">
        <w:trPr>
          <w:trHeight w:val="396"/>
          <w:tblHeader/>
        </w:trPr>
        <w:tc>
          <w:tcPr>
            <w:tcW w:w="833"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7EF31584" w14:textId="77777777" w:rsidR="003953D6" w:rsidRPr="00346CBB" w:rsidRDefault="003953D6" w:rsidP="00C9271A">
            <w:pPr>
              <w:jc w:val="right"/>
            </w:pPr>
          </w:p>
        </w:tc>
        <w:tc>
          <w:tcPr>
            <w:tcW w:w="52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E8D72BF" w14:textId="77777777" w:rsidR="003953D6" w:rsidRPr="00346CBB" w:rsidRDefault="003953D6" w:rsidP="00346CBB">
            <w:pPr>
              <w:pStyle w:val="TabellHode-kolonne"/>
              <w:jc w:val="right"/>
            </w:pPr>
            <w:r w:rsidRPr="00346CBB">
              <w:t>2018</w:t>
            </w:r>
          </w:p>
        </w:tc>
        <w:tc>
          <w:tcPr>
            <w:tcW w:w="52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377E4BA" w14:textId="77777777" w:rsidR="003953D6" w:rsidRPr="00346CBB" w:rsidRDefault="003953D6" w:rsidP="00346CBB">
            <w:pPr>
              <w:pStyle w:val="TabellHode-kolonne"/>
              <w:jc w:val="right"/>
            </w:pPr>
            <w:r w:rsidRPr="00346CBB">
              <w:t>2019</w:t>
            </w:r>
          </w:p>
        </w:tc>
        <w:tc>
          <w:tcPr>
            <w:tcW w:w="52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98E7728" w14:textId="77777777" w:rsidR="003953D6" w:rsidRPr="00346CBB" w:rsidRDefault="003953D6" w:rsidP="00346CBB">
            <w:pPr>
              <w:pStyle w:val="TabellHode-kolonne"/>
              <w:jc w:val="right"/>
            </w:pPr>
            <w:r w:rsidRPr="00346CBB">
              <w:t>2020</w:t>
            </w:r>
          </w:p>
        </w:tc>
        <w:tc>
          <w:tcPr>
            <w:tcW w:w="52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97E0D39" w14:textId="77777777" w:rsidR="003953D6" w:rsidRPr="00346CBB" w:rsidRDefault="003953D6" w:rsidP="00346CBB">
            <w:pPr>
              <w:pStyle w:val="TabellHode-kolonne"/>
              <w:jc w:val="right"/>
            </w:pPr>
            <w:r w:rsidRPr="00346CBB">
              <w:t>2021</w:t>
            </w:r>
          </w:p>
        </w:tc>
        <w:tc>
          <w:tcPr>
            <w:tcW w:w="52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3CE3FC9" w14:textId="77777777" w:rsidR="003953D6" w:rsidRPr="00346CBB" w:rsidRDefault="003953D6" w:rsidP="00346CBB">
            <w:pPr>
              <w:pStyle w:val="TabellHode-kolonne"/>
              <w:jc w:val="right"/>
            </w:pPr>
            <w:r w:rsidRPr="00346CBB">
              <w:t>2022</w:t>
            </w:r>
          </w:p>
        </w:tc>
        <w:tc>
          <w:tcPr>
            <w:tcW w:w="52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A71FA6E" w14:textId="77777777" w:rsidR="003953D6" w:rsidRPr="00346CBB" w:rsidRDefault="003953D6" w:rsidP="00346CBB">
            <w:pPr>
              <w:pStyle w:val="TabellHode-kolonne"/>
              <w:jc w:val="right"/>
            </w:pPr>
            <w:r w:rsidRPr="00346CBB">
              <w:t>2023*</w:t>
            </w:r>
          </w:p>
        </w:tc>
        <w:tc>
          <w:tcPr>
            <w:tcW w:w="52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1A123E8" w14:textId="77777777" w:rsidR="003953D6" w:rsidRPr="00346CBB" w:rsidRDefault="003953D6" w:rsidP="00346CBB">
            <w:pPr>
              <w:pStyle w:val="TabellHode-kolonne"/>
              <w:jc w:val="right"/>
            </w:pPr>
            <w:r w:rsidRPr="00346CBB">
              <w:t>2024</w:t>
            </w:r>
          </w:p>
        </w:tc>
        <w:tc>
          <w:tcPr>
            <w:tcW w:w="52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DEB3BDE" w14:textId="77777777" w:rsidR="003953D6" w:rsidRPr="00346CBB" w:rsidRDefault="003953D6" w:rsidP="00346CBB">
            <w:pPr>
              <w:pStyle w:val="TabellHode-kolonne"/>
              <w:jc w:val="right"/>
            </w:pPr>
            <w:r w:rsidRPr="00346CBB">
              <w:t>2025**</w:t>
            </w:r>
          </w:p>
        </w:tc>
      </w:tr>
      <w:tr w:rsidR="00A4769D" w:rsidRPr="00346CBB" w14:paraId="2A97E430" w14:textId="77777777" w:rsidTr="00346CBB">
        <w:trPr>
          <w:trHeight w:val="396"/>
        </w:trPr>
        <w:tc>
          <w:tcPr>
            <w:tcW w:w="833"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3E1E022" w14:textId="77777777" w:rsidR="003953D6" w:rsidRPr="00346CBB" w:rsidRDefault="003953D6" w:rsidP="00346CBB">
            <w:pPr>
              <w:pStyle w:val="TabellHode-rad"/>
            </w:pPr>
            <w:proofErr w:type="spellStart"/>
            <w:r w:rsidRPr="00346CBB">
              <w:t>Deflator</w:t>
            </w:r>
            <w:proofErr w:type="spellEnd"/>
          </w:p>
        </w:tc>
        <w:tc>
          <w:tcPr>
            <w:tcW w:w="52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B6068D2" w14:textId="77777777" w:rsidR="003953D6" w:rsidRPr="00346CBB" w:rsidRDefault="003953D6" w:rsidP="00346CBB">
            <w:pPr>
              <w:jc w:val="right"/>
            </w:pPr>
            <w:r w:rsidRPr="00346CBB">
              <w:t>2,9</w:t>
            </w:r>
          </w:p>
        </w:tc>
        <w:tc>
          <w:tcPr>
            <w:tcW w:w="52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CA20C6A" w14:textId="77777777" w:rsidR="003953D6" w:rsidRPr="00346CBB" w:rsidRDefault="003953D6" w:rsidP="00346CBB">
            <w:pPr>
              <w:jc w:val="right"/>
            </w:pPr>
            <w:r w:rsidRPr="00346CBB">
              <w:t>3,0</w:t>
            </w:r>
          </w:p>
        </w:tc>
        <w:tc>
          <w:tcPr>
            <w:tcW w:w="52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FC32D53" w14:textId="77777777" w:rsidR="003953D6" w:rsidRPr="00346CBB" w:rsidRDefault="003953D6" w:rsidP="00346CBB">
            <w:pPr>
              <w:jc w:val="right"/>
            </w:pPr>
            <w:r w:rsidRPr="00346CBB">
              <w:t>1,6</w:t>
            </w:r>
          </w:p>
        </w:tc>
        <w:tc>
          <w:tcPr>
            <w:tcW w:w="52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DAEBBCC" w14:textId="77777777" w:rsidR="003953D6" w:rsidRPr="00346CBB" w:rsidRDefault="003953D6" w:rsidP="00346CBB">
            <w:pPr>
              <w:jc w:val="right"/>
            </w:pPr>
            <w:r w:rsidRPr="00346CBB">
              <w:t>3,4</w:t>
            </w:r>
          </w:p>
        </w:tc>
        <w:tc>
          <w:tcPr>
            <w:tcW w:w="52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3673124" w14:textId="77777777" w:rsidR="003953D6" w:rsidRPr="00346CBB" w:rsidRDefault="003953D6" w:rsidP="00346CBB">
            <w:pPr>
              <w:jc w:val="right"/>
            </w:pPr>
            <w:r w:rsidRPr="00346CBB">
              <w:t>5,1</w:t>
            </w:r>
          </w:p>
        </w:tc>
        <w:tc>
          <w:tcPr>
            <w:tcW w:w="52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8D4F61D" w14:textId="77777777" w:rsidR="003953D6" w:rsidRPr="00346CBB" w:rsidRDefault="003953D6" w:rsidP="00346CBB">
            <w:pPr>
              <w:jc w:val="right"/>
            </w:pPr>
            <w:r w:rsidRPr="00346CBB">
              <w:t>5,6</w:t>
            </w:r>
          </w:p>
        </w:tc>
        <w:tc>
          <w:tcPr>
            <w:tcW w:w="52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CF28DAE" w14:textId="77777777" w:rsidR="003953D6" w:rsidRPr="00346CBB" w:rsidRDefault="003953D6" w:rsidP="00346CBB">
            <w:pPr>
              <w:jc w:val="right"/>
            </w:pPr>
            <w:r w:rsidRPr="00346CBB">
              <w:t>4,6</w:t>
            </w:r>
          </w:p>
        </w:tc>
        <w:tc>
          <w:tcPr>
            <w:tcW w:w="52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0320934" w14:textId="77777777" w:rsidR="003953D6" w:rsidRPr="00346CBB" w:rsidRDefault="003953D6" w:rsidP="00346CBB">
            <w:pPr>
              <w:jc w:val="right"/>
            </w:pPr>
            <w:r w:rsidRPr="00346CBB">
              <w:t>3,6</w:t>
            </w:r>
          </w:p>
        </w:tc>
      </w:tr>
      <w:tr w:rsidR="00A4769D" w:rsidRPr="00346CBB" w14:paraId="26FEEF15" w14:textId="77777777" w:rsidTr="00346CBB">
        <w:trPr>
          <w:trHeight w:val="396"/>
        </w:trPr>
        <w:tc>
          <w:tcPr>
            <w:tcW w:w="83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019C62E" w14:textId="4400C8EF" w:rsidR="003953D6" w:rsidRPr="00346CBB" w:rsidRDefault="003953D6" w:rsidP="00346CBB">
            <w:pPr>
              <w:pStyle w:val="TabellHode-rad"/>
            </w:pPr>
            <w:r w:rsidRPr="00346CBB">
              <w:t>Vekst i lønnskostnader</w:t>
            </w:r>
          </w:p>
        </w:tc>
        <w:tc>
          <w:tcPr>
            <w:tcW w:w="5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7D483CB" w14:textId="77777777" w:rsidR="003953D6" w:rsidRPr="00346CBB" w:rsidRDefault="003953D6" w:rsidP="00346CBB">
            <w:pPr>
              <w:jc w:val="right"/>
            </w:pPr>
            <w:r w:rsidRPr="00346CBB">
              <w:t>3,3</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ED0B53F" w14:textId="77777777" w:rsidR="003953D6" w:rsidRPr="00346CBB" w:rsidRDefault="003953D6" w:rsidP="00346CBB">
            <w:pPr>
              <w:jc w:val="right"/>
            </w:pPr>
            <w:r w:rsidRPr="00346CBB">
              <w:t>3,4</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7C61C10" w14:textId="77777777" w:rsidR="003953D6" w:rsidRPr="00346CBB" w:rsidRDefault="003953D6" w:rsidP="00346CBB">
            <w:pPr>
              <w:jc w:val="right"/>
            </w:pPr>
            <w:r w:rsidRPr="00346CBB">
              <w:t>1,6</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62F540D" w14:textId="77777777" w:rsidR="003953D6" w:rsidRPr="00346CBB" w:rsidRDefault="003953D6" w:rsidP="00346CBB">
            <w:pPr>
              <w:jc w:val="right"/>
            </w:pPr>
            <w:r w:rsidRPr="00346CBB">
              <w:t>3,8</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0B84014" w14:textId="77777777" w:rsidR="003953D6" w:rsidRPr="00346CBB" w:rsidRDefault="003953D6" w:rsidP="00346CBB">
            <w:pPr>
              <w:jc w:val="right"/>
            </w:pPr>
            <w:r w:rsidRPr="00346CBB">
              <w:t>4,5</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77F126F" w14:textId="77777777" w:rsidR="003953D6" w:rsidRPr="00346CBB" w:rsidRDefault="003953D6" w:rsidP="00346CBB">
            <w:pPr>
              <w:jc w:val="right"/>
            </w:pPr>
            <w:r w:rsidRPr="00346CBB">
              <w:t>6,3</w:t>
            </w:r>
          </w:p>
        </w:tc>
        <w:tc>
          <w:tcPr>
            <w:tcW w:w="5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0F31DFE" w14:textId="77777777" w:rsidR="003953D6" w:rsidRPr="00346CBB" w:rsidRDefault="003953D6" w:rsidP="00346CBB">
            <w:pPr>
              <w:jc w:val="right"/>
            </w:pPr>
            <w:r w:rsidRPr="00346CBB">
              <w:t>5,6</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9D261CE" w14:textId="77777777" w:rsidR="003953D6" w:rsidRPr="00346CBB" w:rsidRDefault="003953D6" w:rsidP="00346CBB">
            <w:pPr>
              <w:jc w:val="right"/>
            </w:pPr>
            <w:r w:rsidRPr="00346CBB">
              <w:t>4,0</w:t>
            </w:r>
          </w:p>
        </w:tc>
      </w:tr>
      <w:tr w:rsidR="00A4769D" w:rsidRPr="00346CBB" w14:paraId="6E7D8D1F" w14:textId="77777777" w:rsidTr="00346CBB">
        <w:trPr>
          <w:trHeight w:val="396"/>
        </w:trPr>
        <w:tc>
          <w:tcPr>
            <w:tcW w:w="83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D26CAE7" w14:textId="77777777" w:rsidR="003953D6" w:rsidRPr="00346CBB" w:rsidRDefault="003953D6" w:rsidP="00346CBB">
            <w:pPr>
              <w:pStyle w:val="TabellHode-rad"/>
            </w:pPr>
            <w:r w:rsidRPr="00346CBB">
              <w:rPr>
                <w:rStyle w:val="kursiv"/>
              </w:rPr>
              <w:t>Årslønnsvekst (TBU-inntekt)</w:t>
            </w:r>
          </w:p>
        </w:tc>
        <w:tc>
          <w:tcPr>
            <w:tcW w:w="5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442C453" w14:textId="77777777" w:rsidR="003953D6" w:rsidRPr="00346CBB" w:rsidRDefault="003953D6" w:rsidP="00346CBB">
            <w:pPr>
              <w:jc w:val="right"/>
            </w:pPr>
            <w:r w:rsidRPr="00346CBB">
              <w:rPr>
                <w:rStyle w:val="kursiv"/>
              </w:rPr>
              <w:t>3,3</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0729E23" w14:textId="77777777" w:rsidR="003953D6" w:rsidRPr="00346CBB" w:rsidRDefault="003953D6" w:rsidP="00346CBB">
            <w:pPr>
              <w:jc w:val="right"/>
            </w:pPr>
            <w:r w:rsidRPr="00346CBB">
              <w:rPr>
                <w:rStyle w:val="kursiv"/>
              </w:rPr>
              <w:t>3,4</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8297378" w14:textId="77777777" w:rsidR="003953D6" w:rsidRPr="00346CBB" w:rsidRDefault="003953D6" w:rsidP="00346CBB">
            <w:pPr>
              <w:jc w:val="right"/>
            </w:pPr>
            <w:r w:rsidRPr="00346CBB">
              <w:rPr>
                <w:rStyle w:val="kursiv"/>
              </w:rPr>
              <w:t>1,8</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93F7266" w14:textId="77777777" w:rsidR="003953D6" w:rsidRPr="00346CBB" w:rsidRDefault="003953D6" w:rsidP="00346CBB">
            <w:pPr>
              <w:jc w:val="right"/>
            </w:pPr>
            <w:r w:rsidRPr="00346CBB">
              <w:rPr>
                <w:rStyle w:val="kursiv"/>
              </w:rPr>
              <w:t>3,6</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214888C" w14:textId="77777777" w:rsidR="003953D6" w:rsidRPr="00346CBB" w:rsidRDefault="003953D6" w:rsidP="00346CBB">
            <w:pPr>
              <w:jc w:val="right"/>
            </w:pPr>
            <w:r w:rsidRPr="00346CBB">
              <w:rPr>
                <w:rStyle w:val="kursiv"/>
              </w:rPr>
              <w:t>4,5</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8C7465C" w14:textId="77777777" w:rsidR="003953D6" w:rsidRPr="00346CBB" w:rsidRDefault="003953D6" w:rsidP="00346CBB">
            <w:pPr>
              <w:jc w:val="right"/>
            </w:pPr>
            <w:r w:rsidRPr="00346CBB">
              <w:rPr>
                <w:rStyle w:val="kursiv"/>
              </w:rPr>
              <w:t>5,8</w:t>
            </w:r>
          </w:p>
        </w:tc>
        <w:tc>
          <w:tcPr>
            <w:tcW w:w="5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FE34005" w14:textId="77777777" w:rsidR="003953D6" w:rsidRPr="00346CBB" w:rsidRDefault="003953D6" w:rsidP="00346CBB">
            <w:pPr>
              <w:jc w:val="right"/>
            </w:pPr>
            <w:r w:rsidRPr="00346CBB">
              <w:rPr>
                <w:rStyle w:val="kursiv"/>
              </w:rPr>
              <w:t>5,6</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C1BB864" w14:textId="77777777" w:rsidR="003953D6" w:rsidRPr="00346CBB" w:rsidRDefault="003953D6" w:rsidP="00346CBB">
            <w:pPr>
              <w:jc w:val="right"/>
            </w:pPr>
            <w:r w:rsidRPr="00346CBB">
              <w:rPr>
                <w:rStyle w:val="kursiv"/>
              </w:rPr>
              <w:t>4,4</w:t>
            </w:r>
          </w:p>
        </w:tc>
      </w:tr>
      <w:tr w:rsidR="00A4769D" w:rsidRPr="00346CBB" w14:paraId="31F31D90" w14:textId="77777777" w:rsidTr="00346CBB">
        <w:trPr>
          <w:trHeight w:val="396"/>
        </w:trPr>
        <w:tc>
          <w:tcPr>
            <w:tcW w:w="83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19BD253" w14:textId="77777777" w:rsidR="003953D6" w:rsidRPr="00346CBB" w:rsidRDefault="003953D6" w:rsidP="00346CBB">
            <w:pPr>
              <w:pStyle w:val="TabellHode-rad"/>
            </w:pPr>
            <w:r w:rsidRPr="00346CBB">
              <w:rPr>
                <w:rStyle w:val="kursiv"/>
              </w:rPr>
              <w:lastRenderedPageBreak/>
              <w:t>Bidrag arbeidsgiveravgift</w:t>
            </w:r>
          </w:p>
        </w:tc>
        <w:tc>
          <w:tcPr>
            <w:tcW w:w="5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1E0A1EE" w14:textId="77777777" w:rsidR="003953D6" w:rsidRPr="00346CBB" w:rsidRDefault="003953D6" w:rsidP="00346CBB">
            <w:pPr>
              <w:jc w:val="right"/>
            </w:pPr>
            <w:r w:rsidRPr="00346CBB">
              <w:rPr>
                <w:rStyle w:val="kursiv"/>
              </w:rPr>
              <w:t>0,0</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1B0F0E5" w14:textId="77777777" w:rsidR="003953D6" w:rsidRPr="00346CBB" w:rsidRDefault="003953D6" w:rsidP="00346CBB">
            <w:pPr>
              <w:jc w:val="right"/>
            </w:pPr>
            <w:r w:rsidRPr="00346CBB">
              <w:rPr>
                <w:rStyle w:val="kursiv"/>
              </w:rPr>
              <w:t>0,0</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C1634F7" w14:textId="77777777" w:rsidR="003953D6" w:rsidRPr="00346CBB" w:rsidRDefault="003953D6" w:rsidP="00346CBB">
            <w:pPr>
              <w:jc w:val="right"/>
            </w:pPr>
            <w:r w:rsidRPr="00346CBB">
              <w:rPr>
                <w:rStyle w:val="kursiv"/>
              </w:rPr>
              <w:t>-0,2</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AFAD547" w14:textId="77777777" w:rsidR="003953D6" w:rsidRPr="00346CBB" w:rsidRDefault="003953D6" w:rsidP="00346CBB">
            <w:pPr>
              <w:jc w:val="right"/>
            </w:pPr>
            <w:r w:rsidRPr="00346CBB">
              <w:rPr>
                <w:rStyle w:val="kursiv"/>
              </w:rPr>
              <w:t>0,2</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3D4CDB3" w14:textId="77777777" w:rsidR="003953D6" w:rsidRPr="00346CBB" w:rsidRDefault="003953D6" w:rsidP="00346CBB">
            <w:pPr>
              <w:jc w:val="right"/>
            </w:pPr>
            <w:r w:rsidRPr="00346CBB">
              <w:rPr>
                <w:rStyle w:val="kursiv"/>
              </w:rPr>
              <w:t>0,0</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5E41BC1" w14:textId="77777777" w:rsidR="003953D6" w:rsidRPr="00346CBB" w:rsidRDefault="003953D6" w:rsidP="00346CBB">
            <w:pPr>
              <w:jc w:val="right"/>
            </w:pPr>
            <w:r w:rsidRPr="00346CBB">
              <w:rPr>
                <w:rStyle w:val="kursiv"/>
              </w:rPr>
              <w:t>0,5</w:t>
            </w:r>
          </w:p>
        </w:tc>
        <w:tc>
          <w:tcPr>
            <w:tcW w:w="5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B0978C8" w14:textId="77777777" w:rsidR="003953D6" w:rsidRPr="00346CBB" w:rsidRDefault="003953D6" w:rsidP="00346CBB">
            <w:pPr>
              <w:jc w:val="right"/>
            </w:pPr>
            <w:r w:rsidRPr="00346CBB">
              <w:rPr>
                <w:rStyle w:val="kursiv"/>
              </w:rPr>
              <w:t>0,0</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56B56F0" w14:textId="77777777" w:rsidR="003953D6" w:rsidRPr="00346CBB" w:rsidRDefault="003953D6" w:rsidP="00346CBB">
            <w:pPr>
              <w:jc w:val="right"/>
            </w:pPr>
            <w:r w:rsidRPr="00346CBB">
              <w:rPr>
                <w:rStyle w:val="kursiv"/>
              </w:rPr>
              <w:t>-0,4</w:t>
            </w:r>
            <w:r w:rsidRPr="00346CBB">
              <w:t>***</w:t>
            </w:r>
          </w:p>
        </w:tc>
      </w:tr>
      <w:tr w:rsidR="00A4769D" w:rsidRPr="00346CBB" w14:paraId="44CEA323" w14:textId="77777777" w:rsidTr="00346CBB">
        <w:trPr>
          <w:trHeight w:val="396"/>
        </w:trPr>
        <w:tc>
          <w:tcPr>
            <w:tcW w:w="83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6C1F833" w14:textId="77777777" w:rsidR="003953D6" w:rsidRPr="00346CBB" w:rsidRDefault="003953D6" w:rsidP="00346CBB">
            <w:pPr>
              <w:pStyle w:val="TabellHode-rad"/>
            </w:pPr>
            <w:r w:rsidRPr="00346CBB">
              <w:t>Prisvekst kjøp av varer og tjenester</w:t>
            </w:r>
          </w:p>
        </w:tc>
        <w:tc>
          <w:tcPr>
            <w:tcW w:w="5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A5BA307" w14:textId="77777777" w:rsidR="003953D6" w:rsidRPr="00346CBB" w:rsidRDefault="003953D6" w:rsidP="00346CBB">
            <w:pPr>
              <w:jc w:val="right"/>
            </w:pPr>
            <w:r w:rsidRPr="00346CBB">
              <w:t>2,3</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88A2FF7" w14:textId="77777777" w:rsidR="003953D6" w:rsidRPr="00346CBB" w:rsidRDefault="003953D6" w:rsidP="00346CBB">
            <w:pPr>
              <w:jc w:val="right"/>
            </w:pPr>
            <w:r w:rsidRPr="00346CBB">
              <w:t>2,4</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85EEA33" w14:textId="77777777" w:rsidR="003953D6" w:rsidRPr="00346CBB" w:rsidRDefault="003953D6" w:rsidP="00346CBB">
            <w:pPr>
              <w:jc w:val="right"/>
            </w:pPr>
            <w:r w:rsidRPr="00346CBB">
              <w:t>1,6</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C4B8DB3" w14:textId="77777777" w:rsidR="003953D6" w:rsidRPr="00346CBB" w:rsidRDefault="003953D6" w:rsidP="00346CBB">
            <w:pPr>
              <w:jc w:val="right"/>
            </w:pPr>
            <w:r w:rsidRPr="00346CBB">
              <w:t>2,8</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98810CC" w14:textId="77777777" w:rsidR="003953D6" w:rsidRPr="00346CBB" w:rsidRDefault="003953D6" w:rsidP="00346CBB">
            <w:pPr>
              <w:jc w:val="right"/>
            </w:pPr>
            <w:r w:rsidRPr="00346CBB">
              <w:t>5,9</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3F95D37" w14:textId="77777777" w:rsidR="003953D6" w:rsidRPr="00346CBB" w:rsidRDefault="003953D6" w:rsidP="00346CBB">
            <w:pPr>
              <w:jc w:val="right"/>
            </w:pPr>
            <w:r w:rsidRPr="00346CBB">
              <w:t>4,7</w:t>
            </w:r>
          </w:p>
        </w:tc>
        <w:tc>
          <w:tcPr>
            <w:tcW w:w="5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079F19B" w14:textId="77777777" w:rsidR="003953D6" w:rsidRPr="00346CBB" w:rsidRDefault="003953D6" w:rsidP="00346CBB">
            <w:pPr>
              <w:jc w:val="right"/>
            </w:pPr>
            <w:r w:rsidRPr="00346CBB">
              <w:t>3,4</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1368D12" w14:textId="77777777" w:rsidR="003953D6" w:rsidRPr="00346CBB" w:rsidRDefault="003953D6" w:rsidP="00346CBB">
            <w:pPr>
              <w:jc w:val="right"/>
            </w:pPr>
            <w:r w:rsidRPr="00346CBB">
              <w:t>3,2</w:t>
            </w:r>
          </w:p>
        </w:tc>
      </w:tr>
      <w:tr w:rsidR="00A4769D" w:rsidRPr="00346CBB" w14:paraId="68BB6ED0" w14:textId="77777777" w:rsidTr="00346CBB">
        <w:trPr>
          <w:trHeight w:val="396"/>
        </w:trPr>
        <w:tc>
          <w:tcPr>
            <w:tcW w:w="83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6554703" w14:textId="77777777" w:rsidR="003953D6" w:rsidRPr="00346CBB" w:rsidRDefault="003953D6" w:rsidP="00346CBB">
            <w:pPr>
              <w:pStyle w:val="TabellHode-rad"/>
            </w:pPr>
            <w:r w:rsidRPr="00346CBB">
              <w:t>Lønnsandel i prosent</w:t>
            </w:r>
          </w:p>
        </w:tc>
        <w:tc>
          <w:tcPr>
            <w:tcW w:w="5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0921B00" w14:textId="77777777" w:rsidR="003953D6" w:rsidRPr="00346CBB" w:rsidRDefault="003953D6" w:rsidP="00346CBB">
            <w:pPr>
              <w:jc w:val="right"/>
            </w:pPr>
            <w:r w:rsidRPr="00346CBB">
              <w:t>62,6</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022B1D5" w14:textId="77777777" w:rsidR="003953D6" w:rsidRPr="00346CBB" w:rsidRDefault="003953D6" w:rsidP="00346CBB">
            <w:pPr>
              <w:jc w:val="right"/>
            </w:pPr>
            <w:r w:rsidRPr="00346CBB">
              <w:t>61,8</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E0D0243" w14:textId="77777777" w:rsidR="003953D6" w:rsidRPr="00346CBB" w:rsidRDefault="003953D6" w:rsidP="00346CBB">
            <w:pPr>
              <w:jc w:val="right"/>
            </w:pPr>
            <w:r w:rsidRPr="00346CBB">
              <w:t>60,1</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41C7B8F" w14:textId="77777777" w:rsidR="003953D6" w:rsidRPr="00346CBB" w:rsidRDefault="003953D6" w:rsidP="00346CBB">
            <w:pPr>
              <w:jc w:val="right"/>
            </w:pPr>
            <w:r w:rsidRPr="00346CBB">
              <w:t>58,9</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3BD1823" w14:textId="77777777" w:rsidR="003953D6" w:rsidRPr="00346CBB" w:rsidRDefault="003953D6" w:rsidP="00346CBB">
            <w:pPr>
              <w:jc w:val="right"/>
            </w:pPr>
            <w:r w:rsidRPr="00346CBB">
              <w:t>57,4</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8539B82" w14:textId="77777777" w:rsidR="003953D6" w:rsidRPr="00346CBB" w:rsidRDefault="003953D6" w:rsidP="00346CBB">
            <w:pPr>
              <w:jc w:val="right"/>
            </w:pPr>
            <w:r w:rsidRPr="00346CBB">
              <w:t>56,6</w:t>
            </w:r>
          </w:p>
        </w:tc>
        <w:tc>
          <w:tcPr>
            <w:tcW w:w="5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A8184D3" w14:textId="77777777" w:rsidR="003953D6" w:rsidRPr="00346CBB" w:rsidRDefault="003953D6" w:rsidP="00346CBB">
            <w:pPr>
              <w:jc w:val="right"/>
            </w:pPr>
            <w:r w:rsidRPr="00346CBB">
              <w:t>54,7</w:t>
            </w:r>
          </w:p>
        </w:tc>
        <w:tc>
          <w:tcPr>
            <w:tcW w:w="5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5D147C7" w14:textId="77777777" w:rsidR="003953D6" w:rsidRPr="00346CBB" w:rsidRDefault="003953D6" w:rsidP="00346CBB">
            <w:pPr>
              <w:jc w:val="right"/>
            </w:pPr>
            <w:r w:rsidRPr="00346CBB">
              <w:t>54,7</w:t>
            </w:r>
          </w:p>
        </w:tc>
      </w:tr>
    </w:tbl>
    <w:p w14:paraId="79971360" w14:textId="77777777" w:rsidR="003953D6" w:rsidRPr="00346CBB" w:rsidRDefault="003953D6" w:rsidP="00C9271A">
      <w:pPr>
        <w:jc w:val="right"/>
      </w:pPr>
    </w:p>
    <w:p w14:paraId="33CF46B5" w14:textId="77777777" w:rsidR="003953D6" w:rsidRPr="00346CBB" w:rsidRDefault="003953D6" w:rsidP="00DA60DA">
      <w:pPr>
        <w:pStyle w:val="Note"/>
      </w:pPr>
      <w:r w:rsidRPr="00346CBB">
        <w:t xml:space="preserve">* Inkluderer effekten av innføringen av ekstra arbeidsgiveravgift for lønn over 750 000 kroner. Uten denne effekten ville </w:t>
      </w:r>
      <w:proofErr w:type="spellStart"/>
      <w:r w:rsidRPr="00346CBB">
        <w:t>deflatoren</w:t>
      </w:r>
      <w:proofErr w:type="spellEnd"/>
      <w:r w:rsidRPr="00346CBB">
        <w:t xml:space="preserve"> blitt 5,3 pst.</w:t>
      </w:r>
    </w:p>
    <w:p w14:paraId="31D858E8" w14:textId="77777777" w:rsidR="003953D6" w:rsidRPr="00346CBB" w:rsidRDefault="003953D6" w:rsidP="00DA60DA">
      <w:pPr>
        <w:pStyle w:val="Note"/>
      </w:pPr>
      <w:r w:rsidRPr="00346CBB">
        <w:t xml:space="preserve">** Anslag i forbindelse med revidert nasjonalbudsjettet 2025. Inkluderer effekten av avviklingen av den ekstra arbeidsgiveravgiften. Uten denne effekten ville </w:t>
      </w:r>
      <w:proofErr w:type="spellStart"/>
      <w:r w:rsidRPr="00346CBB">
        <w:t>deflatoren</w:t>
      </w:r>
      <w:proofErr w:type="spellEnd"/>
      <w:r w:rsidRPr="00346CBB">
        <w:t xml:space="preserve"> blitt 3,9 pst.</w:t>
      </w:r>
    </w:p>
    <w:p w14:paraId="53D79D3D" w14:textId="77777777" w:rsidR="003953D6" w:rsidRPr="00346CBB" w:rsidRDefault="003953D6" w:rsidP="00DA60DA">
      <w:pPr>
        <w:pStyle w:val="Note"/>
      </w:pPr>
      <w:r w:rsidRPr="00346CBB">
        <w:t xml:space="preserve">*** Effekten av avvikling av den ekstra arbeidsgiveravgiften. </w:t>
      </w:r>
    </w:p>
    <w:p w14:paraId="11B808A7" w14:textId="77777777" w:rsidR="003953D6" w:rsidRPr="00346CBB" w:rsidRDefault="003953D6" w:rsidP="00346CBB">
      <w:pPr>
        <w:pStyle w:val="Kilde"/>
      </w:pPr>
      <w:r w:rsidRPr="00346CBB">
        <w:t>Kilde: Finansdepartementet.</w:t>
      </w:r>
    </w:p>
    <w:p w14:paraId="5C3099D3" w14:textId="77777777" w:rsidR="003953D6" w:rsidRPr="00346CBB" w:rsidRDefault="003953D6" w:rsidP="00346CBB">
      <w:r w:rsidRPr="00346CBB">
        <w:t xml:space="preserve">Historisk har det vært relativt små avvik mellom budsjettert og faktisk </w:t>
      </w:r>
      <w:proofErr w:type="spellStart"/>
      <w:r w:rsidRPr="00346CBB">
        <w:t>deflator</w:t>
      </w:r>
      <w:proofErr w:type="spellEnd"/>
      <w:r w:rsidRPr="00346CBB">
        <w:t xml:space="preserve"> (kostnadsutvikling). Anslagene har bommet begge veier. I perioden 2021–2024 ble det relativt mye høyere kostnadsvekst enn lagt til grunn i budsjettforslaget. I 2023 ble </w:t>
      </w:r>
      <w:proofErr w:type="spellStart"/>
      <w:r w:rsidRPr="00346CBB">
        <w:t>budsjettdeflatoren</w:t>
      </w:r>
      <w:proofErr w:type="spellEnd"/>
      <w:r w:rsidRPr="00346CBB">
        <w:t xml:space="preserve"> økt fra 3,8 til 5,1 prosent i forbindelse med revidert nasjonalbudsjett. Dette går fram av tabell 3.</w:t>
      </w:r>
    </w:p>
    <w:p w14:paraId="4F8A2578" w14:textId="77777777" w:rsidR="003953D6" w:rsidRPr="00346CBB" w:rsidRDefault="003953D6" w:rsidP="00346CBB">
      <w:pPr>
        <w:pStyle w:val="avsnitt-undertittel"/>
        <w:rPr>
          <w:rStyle w:val="halvfet"/>
        </w:rPr>
      </w:pPr>
      <w:r w:rsidRPr="00346CBB">
        <w:lastRenderedPageBreak/>
        <w:t xml:space="preserve">Tabell 3. Utvikling i faktisk og budsjettert </w:t>
      </w:r>
      <w:proofErr w:type="spellStart"/>
      <w:r w:rsidRPr="00346CBB">
        <w:t>deflator</w:t>
      </w:r>
      <w:proofErr w:type="spellEnd"/>
      <w:r w:rsidRPr="00346CBB">
        <w:t xml:space="preserve"> for spesialisthelsetjenesten og SBED-</w:t>
      </w:r>
      <w:proofErr w:type="gramStart"/>
      <w:r w:rsidRPr="00346CBB">
        <w:t>indeksen.*</w:t>
      </w:r>
      <w:proofErr w:type="gramEnd"/>
      <w:r w:rsidRPr="00346CBB">
        <w:t xml:space="preserve"> 2015–2024.</w:t>
      </w:r>
    </w:p>
    <w:tbl>
      <w:tblPr>
        <w:tblW w:w="5000" w:type="pct"/>
        <w:tblCellMar>
          <w:left w:w="0" w:type="dxa"/>
          <w:right w:w="0" w:type="dxa"/>
        </w:tblCellMar>
        <w:tblLook w:val="0000" w:firstRow="0" w:lastRow="0" w:firstColumn="0" w:lastColumn="0" w:noHBand="0" w:noVBand="0"/>
      </w:tblPr>
      <w:tblGrid>
        <w:gridCol w:w="665"/>
        <w:gridCol w:w="1510"/>
        <w:gridCol w:w="1510"/>
        <w:gridCol w:w="1511"/>
        <w:gridCol w:w="1510"/>
        <w:gridCol w:w="1508"/>
      </w:tblGrid>
      <w:tr w:rsidR="00A4769D" w:rsidRPr="00346CBB" w14:paraId="2F898063" w14:textId="77777777" w:rsidTr="00346CBB">
        <w:trPr>
          <w:trHeight w:val="396"/>
          <w:tblHeader/>
        </w:trPr>
        <w:tc>
          <w:tcPr>
            <w:tcW w:w="40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1CC4311" w14:textId="77777777" w:rsidR="003953D6" w:rsidRPr="00346CBB" w:rsidRDefault="003953D6" w:rsidP="00C9271A">
            <w:pPr>
              <w:jc w:val="right"/>
            </w:pP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43587D2" w14:textId="77777777" w:rsidR="003953D6" w:rsidRPr="00346CBB" w:rsidRDefault="003953D6" w:rsidP="00346CBB">
            <w:pPr>
              <w:pStyle w:val="TabellHode-kolonne"/>
              <w:jc w:val="right"/>
            </w:pPr>
            <w:r w:rsidRPr="00346CBB">
              <w:t>Prisvekst kjøp av varer og tjenester</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4A82FF2" w14:textId="6D294C11" w:rsidR="003953D6" w:rsidRPr="00346CBB" w:rsidRDefault="003953D6" w:rsidP="00346CBB">
            <w:pPr>
              <w:pStyle w:val="TabellHode-kolonne"/>
              <w:jc w:val="right"/>
            </w:pPr>
            <w:r w:rsidRPr="00346CBB">
              <w:t>Lønnsvekst helseforetakene</w:t>
            </w:r>
          </w:p>
        </w:tc>
        <w:tc>
          <w:tcPr>
            <w:tcW w:w="92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34451A6" w14:textId="77777777" w:rsidR="003953D6" w:rsidRPr="00346CBB" w:rsidRDefault="003953D6" w:rsidP="00346CBB">
            <w:pPr>
              <w:pStyle w:val="TabellHode-kolonne"/>
              <w:jc w:val="right"/>
            </w:pPr>
            <w:r w:rsidRPr="00346CBB">
              <w:t xml:space="preserve">Faktisk </w:t>
            </w:r>
            <w:proofErr w:type="spellStart"/>
            <w:r w:rsidRPr="00346CBB">
              <w:t>deflator</w:t>
            </w:r>
            <w:proofErr w:type="spellEnd"/>
            <w:r w:rsidRPr="00346CBB">
              <w:t xml:space="preserve"> </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EFD1504" w14:textId="77777777" w:rsidR="003953D6" w:rsidRPr="00346CBB" w:rsidRDefault="003953D6" w:rsidP="00346CBB">
            <w:pPr>
              <w:pStyle w:val="TabellHode-kolonne"/>
              <w:jc w:val="right"/>
            </w:pPr>
            <w:r w:rsidRPr="00346CBB">
              <w:t xml:space="preserve">Budsjettert </w:t>
            </w:r>
            <w:proofErr w:type="spellStart"/>
            <w:r w:rsidRPr="00346CBB">
              <w:t>deflator</w:t>
            </w:r>
            <w:proofErr w:type="spellEnd"/>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E1BE76A" w14:textId="77777777" w:rsidR="003953D6" w:rsidRPr="00346CBB" w:rsidRDefault="003953D6" w:rsidP="00346CBB">
            <w:pPr>
              <w:pStyle w:val="TabellHode-kolonne"/>
              <w:jc w:val="right"/>
            </w:pPr>
            <w:proofErr w:type="spellStart"/>
            <w:r w:rsidRPr="00346CBB">
              <w:t>Byggekostnadsindeks</w:t>
            </w:r>
            <w:proofErr w:type="spellEnd"/>
            <w:r w:rsidRPr="00346CBB">
              <w:t xml:space="preserve"> (SBED) – årsvekst</w:t>
            </w:r>
          </w:p>
        </w:tc>
      </w:tr>
      <w:tr w:rsidR="00A4769D" w:rsidRPr="00346CBB" w14:paraId="30881EB2" w14:textId="77777777" w:rsidTr="00346CBB">
        <w:trPr>
          <w:trHeight w:val="396"/>
        </w:trPr>
        <w:tc>
          <w:tcPr>
            <w:tcW w:w="40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90F1641" w14:textId="77777777" w:rsidR="003953D6" w:rsidRPr="00346CBB" w:rsidRDefault="003953D6" w:rsidP="00346CBB">
            <w:pPr>
              <w:pStyle w:val="TabellHode-rad"/>
            </w:pPr>
            <w:r w:rsidRPr="00346CBB">
              <w:t>2015</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2D58F9B" w14:textId="77777777" w:rsidR="003953D6" w:rsidRPr="00346CBB" w:rsidRDefault="003953D6" w:rsidP="00346CBB">
            <w:pPr>
              <w:jc w:val="right"/>
            </w:pPr>
            <w:r w:rsidRPr="00346CBB">
              <w:t>1,3</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5F31EE7" w14:textId="77777777" w:rsidR="003953D6" w:rsidRPr="00346CBB" w:rsidRDefault="003953D6" w:rsidP="00346CBB">
            <w:pPr>
              <w:jc w:val="right"/>
            </w:pPr>
            <w:r w:rsidRPr="00346CBB">
              <w:t>2,8</w:t>
            </w:r>
          </w:p>
        </w:tc>
        <w:tc>
          <w:tcPr>
            <w:tcW w:w="92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AF5457B" w14:textId="77777777" w:rsidR="003953D6" w:rsidRPr="00346CBB" w:rsidRDefault="003953D6" w:rsidP="00346CBB">
            <w:pPr>
              <w:jc w:val="right"/>
            </w:pPr>
            <w:r w:rsidRPr="00346CBB">
              <w:t>2,2</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E77570D" w14:textId="77777777" w:rsidR="003953D6" w:rsidRPr="00346CBB" w:rsidRDefault="003953D6" w:rsidP="00346CBB">
            <w:pPr>
              <w:jc w:val="right"/>
            </w:pPr>
            <w:r w:rsidRPr="00346CBB">
              <w:t>3,8</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3535FA0" w14:textId="77777777" w:rsidR="003953D6" w:rsidRPr="00346CBB" w:rsidRDefault="003953D6" w:rsidP="00346CBB">
            <w:pPr>
              <w:jc w:val="right"/>
            </w:pPr>
            <w:r w:rsidRPr="00346CBB">
              <w:t>2,5</w:t>
            </w:r>
          </w:p>
        </w:tc>
      </w:tr>
      <w:tr w:rsidR="00A4769D" w:rsidRPr="00346CBB" w14:paraId="18BC5311"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10E5487" w14:textId="77777777" w:rsidR="003953D6" w:rsidRPr="00346CBB" w:rsidRDefault="003953D6" w:rsidP="00346CBB">
            <w:pPr>
              <w:pStyle w:val="TabellHode-rad"/>
            </w:pPr>
            <w:r w:rsidRPr="00346CBB">
              <w:t>2016</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DCDA2EC" w14:textId="77777777" w:rsidR="003953D6" w:rsidRPr="00346CBB" w:rsidRDefault="003953D6" w:rsidP="00346CBB">
            <w:pPr>
              <w:jc w:val="right"/>
            </w:pPr>
            <w:r w:rsidRPr="00346CBB">
              <w:t>2,0</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4F01684" w14:textId="77777777" w:rsidR="003953D6" w:rsidRPr="00346CBB" w:rsidRDefault="003953D6" w:rsidP="00346CBB">
            <w:pPr>
              <w:jc w:val="right"/>
            </w:pPr>
            <w:r w:rsidRPr="00346CBB">
              <w:t>2,3</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99CBD89" w14:textId="77777777" w:rsidR="003953D6" w:rsidRPr="00346CBB" w:rsidRDefault="003953D6" w:rsidP="00346CBB">
            <w:pPr>
              <w:jc w:val="right"/>
            </w:pPr>
            <w:r w:rsidRPr="00346CBB">
              <w:t>2,2</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D202D13" w14:textId="77777777" w:rsidR="003953D6" w:rsidRPr="00346CBB" w:rsidRDefault="003953D6" w:rsidP="00346CBB">
            <w:pPr>
              <w:jc w:val="right"/>
            </w:pPr>
            <w:r w:rsidRPr="00346CBB">
              <w:t>2,7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66E18DB" w14:textId="77777777" w:rsidR="003953D6" w:rsidRPr="00346CBB" w:rsidRDefault="003953D6" w:rsidP="00346CBB">
            <w:pPr>
              <w:jc w:val="right"/>
            </w:pPr>
            <w:r w:rsidRPr="00346CBB">
              <w:t>2,6</w:t>
            </w:r>
          </w:p>
        </w:tc>
      </w:tr>
      <w:tr w:rsidR="00A4769D" w:rsidRPr="00346CBB" w14:paraId="21B78D9D"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BCB6DEC" w14:textId="77777777" w:rsidR="003953D6" w:rsidRPr="00346CBB" w:rsidRDefault="003953D6" w:rsidP="00346CBB">
            <w:pPr>
              <w:pStyle w:val="TabellHode-rad"/>
            </w:pPr>
            <w:r w:rsidRPr="00346CBB">
              <w:t>2017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644B9CC" w14:textId="77777777" w:rsidR="003953D6" w:rsidRPr="00346CBB" w:rsidRDefault="003953D6" w:rsidP="00346CBB">
            <w:pPr>
              <w:jc w:val="right"/>
            </w:pPr>
            <w:r w:rsidRPr="00346CBB">
              <w:t>1,8</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5989063" w14:textId="77777777" w:rsidR="003953D6" w:rsidRPr="00346CBB" w:rsidRDefault="003953D6" w:rsidP="00346CBB">
            <w:pPr>
              <w:jc w:val="right"/>
            </w:pPr>
            <w:r w:rsidRPr="00346CBB">
              <w:t>3,2</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8E81888" w14:textId="77777777" w:rsidR="003953D6" w:rsidRPr="00346CBB" w:rsidRDefault="003953D6" w:rsidP="00346CBB">
            <w:pPr>
              <w:jc w:val="right"/>
            </w:pPr>
            <w:r w:rsidRPr="00346CBB">
              <w:t>2,7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B01E8D4" w14:textId="77777777" w:rsidR="003953D6" w:rsidRPr="00346CBB" w:rsidRDefault="003953D6" w:rsidP="00346CBB">
            <w:pPr>
              <w:jc w:val="right"/>
            </w:pPr>
            <w:r w:rsidRPr="00346CBB">
              <w:t>2,6</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34DFB89" w14:textId="77777777" w:rsidR="003953D6" w:rsidRPr="00346CBB" w:rsidRDefault="003953D6" w:rsidP="00346CBB">
            <w:pPr>
              <w:jc w:val="right"/>
            </w:pPr>
            <w:r w:rsidRPr="00346CBB">
              <w:t>2,9</w:t>
            </w:r>
          </w:p>
        </w:tc>
      </w:tr>
      <w:tr w:rsidR="00A4769D" w:rsidRPr="00346CBB" w14:paraId="5331E918"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9C08785" w14:textId="77777777" w:rsidR="003953D6" w:rsidRPr="00346CBB" w:rsidRDefault="003953D6" w:rsidP="00346CBB">
            <w:pPr>
              <w:pStyle w:val="TabellHode-rad"/>
            </w:pPr>
            <w:r w:rsidRPr="00346CBB">
              <w:t>2018</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A1BB7BC" w14:textId="77777777" w:rsidR="003953D6" w:rsidRPr="00346CBB" w:rsidRDefault="003953D6" w:rsidP="00346CBB">
            <w:pPr>
              <w:jc w:val="right"/>
            </w:pPr>
            <w:r w:rsidRPr="00346CBB">
              <w:t>2,3</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4646689" w14:textId="77777777" w:rsidR="003953D6" w:rsidRPr="00346CBB" w:rsidRDefault="003953D6" w:rsidP="00346CBB">
            <w:pPr>
              <w:jc w:val="right"/>
            </w:pPr>
            <w:r w:rsidRPr="00346CBB">
              <w:t>3,3</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ABE7B4B" w14:textId="77777777" w:rsidR="003953D6" w:rsidRPr="00346CBB" w:rsidRDefault="003953D6" w:rsidP="00346CBB">
            <w:pPr>
              <w:jc w:val="right"/>
            </w:pPr>
            <w:r w:rsidRPr="00346CBB">
              <w:t>2,9</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88CF12A" w14:textId="77777777" w:rsidR="003953D6" w:rsidRPr="00346CBB" w:rsidRDefault="003953D6" w:rsidP="00346CBB">
            <w:pPr>
              <w:jc w:val="right"/>
            </w:pPr>
            <w:r w:rsidRPr="00346CBB">
              <w:t>2,7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20CE173" w14:textId="77777777" w:rsidR="003953D6" w:rsidRPr="00346CBB" w:rsidRDefault="003953D6" w:rsidP="00346CBB">
            <w:pPr>
              <w:jc w:val="right"/>
            </w:pPr>
            <w:r w:rsidRPr="00346CBB">
              <w:t>3,6</w:t>
            </w:r>
          </w:p>
        </w:tc>
      </w:tr>
      <w:tr w:rsidR="00A4769D" w:rsidRPr="00346CBB" w14:paraId="2063DB4D"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CC82246" w14:textId="77777777" w:rsidR="003953D6" w:rsidRPr="00346CBB" w:rsidRDefault="003953D6" w:rsidP="00346CBB">
            <w:pPr>
              <w:pStyle w:val="TabellHode-rad"/>
            </w:pPr>
            <w:r w:rsidRPr="00346CBB">
              <w:t>2019</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4D7A820" w14:textId="77777777" w:rsidR="003953D6" w:rsidRPr="00346CBB" w:rsidRDefault="003953D6" w:rsidP="00346CBB">
            <w:pPr>
              <w:jc w:val="right"/>
            </w:pPr>
            <w:r w:rsidRPr="00346CBB">
              <w:t>2,4</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059C584" w14:textId="77777777" w:rsidR="003953D6" w:rsidRPr="00346CBB" w:rsidRDefault="003953D6" w:rsidP="00346CBB">
            <w:pPr>
              <w:jc w:val="right"/>
            </w:pPr>
            <w:r w:rsidRPr="00346CBB">
              <w:t>3,4</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EFB3663" w14:textId="77777777" w:rsidR="003953D6" w:rsidRPr="00346CBB" w:rsidRDefault="003953D6" w:rsidP="00346CBB">
            <w:pPr>
              <w:jc w:val="right"/>
            </w:pPr>
            <w:r w:rsidRPr="00346CBB">
              <w:t>3,0</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6626137" w14:textId="77777777" w:rsidR="003953D6" w:rsidRPr="00346CBB" w:rsidRDefault="003953D6" w:rsidP="00346CBB">
            <w:pPr>
              <w:jc w:val="right"/>
            </w:pPr>
            <w:r w:rsidRPr="00346CBB">
              <w:t>2,9</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7382803" w14:textId="77777777" w:rsidR="003953D6" w:rsidRPr="00346CBB" w:rsidRDefault="003953D6" w:rsidP="00346CBB">
            <w:pPr>
              <w:jc w:val="right"/>
            </w:pPr>
            <w:r w:rsidRPr="00346CBB">
              <w:t>2,7</w:t>
            </w:r>
          </w:p>
        </w:tc>
      </w:tr>
      <w:tr w:rsidR="00A4769D" w:rsidRPr="00346CBB" w14:paraId="520A8164"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1E0D524" w14:textId="77777777" w:rsidR="003953D6" w:rsidRPr="00346CBB" w:rsidRDefault="003953D6" w:rsidP="00346CBB">
            <w:pPr>
              <w:pStyle w:val="TabellHode-rad"/>
            </w:pPr>
            <w:r w:rsidRPr="00346CBB">
              <w:t>2020</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95D9A73" w14:textId="77777777" w:rsidR="003953D6" w:rsidRPr="00346CBB" w:rsidRDefault="003953D6" w:rsidP="00346CBB">
            <w:pPr>
              <w:jc w:val="right"/>
            </w:pPr>
            <w:r w:rsidRPr="00346CBB">
              <w:t>1,6</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6FAF57C" w14:textId="77777777" w:rsidR="003953D6" w:rsidRPr="00346CBB" w:rsidRDefault="003953D6" w:rsidP="00346CBB">
            <w:pPr>
              <w:jc w:val="right"/>
            </w:pPr>
            <w:r w:rsidRPr="00346CBB">
              <w:t>1,6</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4A8695E" w14:textId="77777777" w:rsidR="003953D6" w:rsidRPr="00346CBB" w:rsidRDefault="003953D6" w:rsidP="00346CBB">
            <w:pPr>
              <w:jc w:val="right"/>
            </w:pPr>
            <w:r w:rsidRPr="00346CBB">
              <w:t>1,6</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BDF1463" w14:textId="77777777" w:rsidR="003953D6" w:rsidRPr="00346CBB" w:rsidRDefault="003953D6" w:rsidP="00346CBB">
            <w:pPr>
              <w:jc w:val="right"/>
            </w:pPr>
            <w:r w:rsidRPr="00346CBB">
              <w:t>3,1</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81E009F" w14:textId="77777777" w:rsidR="003953D6" w:rsidRPr="00346CBB" w:rsidRDefault="003953D6" w:rsidP="00346CBB">
            <w:pPr>
              <w:jc w:val="right"/>
            </w:pPr>
            <w:r w:rsidRPr="00346CBB">
              <w:t>2,5</w:t>
            </w:r>
          </w:p>
        </w:tc>
      </w:tr>
      <w:tr w:rsidR="00A4769D" w:rsidRPr="00346CBB" w14:paraId="3C70138F"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812CAEB" w14:textId="77777777" w:rsidR="003953D6" w:rsidRPr="00346CBB" w:rsidRDefault="003953D6" w:rsidP="00346CBB">
            <w:pPr>
              <w:pStyle w:val="TabellHode-rad"/>
            </w:pPr>
            <w:r w:rsidRPr="00346CBB">
              <w:t>2021</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3FF814D" w14:textId="77777777" w:rsidR="003953D6" w:rsidRPr="00346CBB" w:rsidRDefault="003953D6" w:rsidP="00346CBB">
            <w:pPr>
              <w:jc w:val="right"/>
            </w:pPr>
            <w:r w:rsidRPr="00346CBB">
              <w:t>2,8</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C10180C" w14:textId="77777777" w:rsidR="003953D6" w:rsidRPr="00346CBB" w:rsidRDefault="003953D6" w:rsidP="00346CBB">
            <w:pPr>
              <w:jc w:val="right"/>
            </w:pPr>
            <w:r w:rsidRPr="00346CBB">
              <w:t>3,8</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0778397" w14:textId="77777777" w:rsidR="003953D6" w:rsidRPr="00346CBB" w:rsidRDefault="003953D6" w:rsidP="00346CBB">
            <w:pPr>
              <w:jc w:val="right"/>
            </w:pPr>
            <w:r w:rsidRPr="00346CBB">
              <w:t>3,4</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3FFFBD1" w14:textId="77777777" w:rsidR="003953D6" w:rsidRPr="00346CBB" w:rsidRDefault="003953D6" w:rsidP="00346CBB">
            <w:pPr>
              <w:jc w:val="right"/>
            </w:pPr>
            <w:r w:rsidRPr="00346CBB">
              <w:t>2,6</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E6C511A" w14:textId="77777777" w:rsidR="003953D6" w:rsidRPr="00346CBB" w:rsidRDefault="003953D6" w:rsidP="00346CBB">
            <w:pPr>
              <w:jc w:val="right"/>
            </w:pPr>
            <w:r w:rsidRPr="00346CBB">
              <w:t>6,2</w:t>
            </w:r>
          </w:p>
        </w:tc>
      </w:tr>
      <w:tr w:rsidR="00A4769D" w:rsidRPr="00346CBB" w14:paraId="06B20E2E"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2AB28DF" w14:textId="77777777" w:rsidR="003953D6" w:rsidRPr="00346CBB" w:rsidRDefault="003953D6" w:rsidP="00346CBB">
            <w:pPr>
              <w:pStyle w:val="TabellHode-rad"/>
            </w:pPr>
            <w:r w:rsidRPr="00346CBB">
              <w:t>2022</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B4BB745" w14:textId="77777777" w:rsidR="003953D6" w:rsidRPr="00346CBB" w:rsidRDefault="003953D6" w:rsidP="00346CBB">
            <w:pPr>
              <w:jc w:val="right"/>
            </w:pPr>
            <w:r w:rsidRPr="00346CBB">
              <w:t>5,9</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2C2BE1D" w14:textId="77777777" w:rsidR="003953D6" w:rsidRPr="00346CBB" w:rsidRDefault="003953D6" w:rsidP="00346CBB">
            <w:pPr>
              <w:jc w:val="right"/>
            </w:pPr>
            <w:r w:rsidRPr="00346CBB">
              <w:t>4,5</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40435AE" w14:textId="77777777" w:rsidR="003953D6" w:rsidRPr="00346CBB" w:rsidRDefault="003953D6" w:rsidP="00346CBB">
            <w:pPr>
              <w:jc w:val="right"/>
            </w:pPr>
            <w:r w:rsidRPr="00346CBB">
              <w:t>5,1</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08C1135" w14:textId="77777777" w:rsidR="003953D6" w:rsidRPr="00346CBB" w:rsidRDefault="003953D6" w:rsidP="00346CBB">
            <w:pPr>
              <w:jc w:val="right"/>
            </w:pPr>
            <w:r w:rsidRPr="00346CBB">
              <w:t>2,7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87CCC30" w14:textId="77777777" w:rsidR="003953D6" w:rsidRPr="00346CBB" w:rsidRDefault="003953D6" w:rsidP="00346CBB">
            <w:pPr>
              <w:jc w:val="right"/>
            </w:pPr>
            <w:r w:rsidRPr="00346CBB">
              <w:t>7,2</w:t>
            </w:r>
          </w:p>
        </w:tc>
      </w:tr>
      <w:tr w:rsidR="00A4769D" w:rsidRPr="00346CBB" w14:paraId="385BA5D2"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7D6B74A" w14:textId="77777777" w:rsidR="003953D6" w:rsidRPr="00346CBB" w:rsidRDefault="003953D6" w:rsidP="00346CBB">
            <w:pPr>
              <w:pStyle w:val="TabellHode-rad"/>
            </w:pPr>
            <w:r w:rsidRPr="00346CBB">
              <w:t>2023</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3427966" w14:textId="77777777" w:rsidR="003953D6" w:rsidRPr="00346CBB" w:rsidRDefault="003953D6" w:rsidP="00346CBB">
            <w:pPr>
              <w:jc w:val="right"/>
            </w:pPr>
            <w:r w:rsidRPr="00346CBB">
              <w:t>4,7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8380251" w14:textId="77777777" w:rsidR="003953D6" w:rsidRPr="00346CBB" w:rsidRDefault="003953D6" w:rsidP="00346CBB">
            <w:pPr>
              <w:jc w:val="right"/>
            </w:pPr>
            <w:r w:rsidRPr="00346CBB">
              <w:t>6,3</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7BDA31D" w14:textId="77777777" w:rsidR="003953D6" w:rsidRPr="00346CBB" w:rsidRDefault="003953D6" w:rsidP="00346CBB">
            <w:pPr>
              <w:jc w:val="right"/>
            </w:pPr>
            <w:r w:rsidRPr="00346CBB">
              <w:t>5,6</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127572B" w14:textId="77777777" w:rsidR="003953D6" w:rsidRPr="00346CBB" w:rsidRDefault="003953D6" w:rsidP="00346CBB">
            <w:pPr>
              <w:jc w:val="right"/>
            </w:pPr>
            <w:r w:rsidRPr="00346CBB">
              <w:t>3,8 og 5,1 i RNB2023</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D47D8F9" w14:textId="77777777" w:rsidR="003953D6" w:rsidRPr="00346CBB" w:rsidRDefault="003953D6" w:rsidP="00346CBB">
            <w:pPr>
              <w:jc w:val="right"/>
            </w:pPr>
            <w:r w:rsidRPr="00346CBB">
              <w:t>5,0</w:t>
            </w:r>
          </w:p>
        </w:tc>
      </w:tr>
      <w:tr w:rsidR="00A4769D" w:rsidRPr="00346CBB" w14:paraId="36F784CF"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EF52934" w14:textId="77777777" w:rsidR="003953D6" w:rsidRPr="00346CBB" w:rsidRDefault="003953D6" w:rsidP="00346CBB">
            <w:pPr>
              <w:pStyle w:val="TabellHode-rad"/>
            </w:pPr>
            <w:r w:rsidRPr="00346CBB">
              <w:t>2024</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E3A8769" w14:textId="77777777" w:rsidR="003953D6" w:rsidRPr="00346CBB" w:rsidRDefault="003953D6" w:rsidP="00346CBB">
            <w:pPr>
              <w:jc w:val="right"/>
            </w:pPr>
            <w:r w:rsidRPr="00346CBB">
              <w:t>3,4</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669809D" w14:textId="77777777" w:rsidR="003953D6" w:rsidRPr="00346CBB" w:rsidRDefault="003953D6" w:rsidP="00346CBB">
            <w:pPr>
              <w:jc w:val="right"/>
            </w:pPr>
            <w:r w:rsidRPr="00346CBB">
              <w:t>5,6</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877ED16" w14:textId="77777777" w:rsidR="003953D6" w:rsidRPr="00346CBB" w:rsidRDefault="003953D6" w:rsidP="00346CBB">
            <w:pPr>
              <w:jc w:val="right"/>
            </w:pPr>
            <w:r w:rsidRPr="00346CBB">
              <w:t>4,6</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BCF4E1E" w14:textId="77777777" w:rsidR="003953D6" w:rsidRPr="00346CBB" w:rsidRDefault="003953D6" w:rsidP="00346CBB">
            <w:pPr>
              <w:jc w:val="right"/>
            </w:pPr>
            <w:r w:rsidRPr="00346CBB">
              <w:t>4,3</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AF4A8AC" w14:textId="77777777" w:rsidR="003953D6" w:rsidRPr="00346CBB" w:rsidRDefault="003953D6" w:rsidP="00346CBB">
            <w:pPr>
              <w:jc w:val="right"/>
            </w:pPr>
            <w:r w:rsidRPr="00346CBB">
              <w:t>3,5</w:t>
            </w:r>
          </w:p>
        </w:tc>
      </w:tr>
    </w:tbl>
    <w:p w14:paraId="50AEC720" w14:textId="77777777" w:rsidR="003953D6" w:rsidRPr="00346CBB" w:rsidRDefault="003953D6" w:rsidP="00C9271A">
      <w:pPr>
        <w:jc w:val="right"/>
      </w:pPr>
    </w:p>
    <w:p w14:paraId="5C19ECDE" w14:textId="77777777" w:rsidR="003953D6" w:rsidRPr="00346CBB" w:rsidRDefault="003953D6" w:rsidP="00346CBB">
      <w:pPr>
        <w:pStyle w:val="Kilde"/>
      </w:pPr>
      <w:r w:rsidRPr="00346CBB">
        <w:t xml:space="preserve">* Statens bygge- og eiendomsdirektorat (SBED). Indeks som beregnes av Statsbygg på grunnlag av tall fra SSB, og som legges til grunn for alle byggeprosjekter i regi av Statsbygg. Indeksen tar utgangspunkt i </w:t>
      </w:r>
      <w:proofErr w:type="spellStart"/>
      <w:r w:rsidRPr="00346CBB">
        <w:t>byggekostnadsindeksen</w:t>
      </w:r>
      <w:proofErr w:type="spellEnd"/>
      <w:r w:rsidRPr="00346CBB">
        <w:t xml:space="preserve"> for boligblokk. </w:t>
      </w:r>
    </w:p>
    <w:p w14:paraId="69A0DD1C" w14:textId="77777777" w:rsidR="003953D6" w:rsidRPr="00346CBB" w:rsidRDefault="003953D6" w:rsidP="00346CBB">
      <w:pPr>
        <w:pStyle w:val="Kilde"/>
      </w:pPr>
      <w:r w:rsidRPr="00346CBB">
        <w:lastRenderedPageBreak/>
        <w:t>Kilde: Finansdepartementet.</w:t>
      </w:r>
    </w:p>
    <w:p w14:paraId="5B4F5A8E" w14:textId="77777777" w:rsidR="003953D6" w:rsidRPr="00346CBB" w:rsidRDefault="003953D6" w:rsidP="00346CBB">
      <w:r w:rsidRPr="00346CBB">
        <w:t xml:space="preserve">Figur 2 viser </w:t>
      </w:r>
      <w:proofErr w:type="spellStart"/>
      <w:r w:rsidRPr="00346CBB">
        <w:t>deflatoren</w:t>
      </w:r>
      <w:proofErr w:type="spellEnd"/>
      <w:r w:rsidRPr="00346CBB">
        <w:t xml:space="preserve"> for spesialisthelsetjenesten sammenlignet med kommunal </w:t>
      </w:r>
      <w:proofErr w:type="spellStart"/>
      <w:r w:rsidRPr="00346CBB">
        <w:t>deflator</w:t>
      </w:r>
      <w:proofErr w:type="spellEnd"/>
      <w:r w:rsidRPr="00346CBB">
        <w:t xml:space="preserve"> i perioden 2015–2024. Hovedforskjellen mellom </w:t>
      </w:r>
      <w:proofErr w:type="spellStart"/>
      <w:r w:rsidRPr="00346CBB">
        <w:t>deflatorene</w:t>
      </w:r>
      <w:proofErr w:type="spellEnd"/>
      <w:r w:rsidRPr="00346CBB">
        <w:t xml:space="preserve"> fra år til år er ulik lønnsvekst og ulik behandling av pensjonskostnader og investeringer. I motsetning til </w:t>
      </w:r>
      <w:proofErr w:type="spellStart"/>
      <w:r w:rsidRPr="00346CBB">
        <w:t>deflatoren</w:t>
      </w:r>
      <w:proofErr w:type="spellEnd"/>
      <w:r w:rsidRPr="00346CBB">
        <w:t xml:space="preserve"> for spesialisthelsetjenesten, inkluderer kommunal </w:t>
      </w:r>
      <w:proofErr w:type="spellStart"/>
      <w:r w:rsidRPr="00346CBB">
        <w:t>deflator</w:t>
      </w:r>
      <w:proofErr w:type="spellEnd"/>
      <w:r w:rsidRPr="00346CBB">
        <w:t xml:space="preserve"> pensjonskostnader. Over tid er det relativt moderate forskjeller mellom </w:t>
      </w:r>
      <w:proofErr w:type="spellStart"/>
      <w:r w:rsidRPr="00346CBB">
        <w:t>deflatorene</w:t>
      </w:r>
      <w:proofErr w:type="spellEnd"/>
      <w:r w:rsidRPr="00346CBB">
        <w:t>, med unntak av 2021–2023 hvor blant annet særlig store variasjoner i strømprisene bidrar til en forskjell.</w:t>
      </w:r>
    </w:p>
    <w:p w14:paraId="0E51DC32" w14:textId="483ADD34" w:rsidR="003953D6" w:rsidRPr="00346CBB" w:rsidRDefault="00DA60DA" w:rsidP="00346CBB">
      <w:r>
        <w:rPr>
          <w:noProof/>
        </w:rPr>
        <w:drawing>
          <wp:inline distT="0" distB="0" distL="0" distR="0" wp14:anchorId="7D8C472E" wp14:editId="69335B70">
            <wp:extent cx="5210175" cy="2872740"/>
            <wp:effectExtent l="0" t="0" r="9525" b="3810"/>
            <wp:docPr id="773122766" name="Bilde 9" descr="Linje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122766" name="Bilde 9" descr="Linjediagram"/>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0175" cy="2872740"/>
                    </a:xfrm>
                    <a:prstGeom prst="rect">
                      <a:avLst/>
                    </a:prstGeom>
                    <a:noFill/>
                    <a:ln>
                      <a:noFill/>
                    </a:ln>
                  </pic:spPr>
                </pic:pic>
              </a:graphicData>
            </a:graphic>
          </wp:inline>
        </w:drawing>
      </w:r>
    </w:p>
    <w:p w14:paraId="75791F23" w14:textId="77777777" w:rsidR="003953D6" w:rsidRPr="00346CBB" w:rsidRDefault="003953D6" w:rsidP="00346CBB">
      <w:pPr>
        <w:pStyle w:val="avsnitt-undertittel"/>
        <w:rPr>
          <w:rStyle w:val="halvfet"/>
        </w:rPr>
      </w:pPr>
      <w:r w:rsidRPr="00346CBB">
        <w:t xml:space="preserve">Figur 2. </w:t>
      </w:r>
      <w:proofErr w:type="spellStart"/>
      <w:r w:rsidRPr="00346CBB">
        <w:t>Deflator</w:t>
      </w:r>
      <w:proofErr w:type="spellEnd"/>
      <w:r w:rsidRPr="00346CBB">
        <w:t xml:space="preserve"> for spesialisthelsetjenesten og kommunal </w:t>
      </w:r>
      <w:proofErr w:type="spellStart"/>
      <w:r w:rsidRPr="00346CBB">
        <w:t>deflator</w:t>
      </w:r>
      <w:proofErr w:type="spellEnd"/>
      <w:r w:rsidRPr="00346CBB">
        <w:t>. Historisk beregning for 2014–2024, anslag for 2025. Prosent.</w:t>
      </w:r>
    </w:p>
    <w:p w14:paraId="42AC6BAA" w14:textId="77777777" w:rsidR="003953D6" w:rsidRPr="00346CBB" w:rsidRDefault="003953D6" w:rsidP="00346CBB">
      <w:pPr>
        <w:pStyle w:val="Kilde"/>
      </w:pPr>
      <w:r w:rsidRPr="00346CBB">
        <w:t>Kilde: Finansdepartementet.</w:t>
      </w:r>
    </w:p>
    <w:p w14:paraId="6BAB2C9A" w14:textId="77777777" w:rsidR="003953D6" w:rsidRPr="00346CBB" w:rsidRDefault="003953D6" w:rsidP="00346CBB">
      <w:pPr>
        <w:pStyle w:val="avsnitt-undertittel"/>
        <w:rPr>
          <w:rStyle w:val="halvfet"/>
        </w:rPr>
      </w:pPr>
      <w:r w:rsidRPr="00346CBB">
        <w:t xml:space="preserve">Tabell 4. Sammenligning av </w:t>
      </w:r>
      <w:proofErr w:type="spellStart"/>
      <w:r w:rsidRPr="00346CBB">
        <w:t>deflator</w:t>
      </w:r>
      <w:proofErr w:type="spellEnd"/>
      <w:r w:rsidRPr="00346CBB">
        <w:t xml:space="preserve"> for spesialisthelsetjenesten og kommunal </w:t>
      </w:r>
      <w:proofErr w:type="spellStart"/>
      <w:r w:rsidRPr="00346CBB">
        <w:t>deflator</w:t>
      </w:r>
      <w:proofErr w:type="spellEnd"/>
      <w:r w:rsidRPr="00346CBB">
        <w:t>. 2018–2025</w:t>
      </w:r>
    </w:p>
    <w:tbl>
      <w:tblPr>
        <w:tblW w:w="5000" w:type="pct"/>
        <w:tblCellMar>
          <w:left w:w="0" w:type="dxa"/>
          <w:right w:w="0" w:type="dxa"/>
        </w:tblCellMar>
        <w:tblLook w:val="0000" w:firstRow="0" w:lastRow="0" w:firstColumn="0" w:lastColumn="0" w:noHBand="0" w:noVBand="0"/>
      </w:tblPr>
      <w:tblGrid>
        <w:gridCol w:w="1851"/>
        <w:gridCol w:w="725"/>
        <w:gridCol w:w="726"/>
        <w:gridCol w:w="724"/>
        <w:gridCol w:w="724"/>
        <w:gridCol w:w="726"/>
        <w:gridCol w:w="1288"/>
        <w:gridCol w:w="724"/>
        <w:gridCol w:w="726"/>
      </w:tblGrid>
      <w:tr w:rsidR="00A4769D" w:rsidRPr="00346CBB" w14:paraId="616B2190" w14:textId="77777777" w:rsidTr="00346CBB">
        <w:trPr>
          <w:trHeight w:val="396"/>
          <w:tblHeader/>
        </w:trPr>
        <w:tc>
          <w:tcPr>
            <w:tcW w:w="1126"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0DAF39A" w14:textId="77777777" w:rsidR="003953D6" w:rsidRPr="00346CBB" w:rsidRDefault="003953D6" w:rsidP="00C9271A">
            <w:pPr>
              <w:jc w:val="right"/>
            </w:pPr>
          </w:p>
        </w:tc>
        <w:tc>
          <w:tcPr>
            <w:tcW w:w="44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AC024E7" w14:textId="77777777" w:rsidR="003953D6" w:rsidRPr="00346CBB" w:rsidRDefault="003953D6" w:rsidP="00346CBB">
            <w:pPr>
              <w:pStyle w:val="TabellHode-kolonne"/>
              <w:jc w:val="right"/>
            </w:pPr>
            <w:r w:rsidRPr="00346CBB">
              <w:t>2018</w:t>
            </w:r>
          </w:p>
        </w:tc>
        <w:tc>
          <w:tcPr>
            <w:tcW w:w="442"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854701D" w14:textId="77777777" w:rsidR="003953D6" w:rsidRPr="00346CBB" w:rsidRDefault="003953D6" w:rsidP="00346CBB">
            <w:pPr>
              <w:pStyle w:val="TabellHode-kolonne"/>
              <w:jc w:val="right"/>
            </w:pPr>
            <w:r w:rsidRPr="00346CBB">
              <w:t>2019</w:t>
            </w:r>
          </w:p>
        </w:tc>
        <w:tc>
          <w:tcPr>
            <w:tcW w:w="44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A5DB2DF" w14:textId="77777777" w:rsidR="003953D6" w:rsidRPr="00346CBB" w:rsidRDefault="003953D6" w:rsidP="00346CBB">
            <w:pPr>
              <w:pStyle w:val="TabellHode-kolonne"/>
              <w:jc w:val="right"/>
            </w:pPr>
            <w:r w:rsidRPr="00346CBB">
              <w:t>2020</w:t>
            </w:r>
          </w:p>
        </w:tc>
        <w:tc>
          <w:tcPr>
            <w:tcW w:w="44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7A3E08A" w14:textId="77777777" w:rsidR="003953D6" w:rsidRPr="00346CBB" w:rsidRDefault="003953D6" w:rsidP="00346CBB">
            <w:pPr>
              <w:pStyle w:val="TabellHode-kolonne"/>
              <w:jc w:val="right"/>
            </w:pPr>
            <w:r w:rsidRPr="00346CBB">
              <w:t>2021</w:t>
            </w:r>
          </w:p>
        </w:tc>
        <w:tc>
          <w:tcPr>
            <w:tcW w:w="442"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4E9EB92" w14:textId="77777777" w:rsidR="003953D6" w:rsidRPr="00346CBB" w:rsidRDefault="003953D6" w:rsidP="00346CBB">
            <w:pPr>
              <w:pStyle w:val="TabellHode-kolonne"/>
              <w:jc w:val="right"/>
            </w:pPr>
            <w:r w:rsidRPr="00346CBB">
              <w:t>2022</w:t>
            </w:r>
          </w:p>
        </w:tc>
        <w:tc>
          <w:tcPr>
            <w:tcW w:w="784"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CFF06EB" w14:textId="77777777" w:rsidR="003953D6" w:rsidRPr="00346CBB" w:rsidRDefault="003953D6" w:rsidP="00346CBB">
            <w:pPr>
              <w:pStyle w:val="TabellHode-kolonne"/>
              <w:jc w:val="right"/>
            </w:pPr>
            <w:r w:rsidRPr="00346CBB">
              <w:t>2023*</w:t>
            </w:r>
          </w:p>
        </w:tc>
        <w:tc>
          <w:tcPr>
            <w:tcW w:w="44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EB95F22" w14:textId="77777777" w:rsidR="003953D6" w:rsidRPr="00346CBB" w:rsidRDefault="003953D6" w:rsidP="00346CBB">
            <w:pPr>
              <w:pStyle w:val="TabellHode-kolonne"/>
              <w:jc w:val="right"/>
            </w:pPr>
            <w:r w:rsidRPr="00346CBB">
              <w:t>2024</w:t>
            </w:r>
          </w:p>
        </w:tc>
        <w:tc>
          <w:tcPr>
            <w:tcW w:w="442"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8835545" w14:textId="77777777" w:rsidR="003953D6" w:rsidRPr="00346CBB" w:rsidRDefault="003953D6" w:rsidP="00346CBB">
            <w:pPr>
              <w:pStyle w:val="TabellHode-kolonne"/>
              <w:jc w:val="right"/>
            </w:pPr>
            <w:r w:rsidRPr="00346CBB">
              <w:t>2025</w:t>
            </w:r>
          </w:p>
        </w:tc>
      </w:tr>
      <w:tr w:rsidR="00A4769D" w:rsidRPr="00346CBB" w14:paraId="6E388546" w14:textId="77777777" w:rsidTr="00346CBB">
        <w:trPr>
          <w:trHeight w:val="396"/>
        </w:trPr>
        <w:tc>
          <w:tcPr>
            <w:tcW w:w="1126"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5F387EC" w14:textId="77777777" w:rsidR="003953D6" w:rsidRPr="00346CBB" w:rsidRDefault="003953D6" w:rsidP="00346CBB">
            <w:pPr>
              <w:pStyle w:val="TabellHode-rad"/>
            </w:pPr>
            <w:r w:rsidRPr="00346CBB">
              <w:t xml:space="preserve">Anslag i Prop. 1 S for år t </w:t>
            </w:r>
            <w:r w:rsidRPr="00346CBB">
              <w:lastRenderedPageBreak/>
              <w:t>spesialisthelsetjenesten</w:t>
            </w:r>
          </w:p>
        </w:tc>
        <w:tc>
          <w:tcPr>
            <w:tcW w:w="44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AB2572E" w14:textId="77777777" w:rsidR="003953D6" w:rsidRPr="00346CBB" w:rsidRDefault="003953D6" w:rsidP="00346CBB">
            <w:pPr>
              <w:jc w:val="right"/>
            </w:pPr>
            <w:r w:rsidRPr="00346CBB">
              <w:lastRenderedPageBreak/>
              <w:t>2,7</w:t>
            </w:r>
          </w:p>
        </w:tc>
        <w:tc>
          <w:tcPr>
            <w:tcW w:w="442"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6C74F83" w14:textId="77777777" w:rsidR="003953D6" w:rsidRPr="00346CBB" w:rsidRDefault="003953D6" w:rsidP="00346CBB">
            <w:pPr>
              <w:jc w:val="right"/>
            </w:pPr>
            <w:r w:rsidRPr="00346CBB">
              <w:t>2,9</w:t>
            </w:r>
          </w:p>
        </w:tc>
        <w:tc>
          <w:tcPr>
            <w:tcW w:w="44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742193A" w14:textId="77777777" w:rsidR="003953D6" w:rsidRPr="00346CBB" w:rsidRDefault="003953D6" w:rsidP="00346CBB">
            <w:pPr>
              <w:jc w:val="right"/>
            </w:pPr>
            <w:r w:rsidRPr="00346CBB">
              <w:t>3,1</w:t>
            </w:r>
          </w:p>
        </w:tc>
        <w:tc>
          <w:tcPr>
            <w:tcW w:w="44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DCE883B" w14:textId="77777777" w:rsidR="003953D6" w:rsidRPr="00346CBB" w:rsidRDefault="003953D6" w:rsidP="00346CBB">
            <w:pPr>
              <w:jc w:val="right"/>
            </w:pPr>
            <w:r w:rsidRPr="00346CBB">
              <w:t>2,6</w:t>
            </w:r>
          </w:p>
        </w:tc>
        <w:tc>
          <w:tcPr>
            <w:tcW w:w="442"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74D282F" w14:textId="77777777" w:rsidR="003953D6" w:rsidRPr="00346CBB" w:rsidRDefault="003953D6" w:rsidP="00346CBB">
            <w:pPr>
              <w:jc w:val="right"/>
            </w:pPr>
            <w:r w:rsidRPr="00346CBB">
              <w:t>2,7</w:t>
            </w:r>
          </w:p>
        </w:tc>
        <w:tc>
          <w:tcPr>
            <w:tcW w:w="784"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60B6A5E" w14:textId="77777777" w:rsidR="003953D6" w:rsidRPr="00346CBB" w:rsidRDefault="003953D6" w:rsidP="00346CBB">
            <w:pPr>
              <w:jc w:val="right"/>
            </w:pPr>
            <w:r w:rsidRPr="00346CBB">
              <w:t>3,8 og 5,1 i RNB2023</w:t>
            </w:r>
          </w:p>
        </w:tc>
        <w:tc>
          <w:tcPr>
            <w:tcW w:w="44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EFC6314" w14:textId="77777777" w:rsidR="003953D6" w:rsidRPr="00346CBB" w:rsidRDefault="003953D6" w:rsidP="00346CBB">
            <w:pPr>
              <w:jc w:val="right"/>
            </w:pPr>
            <w:r w:rsidRPr="00346CBB">
              <w:t>4,3</w:t>
            </w:r>
          </w:p>
        </w:tc>
        <w:tc>
          <w:tcPr>
            <w:tcW w:w="442"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371C251" w14:textId="77777777" w:rsidR="003953D6" w:rsidRPr="00346CBB" w:rsidRDefault="003953D6" w:rsidP="00346CBB">
            <w:pPr>
              <w:jc w:val="right"/>
            </w:pPr>
            <w:r w:rsidRPr="00346CBB">
              <w:t>4,1</w:t>
            </w:r>
          </w:p>
        </w:tc>
      </w:tr>
      <w:tr w:rsidR="00A4769D" w:rsidRPr="00346CBB" w14:paraId="1024A4CF" w14:textId="77777777" w:rsidTr="00346CBB">
        <w:trPr>
          <w:trHeight w:val="396"/>
        </w:trPr>
        <w:tc>
          <w:tcPr>
            <w:tcW w:w="112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95DC558" w14:textId="645820CF" w:rsidR="003953D6" w:rsidRPr="00346CBB" w:rsidRDefault="003953D6" w:rsidP="00346CBB">
            <w:pPr>
              <w:pStyle w:val="TabellHode-rad"/>
            </w:pPr>
            <w:r w:rsidRPr="00346CBB">
              <w:t xml:space="preserve">Faktisk </w:t>
            </w:r>
            <w:proofErr w:type="spellStart"/>
            <w:r w:rsidRPr="00346CBB">
              <w:t>deflator</w:t>
            </w:r>
            <w:proofErr w:type="spellEnd"/>
            <w:r w:rsidRPr="00346CBB">
              <w:t xml:space="preserve"> spesialisthelsetjenesten </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D687EA2" w14:textId="77777777" w:rsidR="003953D6" w:rsidRPr="00346CBB" w:rsidRDefault="003953D6" w:rsidP="00346CBB">
            <w:pPr>
              <w:jc w:val="right"/>
            </w:pPr>
            <w:r w:rsidRPr="00346CBB">
              <w:t>2,9</w:t>
            </w:r>
          </w:p>
        </w:tc>
        <w:tc>
          <w:tcPr>
            <w:tcW w:w="44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CCEF97F" w14:textId="77777777" w:rsidR="003953D6" w:rsidRPr="00346CBB" w:rsidRDefault="003953D6" w:rsidP="00346CBB">
            <w:pPr>
              <w:jc w:val="right"/>
            </w:pPr>
            <w:r w:rsidRPr="00346CBB">
              <w:t>3,0</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B4665AA" w14:textId="77777777" w:rsidR="003953D6" w:rsidRPr="00346CBB" w:rsidRDefault="003953D6" w:rsidP="00346CBB">
            <w:pPr>
              <w:jc w:val="right"/>
            </w:pPr>
            <w:r w:rsidRPr="00346CBB">
              <w:t>1,6</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6B6ED25" w14:textId="77777777" w:rsidR="003953D6" w:rsidRPr="00346CBB" w:rsidRDefault="003953D6" w:rsidP="00346CBB">
            <w:pPr>
              <w:jc w:val="right"/>
            </w:pPr>
            <w:r w:rsidRPr="00346CBB">
              <w:t>3,4</w:t>
            </w:r>
          </w:p>
        </w:tc>
        <w:tc>
          <w:tcPr>
            <w:tcW w:w="44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2B47BBB" w14:textId="77777777" w:rsidR="003953D6" w:rsidRPr="00346CBB" w:rsidRDefault="003953D6" w:rsidP="00346CBB">
            <w:pPr>
              <w:jc w:val="right"/>
            </w:pPr>
            <w:r w:rsidRPr="00346CBB">
              <w:t>5,1</w:t>
            </w:r>
          </w:p>
        </w:tc>
        <w:tc>
          <w:tcPr>
            <w:tcW w:w="78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0FBA639" w14:textId="77777777" w:rsidR="003953D6" w:rsidRPr="00346CBB" w:rsidRDefault="003953D6" w:rsidP="00346CBB">
            <w:pPr>
              <w:jc w:val="right"/>
            </w:pPr>
            <w:r w:rsidRPr="00346CBB">
              <w:t>5,6</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124CB20" w14:textId="77777777" w:rsidR="003953D6" w:rsidRPr="00346CBB" w:rsidRDefault="003953D6" w:rsidP="00346CBB">
            <w:pPr>
              <w:jc w:val="right"/>
            </w:pPr>
            <w:r w:rsidRPr="00346CBB">
              <w:t>4,6</w:t>
            </w:r>
          </w:p>
        </w:tc>
        <w:tc>
          <w:tcPr>
            <w:tcW w:w="44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B914C2F" w14:textId="77777777" w:rsidR="003953D6" w:rsidRPr="00346CBB" w:rsidRDefault="003953D6" w:rsidP="00346CBB">
            <w:pPr>
              <w:jc w:val="right"/>
            </w:pPr>
            <w:r w:rsidRPr="00346CBB">
              <w:t xml:space="preserve"> </w:t>
            </w:r>
          </w:p>
        </w:tc>
      </w:tr>
      <w:tr w:rsidR="00A4769D" w:rsidRPr="00346CBB" w14:paraId="5E36D3F7" w14:textId="77777777" w:rsidTr="00346CBB">
        <w:trPr>
          <w:trHeight w:val="396"/>
        </w:trPr>
        <w:tc>
          <w:tcPr>
            <w:tcW w:w="112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8D35045" w14:textId="77777777" w:rsidR="003953D6" w:rsidRPr="00346CBB" w:rsidRDefault="003953D6" w:rsidP="00346CBB">
            <w:pPr>
              <w:pStyle w:val="TabellHode-rad"/>
            </w:pPr>
            <w:r w:rsidRPr="00346CBB">
              <w:t>Anslag i Prop. 1 S for år t kommune</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DBB5451" w14:textId="77777777" w:rsidR="003953D6" w:rsidRPr="00346CBB" w:rsidRDefault="003953D6" w:rsidP="00346CBB">
            <w:pPr>
              <w:jc w:val="right"/>
            </w:pPr>
            <w:r w:rsidRPr="00346CBB">
              <w:t>2,6</w:t>
            </w:r>
          </w:p>
        </w:tc>
        <w:tc>
          <w:tcPr>
            <w:tcW w:w="44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69E5475" w14:textId="77777777" w:rsidR="003953D6" w:rsidRPr="00346CBB" w:rsidRDefault="003953D6" w:rsidP="00346CBB">
            <w:pPr>
              <w:jc w:val="right"/>
            </w:pPr>
            <w:r w:rsidRPr="00346CBB">
              <w:t xml:space="preserve">2,8 </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31AECB6" w14:textId="77777777" w:rsidR="003953D6" w:rsidRPr="00346CBB" w:rsidRDefault="003953D6" w:rsidP="00346CBB">
            <w:pPr>
              <w:jc w:val="right"/>
            </w:pPr>
            <w:r w:rsidRPr="00346CBB">
              <w:t xml:space="preserve">3,1 </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AF7E4A7" w14:textId="77777777" w:rsidR="003953D6" w:rsidRPr="00346CBB" w:rsidRDefault="003953D6" w:rsidP="00346CBB">
            <w:pPr>
              <w:jc w:val="right"/>
            </w:pPr>
            <w:r w:rsidRPr="00346CBB">
              <w:t xml:space="preserve">2,7 </w:t>
            </w:r>
          </w:p>
        </w:tc>
        <w:tc>
          <w:tcPr>
            <w:tcW w:w="44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30B88AD" w14:textId="77777777" w:rsidR="003953D6" w:rsidRPr="00346CBB" w:rsidRDefault="003953D6" w:rsidP="00346CBB">
            <w:pPr>
              <w:jc w:val="right"/>
            </w:pPr>
            <w:r w:rsidRPr="00346CBB">
              <w:t xml:space="preserve">2,5 </w:t>
            </w:r>
          </w:p>
        </w:tc>
        <w:tc>
          <w:tcPr>
            <w:tcW w:w="78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C871C8D" w14:textId="77777777" w:rsidR="003953D6" w:rsidRPr="00346CBB" w:rsidRDefault="003953D6" w:rsidP="00346CBB">
            <w:pPr>
              <w:jc w:val="right"/>
            </w:pPr>
            <w:r w:rsidRPr="00346CBB">
              <w:t xml:space="preserve">3,7 </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65F46E8" w14:textId="77777777" w:rsidR="003953D6" w:rsidRPr="00346CBB" w:rsidRDefault="003953D6" w:rsidP="00346CBB">
            <w:pPr>
              <w:jc w:val="right"/>
            </w:pPr>
            <w:r w:rsidRPr="00346CBB">
              <w:t xml:space="preserve">4,3 </w:t>
            </w:r>
          </w:p>
        </w:tc>
        <w:tc>
          <w:tcPr>
            <w:tcW w:w="44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0300B85" w14:textId="77777777" w:rsidR="003953D6" w:rsidRPr="00346CBB" w:rsidRDefault="003953D6" w:rsidP="00346CBB">
            <w:pPr>
              <w:jc w:val="right"/>
            </w:pPr>
            <w:r w:rsidRPr="00346CBB">
              <w:t>4,1</w:t>
            </w:r>
          </w:p>
        </w:tc>
      </w:tr>
      <w:tr w:rsidR="00A4769D" w:rsidRPr="00346CBB" w14:paraId="7578D02E" w14:textId="77777777" w:rsidTr="00346CBB">
        <w:trPr>
          <w:trHeight w:val="396"/>
        </w:trPr>
        <w:tc>
          <w:tcPr>
            <w:tcW w:w="112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86EA516" w14:textId="77777777" w:rsidR="003953D6" w:rsidRPr="00346CBB" w:rsidRDefault="003953D6" w:rsidP="00346CBB">
            <w:pPr>
              <w:pStyle w:val="TabellHode-rad"/>
            </w:pPr>
            <w:r w:rsidRPr="00346CBB">
              <w:t xml:space="preserve">Faktisk </w:t>
            </w:r>
            <w:proofErr w:type="spellStart"/>
            <w:r w:rsidRPr="00346CBB">
              <w:t>deflator</w:t>
            </w:r>
            <w:proofErr w:type="spellEnd"/>
            <w:r w:rsidRPr="00346CBB">
              <w:t xml:space="preserve"> kommunesektor</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7C02E95" w14:textId="77777777" w:rsidR="003953D6" w:rsidRPr="00346CBB" w:rsidRDefault="003953D6" w:rsidP="00346CBB">
            <w:pPr>
              <w:jc w:val="right"/>
            </w:pPr>
            <w:r w:rsidRPr="00346CBB">
              <w:t>3,0</w:t>
            </w:r>
          </w:p>
        </w:tc>
        <w:tc>
          <w:tcPr>
            <w:tcW w:w="44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2C7F20E" w14:textId="77777777" w:rsidR="003953D6" w:rsidRPr="00346CBB" w:rsidRDefault="003953D6" w:rsidP="00346CBB">
            <w:pPr>
              <w:jc w:val="right"/>
            </w:pPr>
            <w:r w:rsidRPr="00346CBB">
              <w:t>3,2</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B9DDA74" w14:textId="77777777" w:rsidR="003953D6" w:rsidRPr="00346CBB" w:rsidRDefault="003953D6" w:rsidP="00346CBB">
            <w:pPr>
              <w:jc w:val="right"/>
            </w:pPr>
            <w:r w:rsidRPr="00346CBB">
              <w:t>1,0</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1D2660A" w14:textId="77777777" w:rsidR="003953D6" w:rsidRPr="00346CBB" w:rsidRDefault="003953D6" w:rsidP="00346CBB">
            <w:pPr>
              <w:jc w:val="right"/>
            </w:pPr>
            <w:r w:rsidRPr="00346CBB">
              <w:t>4,4</w:t>
            </w:r>
          </w:p>
        </w:tc>
        <w:tc>
          <w:tcPr>
            <w:tcW w:w="44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FA15590" w14:textId="77777777" w:rsidR="003953D6" w:rsidRPr="00346CBB" w:rsidRDefault="003953D6" w:rsidP="00346CBB">
            <w:pPr>
              <w:jc w:val="right"/>
            </w:pPr>
            <w:r w:rsidRPr="00346CBB">
              <w:t>6,7</w:t>
            </w:r>
          </w:p>
        </w:tc>
        <w:tc>
          <w:tcPr>
            <w:tcW w:w="78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B5C5D8A" w14:textId="77777777" w:rsidR="003953D6" w:rsidRPr="00346CBB" w:rsidRDefault="003953D6" w:rsidP="00346CBB">
            <w:pPr>
              <w:jc w:val="right"/>
            </w:pPr>
            <w:r w:rsidRPr="00346CBB">
              <w:t xml:space="preserve">4,3 </w:t>
            </w:r>
          </w:p>
        </w:tc>
        <w:tc>
          <w:tcPr>
            <w:tcW w:w="44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17D4416" w14:textId="77777777" w:rsidR="003953D6" w:rsidRPr="00346CBB" w:rsidRDefault="003953D6" w:rsidP="00346CBB">
            <w:pPr>
              <w:jc w:val="right"/>
            </w:pPr>
            <w:r w:rsidRPr="00346CBB">
              <w:t>5,0</w:t>
            </w:r>
          </w:p>
        </w:tc>
        <w:tc>
          <w:tcPr>
            <w:tcW w:w="44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DA9C85F" w14:textId="77777777" w:rsidR="003953D6" w:rsidRPr="00346CBB" w:rsidRDefault="003953D6" w:rsidP="00346CBB">
            <w:pPr>
              <w:jc w:val="right"/>
            </w:pPr>
            <w:r w:rsidRPr="00346CBB">
              <w:t xml:space="preserve"> </w:t>
            </w:r>
          </w:p>
        </w:tc>
      </w:tr>
    </w:tbl>
    <w:p w14:paraId="36D775AA" w14:textId="77777777" w:rsidR="003953D6" w:rsidRPr="00346CBB" w:rsidRDefault="003953D6" w:rsidP="00C9271A">
      <w:pPr>
        <w:jc w:val="right"/>
      </w:pPr>
    </w:p>
    <w:p w14:paraId="02C9C577" w14:textId="77777777" w:rsidR="003953D6" w:rsidRPr="00346CBB" w:rsidRDefault="003953D6" w:rsidP="00DA60DA">
      <w:pPr>
        <w:pStyle w:val="Note"/>
      </w:pPr>
      <w:r w:rsidRPr="00346CBB">
        <w:t xml:space="preserve">* I forbindelse med oppdatert </w:t>
      </w:r>
      <w:proofErr w:type="spellStart"/>
      <w:r w:rsidRPr="00346CBB">
        <w:t>deflator</w:t>
      </w:r>
      <w:proofErr w:type="spellEnd"/>
      <w:r w:rsidRPr="00346CBB">
        <w:t xml:space="preserve"> til 5,1 for 2023 i RNB2023 ble bevilgningene til de regionale helseforetakene økt.</w:t>
      </w:r>
    </w:p>
    <w:p w14:paraId="11A91D61" w14:textId="77777777" w:rsidR="003953D6" w:rsidRPr="00346CBB" w:rsidRDefault="003953D6" w:rsidP="00346CBB">
      <w:pPr>
        <w:pStyle w:val="Kilde"/>
      </w:pPr>
      <w:r w:rsidRPr="00346CBB">
        <w:t>Kilde: Finansdepartementet.</w:t>
      </w:r>
    </w:p>
    <w:p w14:paraId="1FD8E018" w14:textId="77777777" w:rsidR="003953D6" w:rsidRPr="00346CBB" w:rsidRDefault="003953D6" w:rsidP="00346CBB">
      <w:pPr>
        <w:pStyle w:val="UnOverskrift1"/>
        <w:rPr>
          <w:rStyle w:val="halvfet"/>
        </w:rPr>
      </w:pPr>
      <w:r w:rsidRPr="00346CBB">
        <w:rPr>
          <w:rStyle w:val="halvfet"/>
        </w:rPr>
        <w:t xml:space="preserve">Vedlegg 2 </w:t>
      </w:r>
      <w:r w:rsidRPr="00346CBB">
        <w:br/>
        <w:t xml:space="preserve">Beregning av </w:t>
      </w:r>
      <w:proofErr w:type="spellStart"/>
      <w:r w:rsidRPr="00346CBB">
        <w:t>deflatoren</w:t>
      </w:r>
      <w:proofErr w:type="spellEnd"/>
      <w:r w:rsidRPr="00346CBB">
        <w:t xml:space="preserve"> for spesialisthelsetjenesten for 2024</w:t>
      </w:r>
    </w:p>
    <w:p w14:paraId="5E19B8A2" w14:textId="23EF9020" w:rsidR="003953D6" w:rsidRPr="00346CBB" w:rsidRDefault="003953D6" w:rsidP="00346CBB">
      <w:r w:rsidRPr="00346CBB">
        <w:t xml:space="preserve">Dette vedlegget beskriver beregningen av </w:t>
      </w:r>
      <w:proofErr w:type="spellStart"/>
      <w:r w:rsidRPr="00346CBB">
        <w:t>deflatoren</w:t>
      </w:r>
      <w:proofErr w:type="spellEnd"/>
      <w:r w:rsidRPr="00346CBB">
        <w:t xml:space="preserve"> for spesialisthelsetjenesten for 2024 basert på Finansdepartementets nye metode. Se vedlegg 5 for mer informasjon om endringene Finansdepartementet har gjort i metoden.</w:t>
      </w:r>
    </w:p>
    <w:p w14:paraId="1BCCF65F" w14:textId="77777777" w:rsidR="003953D6" w:rsidRPr="00346CBB" w:rsidRDefault="003953D6" w:rsidP="00346CBB">
      <w:proofErr w:type="spellStart"/>
      <w:r w:rsidRPr="00346CBB">
        <w:t>Kostnadsdeflatoren</w:t>
      </w:r>
      <w:proofErr w:type="spellEnd"/>
      <w:r w:rsidRPr="00346CBB">
        <w:t xml:space="preserve"> for de regionale helseforetakene beregnes som et veid gjennomsnitt av to elementer: Lønnskostnader eksklusive pensjonskostnader og kjøp av varer og tjenester (produktinnsats og investeringer).</w:t>
      </w:r>
    </w:p>
    <w:p w14:paraId="211453FC" w14:textId="77777777" w:rsidR="003953D6" w:rsidRPr="00346CBB" w:rsidRDefault="003953D6" w:rsidP="00346CBB">
      <w:r w:rsidRPr="00346CBB">
        <w:lastRenderedPageBreak/>
        <w:t xml:space="preserve">Dette notatet redegjør for beregningen av den historiske </w:t>
      </w:r>
      <w:proofErr w:type="spellStart"/>
      <w:r w:rsidRPr="00346CBB">
        <w:t>deflatoren</w:t>
      </w:r>
      <w:proofErr w:type="spellEnd"/>
      <w:r w:rsidRPr="00346CBB">
        <w:t xml:space="preserve"> for 2022–2024. Beregningene er basert på oppdaterte tall fra SSBs prisstatistikker for 2024, samt tall for lønnsvekst fra Teknisk beregningsutvalg for inntektsoppgjørene.</w:t>
      </w:r>
    </w:p>
    <w:p w14:paraId="23E6AA3D" w14:textId="77777777" w:rsidR="003953D6" w:rsidRPr="00346CBB" w:rsidRDefault="003953D6" w:rsidP="00346CBB">
      <w:r w:rsidRPr="00346CBB">
        <w:t xml:space="preserve">Tabell 1 oppsummerer beregningen av </w:t>
      </w:r>
      <w:proofErr w:type="spellStart"/>
      <w:r w:rsidRPr="00346CBB">
        <w:t>deflatoren</w:t>
      </w:r>
      <w:proofErr w:type="spellEnd"/>
      <w:r w:rsidRPr="00346CBB">
        <w:t xml:space="preserve"> for 2022–2024. Enkeltelementene omtales nærmere nedenfor. For 2024 beregnes </w:t>
      </w:r>
      <w:proofErr w:type="spellStart"/>
      <w:r w:rsidRPr="00346CBB">
        <w:t>deflatoren</w:t>
      </w:r>
      <w:proofErr w:type="spellEnd"/>
      <w:r w:rsidRPr="00346CBB">
        <w:t xml:space="preserve"> til 4,6 pst.</w:t>
      </w:r>
    </w:p>
    <w:p w14:paraId="631DA8C5" w14:textId="77777777" w:rsidR="003953D6" w:rsidRPr="00346CBB" w:rsidRDefault="003953D6" w:rsidP="00346CBB">
      <w:proofErr w:type="spellStart"/>
      <w:r w:rsidRPr="00346CBB">
        <w:t>Sammenvektingen</w:t>
      </w:r>
      <w:proofErr w:type="spellEnd"/>
      <w:r w:rsidRPr="00346CBB">
        <w:t xml:space="preserve"> av lønnskostnader og prisvekst på produktinnsats og investeringer er med gammel metode basert på en fast sjablong, hvor lønnsvekst vektes med 70 pst. og prisvekst på produktinnsats med 30 pst. Til sammenligning utgjorde lønnskostnader (ekskl. pensjon) i helseforetakene om lag 64 pst. av summen av lønn (ekskl. pensjon) og produktinnsats ifølge regnskapene for helseforetakene rapportert i SSBs statistikk for offentlige finanser.</w:t>
      </w:r>
    </w:p>
    <w:p w14:paraId="03E079C4" w14:textId="77777777" w:rsidR="003953D6" w:rsidRPr="00346CBB" w:rsidRDefault="003953D6" w:rsidP="00346CBB">
      <w:pPr>
        <w:pStyle w:val="avsnitt-undertittel"/>
        <w:rPr>
          <w:rStyle w:val="halvfet"/>
        </w:rPr>
      </w:pPr>
      <w:r w:rsidRPr="00346CBB">
        <w:t xml:space="preserve">Tabell 1. </w:t>
      </w:r>
      <w:proofErr w:type="spellStart"/>
      <w:r w:rsidRPr="00346CBB">
        <w:t>Kostnadsdeflatoren</w:t>
      </w:r>
      <w:proofErr w:type="spellEnd"/>
      <w:r w:rsidRPr="00346CBB">
        <w:t xml:space="preserve"> i spesialisthelsetjenesten. Prosent.</w:t>
      </w:r>
    </w:p>
    <w:tbl>
      <w:tblPr>
        <w:tblW w:w="5000" w:type="pct"/>
        <w:tblCellMar>
          <w:left w:w="0" w:type="dxa"/>
          <w:right w:w="0" w:type="dxa"/>
        </w:tblCellMar>
        <w:tblLook w:val="0000" w:firstRow="0" w:lastRow="0" w:firstColumn="0" w:lastColumn="0" w:noHBand="0" w:noVBand="0"/>
      </w:tblPr>
      <w:tblGrid>
        <w:gridCol w:w="3705"/>
        <w:gridCol w:w="1393"/>
        <w:gridCol w:w="1393"/>
        <w:gridCol w:w="1723"/>
      </w:tblGrid>
      <w:tr w:rsidR="00A4769D" w:rsidRPr="00346CBB" w14:paraId="3A9A185D" w14:textId="77777777" w:rsidTr="00346CBB">
        <w:trPr>
          <w:trHeight w:val="396"/>
          <w:tblHeader/>
        </w:trPr>
        <w:tc>
          <w:tcPr>
            <w:tcW w:w="2255" w:type="pct"/>
            <w:tcBorders>
              <w:top w:val="single" w:sz="2" w:space="0" w:color="000000"/>
              <w:left w:val="single" w:sz="2" w:space="0" w:color="000000"/>
              <w:bottom w:val="single" w:sz="8" w:space="0" w:color="000000"/>
              <w:right w:val="single" w:sz="2" w:space="0" w:color="000000"/>
            </w:tcBorders>
            <w:tcMar>
              <w:top w:w="80" w:type="dxa"/>
              <w:left w:w="108" w:type="dxa"/>
              <w:bottom w:w="0" w:type="dxa"/>
              <w:right w:w="108" w:type="dxa"/>
            </w:tcMar>
            <w:vAlign w:val="center"/>
          </w:tcPr>
          <w:p w14:paraId="55AC12C4" w14:textId="77777777" w:rsidR="003953D6" w:rsidRPr="00346CBB" w:rsidRDefault="003953D6" w:rsidP="00C9271A">
            <w:pPr>
              <w:jc w:val="right"/>
            </w:pPr>
          </w:p>
        </w:tc>
        <w:tc>
          <w:tcPr>
            <w:tcW w:w="848" w:type="pct"/>
            <w:tcBorders>
              <w:top w:val="single" w:sz="2" w:space="0" w:color="000000"/>
              <w:left w:val="single" w:sz="2" w:space="0" w:color="000000"/>
              <w:bottom w:val="single" w:sz="8" w:space="0" w:color="000000"/>
              <w:right w:val="single" w:sz="2" w:space="0" w:color="000000"/>
            </w:tcBorders>
            <w:tcMar>
              <w:top w:w="80" w:type="dxa"/>
              <w:left w:w="108" w:type="dxa"/>
              <w:bottom w:w="0" w:type="dxa"/>
              <w:right w:w="108" w:type="dxa"/>
            </w:tcMar>
            <w:vAlign w:val="bottom"/>
          </w:tcPr>
          <w:p w14:paraId="4558DCBE" w14:textId="77777777" w:rsidR="003953D6" w:rsidRPr="00346CBB" w:rsidRDefault="003953D6" w:rsidP="00346CBB">
            <w:pPr>
              <w:pStyle w:val="TabellHode-kolonne"/>
              <w:jc w:val="right"/>
            </w:pPr>
            <w:r w:rsidRPr="00346CBB">
              <w:t>2022</w:t>
            </w:r>
          </w:p>
        </w:tc>
        <w:tc>
          <w:tcPr>
            <w:tcW w:w="848" w:type="pct"/>
            <w:tcBorders>
              <w:top w:val="single" w:sz="2" w:space="0" w:color="000000"/>
              <w:left w:val="single" w:sz="2" w:space="0" w:color="000000"/>
              <w:bottom w:val="single" w:sz="8" w:space="0" w:color="000000"/>
              <w:right w:val="single" w:sz="2" w:space="0" w:color="000000"/>
            </w:tcBorders>
            <w:tcMar>
              <w:top w:w="80" w:type="dxa"/>
              <w:left w:w="108" w:type="dxa"/>
              <w:bottom w:w="0" w:type="dxa"/>
              <w:right w:w="108" w:type="dxa"/>
            </w:tcMar>
            <w:vAlign w:val="bottom"/>
          </w:tcPr>
          <w:p w14:paraId="7D19424E" w14:textId="77777777" w:rsidR="003953D6" w:rsidRPr="00346CBB" w:rsidRDefault="003953D6" w:rsidP="00346CBB">
            <w:pPr>
              <w:pStyle w:val="TabellHode-kolonne"/>
              <w:jc w:val="right"/>
            </w:pPr>
            <w:r w:rsidRPr="00346CBB">
              <w:t>2023</w:t>
            </w:r>
          </w:p>
        </w:tc>
        <w:tc>
          <w:tcPr>
            <w:tcW w:w="1049" w:type="pct"/>
            <w:tcBorders>
              <w:top w:val="single" w:sz="2" w:space="0" w:color="000000"/>
              <w:left w:val="single" w:sz="2" w:space="0" w:color="000000"/>
              <w:bottom w:val="single" w:sz="8" w:space="0" w:color="000000"/>
              <w:right w:val="single" w:sz="2" w:space="0" w:color="000000"/>
            </w:tcBorders>
            <w:tcMar>
              <w:top w:w="80" w:type="dxa"/>
              <w:left w:w="108" w:type="dxa"/>
              <w:bottom w:w="0" w:type="dxa"/>
              <w:right w:w="108" w:type="dxa"/>
            </w:tcMar>
            <w:vAlign w:val="bottom"/>
          </w:tcPr>
          <w:p w14:paraId="4D11B002" w14:textId="77777777" w:rsidR="003953D6" w:rsidRPr="00346CBB" w:rsidRDefault="003953D6" w:rsidP="00346CBB">
            <w:pPr>
              <w:pStyle w:val="TabellHode-kolonne"/>
              <w:jc w:val="right"/>
            </w:pPr>
            <w:r w:rsidRPr="00346CBB">
              <w:t>2024</w:t>
            </w:r>
          </w:p>
        </w:tc>
      </w:tr>
      <w:tr w:rsidR="00A4769D" w:rsidRPr="00346CBB" w14:paraId="37B99B00" w14:textId="77777777" w:rsidTr="00346CBB">
        <w:trPr>
          <w:trHeight w:val="396"/>
        </w:trPr>
        <w:tc>
          <w:tcPr>
            <w:tcW w:w="2255" w:type="pct"/>
            <w:tcBorders>
              <w:top w:val="single" w:sz="8"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44A5873E" w14:textId="77777777" w:rsidR="003953D6" w:rsidRPr="00346CBB" w:rsidRDefault="003953D6" w:rsidP="00346CBB">
            <w:pPr>
              <w:pStyle w:val="TabellHode-rad"/>
            </w:pPr>
            <w:proofErr w:type="spellStart"/>
            <w:r w:rsidRPr="00346CBB">
              <w:rPr>
                <w:rStyle w:val="kursiv"/>
              </w:rPr>
              <w:t>Deflator</w:t>
            </w:r>
            <w:proofErr w:type="spellEnd"/>
          </w:p>
        </w:tc>
        <w:tc>
          <w:tcPr>
            <w:tcW w:w="848" w:type="pct"/>
            <w:tcBorders>
              <w:top w:val="single" w:sz="8"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1D423F1A" w14:textId="77777777" w:rsidR="003953D6" w:rsidRPr="00346CBB" w:rsidRDefault="003953D6" w:rsidP="00346CBB">
            <w:pPr>
              <w:jc w:val="right"/>
            </w:pPr>
            <w:r w:rsidRPr="00346CBB">
              <w:rPr>
                <w:rStyle w:val="kursiv"/>
              </w:rPr>
              <w:t>5,1</w:t>
            </w:r>
          </w:p>
        </w:tc>
        <w:tc>
          <w:tcPr>
            <w:tcW w:w="848" w:type="pct"/>
            <w:tcBorders>
              <w:top w:val="single" w:sz="8"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117B794D" w14:textId="77777777" w:rsidR="003953D6" w:rsidRPr="00346CBB" w:rsidRDefault="003953D6" w:rsidP="00346CBB">
            <w:pPr>
              <w:jc w:val="right"/>
            </w:pPr>
            <w:r w:rsidRPr="00346CBB">
              <w:rPr>
                <w:rStyle w:val="kursiv"/>
              </w:rPr>
              <w:t>5,6</w:t>
            </w:r>
          </w:p>
        </w:tc>
        <w:tc>
          <w:tcPr>
            <w:tcW w:w="1049" w:type="pct"/>
            <w:tcBorders>
              <w:top w:val="single" w:sz="8"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48E942EF" w14:textId="77777777" w:rsidR="003953D6" w:rsidRPr="00346CBB" w:rsidRDefault="003953D6" w:rsidP="00346CBB">
            <w:pPr>
              <w:jc w:val="right"/>
            </w:pPr>
            <w:r w:rsidRPr="00346CBB">
              <w:rPr>
                <w:rStyle w:val="kursiv"/>
              </w:rPr>
              <w:t>4,6</w:t>
            </w:r>
          </w:p>
        </w:tc>
      </w:tr>
      <w:tr w:rsidR="00A4769D" w:rsidRPr="00346CBB" w14:paraId="632A879B" w14:textId="77777777" w:rsidTr="00346CBB">
        <w:trPr>
          <w:trHeight w:val="396"/>
        </w:trPr>
        <w:tc>
          <w:tcPr>
            <w:tcW w:w="2255"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667C101C" w14:textId="77777777" w:rsidR="003953D6" w:rsidRPr="00346CBB" w:rsidRDefault="003953D6" w:rsidP="00346CBB">
            <w:pPr>
              <w:pStyle w:val="TabellHode-rad"/>
            </w:pPr>
            <w:r w:rsidRPr="00346CBB">
              <w:t>Vekst i lønnskostnader (ekskl. pensjon)</w:t>
            </w:r>
          </w:p>
        </w:tc>
        <w:tc>
          <w:tcPr>
            <w:tcW w:w="848"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4082FC75" w14:textId="77777777" w:rsidR="003953D6" w:rsidRPr="00346CBB" w:rsidRDefault="003953D6" w:rsidP="00346CBB">
            <w:pPr>
              <w:jc w:val="right"/>
            </w:pPr>
            <w:r w:rsidRPr="00346CBB">
              <w:t>4,5</w:t>
            </w:r>
          </w:p>
        </w:tc>
        <w:tc>
          <w:tcPr>
            <w:tcW w:w="848"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7C1BD8C3" w14:textId="77777777" w:rsidR="003953D6" w:rsidRPr="00346CBB" w:rsidRDefault="003953D6" w:rsidP="00346CBB">
            <w:pPr>
              <w:jc w:val="right"/>
            </w:pPr>
            <w:r w:rsidRPr="00346CBB">
              <w:t>6,3</w:t>
            </w:r>
          </w:p>
        </w:tc>
        <w:tc>
          <w:tcPr>
            <w:tcW w:w="1049"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53579CE3" w14:textId="77777777" w:rsidR="003953D6" w:rsidRPr="00346CBB" w:rsidRDefault="003953D6" w:rsidP="00346CBB">
            <w:pPr>
              <w:jc w:val="right"/>
            </w:pPr>
            <w:r w:rsidRPr="00346CBB">
              <w:t>5,6</w:t>
            </w:r>
          </w:p>
        </w:tc>
      </w:tr>
      <w:tr w:rsidR="00A4769D" w:rsidRPr="00346CBB" w14:paraId="78384879" w14:textId="77777777" w:rsidTr="00346CBB">
        <w:trPr>
          <w:trHeight w:val="396"/>
        </w:trPr>
        <w:tc>
          <w:tcPr>
            <w:tcW w:w="2255"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71A128A9" w14:textId="77777777" w:rsidR="003953D6" w:rsidRPr="00346CBB" w:rsidRDefault="003953D6" w:rsidP="00346CBB">
            <w:pPr>
              <w:pStyle w:val="TabellHode-rad"/>
            </w:pPr>
            <w:r w:rsidRPr="00346CBB">
              <w:t xml:space="preserve"> </w:t>
            </w:r>
            <w:r w:rsidRPr="00346CBB">
              <w:tab/>
              <w:t>Årslønnsvekst (TBU-inntekt)</w:t>
            </w:r>
          </w:p>
        </w:tc>
        <w:tc>
          <w:tcPr>
            <w:tcW w:w="848"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4EA1D60D" w14:textId="77777777" w:rsidR="003953D6" w:rsidRPr="00346CBB" w:rsidRDefault="003953D6" w:rsidP="00346CBB">
            <w:pPr>
              <w:jc w:val="right"/>
            </w:pPr>
            <w:r w:rsidRPr="00346CBB">
              <w:rPr>
                <w:rStyle w:val="kursiv"/>
              </w:rPr>
              <w:t>4,5</w:t>
            </w:r>
          </w:p>
        </w:tc>
        <w:tc>
          <w:tcPr>
            <w:tcW w:w="848"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319D97E6" w14:textId="77777777" w:rsidR="003953D6" w:rsidRPr="00346CBB" w:rsidRDefault="003953D6" w:rsidP="00346CBB">
            <w:pPr>
              <w:jc w:val="right"/>
            </w:pPr>
            <w:r w:rsidRPr="00346CBB">
              <w:rPr>
                <w:rStyle w:val="kursiv"/>
              </w:rPr>
              <w:t>5,8</w:t>
            </w:r>
          </w:p>
        </w:tc>
        <w:tc>
          <w:tcPr>
            <w:tcW w:w="1049"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05D930F8" w14:textId="77777777" w:rsidR="003953D6" w:rsidRPr="00346CBB" w:rsidRDefault="003953D6" w:rsidP="00346CBB">
            <w:pPr>
              <w:jc w:val="right"/>
            </w:pPr>
            <w:r w:rsidRPr="00346CBB">
              <w:rPr>
                <w:rStyle w:val="kursiv"/>
              </w:rPr>
              <w:t>5,6</w:t>
            </w:r>
          </w:p>
        </w:tc>
      </w:tr>
      <w:tr w:rsidR="00A4769D" w:rsidRPr="00346CBB" w14:paraId="191DD7F0" w14:textId="77777777" w:rsidTr="00346CBB">
        <w:trPr>
          <w:trHeight w:val="396"/>
        </w:trPr>
        <w:tc>
          <w:tcPr>
            <w:tcW w:w="2255"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22413482" w14:textId="77777777" w:rsidR="003953D6" w:rsidRPr="00346CBB" w:rsidRDefault="003953D6" w:rsidP="00346CBB">
            <w:pPr>
              <w:pStyle w:val="TabellHode-rad"/>
            </w:pPr>
            <w:r w:rsidRPr="00346CBB">
              <w:t xml:space="preserve"> </w:t>
            </w:r>
            <w:r w:rsidRPr="00346CBB">
              <w:tab/>
              <w:t>Bidrag arbeidsgiveravgift</w:t>
            </w:r>
          </w:p>
        </w:tc>
        <w:tc>
          <w:tcPr>
            <w:tcW w:w="848"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3A881E18" w14:textId="77777777" w:rsidR="003953D6" w:rsidRPr="00346CBB" w:rsidRDefault="003953D6" w:rsidP="00346CBB">
            <w:pPr>
              <w:jc w:val="right"/>
            </w:pPr>
            <w:r w:rsidRPr="00346CBB">
              <w:rPr>
                <w:rStyle w:val="kursiv"/>
              </w:rPr>
              <w:t>0,0</w:t>
            </w:r>
          </w:p>
        </w:tc>
        <w:tc>
          <w:tcPr>
            <w:tcW w:w="848"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12F74168" w14:textId="77777777" w:rsidR="003953D6" w:rsidRPr="00346CBB" w:rsidRDefault="003953D6" w:rsidP="00346CBB">
            <w:pPr>
              <w:jc w:val="right"/>
            </w:pPr>
            <w:r w:rsidRPr="00346CBB">
              <w:rPr>
                <w:rStyle w:val="kursiv"/>
              </w:rPr>
              <w:t>0,5</w:t>
            </w:r>
          </w:p>
        </w:tc>
        <w:tc>
          <w:tcPr>
            <w:tcW w:w="1049"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3294FF95" w14:textId="77777777" w:rsidR="003953D6" w:rsidRPr="00346CBB" w:rsidRDefault="003953D6" w:rsidP="00346CBB">
            <w:pPr>
              <w:jc w:val="right"/>
            </w:pPr>
            <w:r w:rsidRPr="00346CBB">
              <w:rPr>
                <w:rStyle w:val="kursiv"/>
              </w:rPr>
              <w:t>0,0</w:t>
            </w:r>
          </w:p>
        </w:tc>
      </w:tr>
      <w:tr w:rsidR="00A4769D" w:rsidRPr="00346CBB" w14:paraId="5122D8E6" w14:textId="77777777" w:rsidTr="00346CBB">
        <w:trPr>
          <w:trHeight w:val="396"/>
        </w:trPr>
        <w:tc>
          <w:tcPr>
            <w:tcW w:w="2255"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28F1DFBD" w14:textId="77777777" w:rsidR="003953D6" w:rsidRPr="00346CBB" w:rsidRDefault="003953D6" w:rsidP="00346CBB">
            <w:pPr>
              <w:pStyle w:val="TabellHode-rad"/>
            </w:pPr>
            <w:r w:rsidRPr="00346CBB">
              <w:t>Prisvekst varer og tjenester</w:t>
            </w:r>
          </w:p>
        </w:tc>
        <w:tc>
          <w:tcPr>
            <w:tcW w:w="848"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62212F6C" w14:textId="77777777" w:rsidR="003953D6" w:rsidRPr="00346CBB" w:rsidRDefault="003953D6" w:rsidP="00346CBB">
            <w:pPr>
              <w:jc w:val="right"/>
            </w:pPr>
            <w:r w:rsidRPr="00346CBB">
              <w:t>5,9</w:t>
            </w:r>
          </w:p>
        </w:tc>
        <w:tc>
          <w:tcPr>
            <w:tcW w:w="848"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2E25334D" w14:textId="77777777" w:rsidR="003953D6" w:rsidRPr="00346CBB" w:rsidRDefault="003953D6" w:rsidP="00346CBB">
            <w:pPr>
              <w:jc w:val="right"/>
            </w:pPr>
            <w:r w:rsidRPr="00346CBB">
              <w:t>4,7</w:t>
            </w:r>
          </w:p>
        </w:tc>
        <w:tc>
          <w:tcPr>
            <w:tcW w:w="1049"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642DEE7B" w14:textId="77777777" w:rsidR="003953D6" w:rsidRPr="00346CBB" w:rsidRDefault="003953D6" w:rsidP="00346CBB">
            <w:pPr>
              <w:jc w:val="right"/>
            </w:pPr>
            <w:r w:rsidRPr="00346CBB">
              <w:t>3,4</w:t>
            </w:r>
          </w:p>
        </w:tc>
      </w:tr>
      <w:tr w:rsidR="00A4769D" w:rsidRPr="00346CBB" w14:paraId="1020BE21" w14:textId="77777777" w:rsidTr="00346CBB">
        <w:trPr>
          <w:trHeight w:val="396"/>
        </w:trPr>
        <w:tc>
          <w:tcPr>
            <w:tcW w:w="2255"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40E7BED4" w14:textId="77777777" w:rsidR="003953D6" w:rsidRPr="00346CBB" w:rsidRDefault="003953D6" w:rsidP="00346CBB">
            <w:pPr>
              <w:pStyle w:val="TabellHode-rad"/>
            </w:pPr>
            <w:r w:rsidRPr="00346CBB">
              <w:t>Lønnsandel i prosent</w:t>
            </w:r>
          </w:p>
        </w:tc>
        <w:tc>
          <w:tcPr>
            <w:tcW w:w="848"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1590AB9A" w14:textId="77777777" w:rsidR="003953D6" w:rsidRPr="00346CBB" w:rsidRDefault="003953D6" w:rsidP="00346CBB">
            <w:pPr>
              <w:jc w:val="right"/>
            </w:pPr>
            <w:r w:rsidRPr="00346CBB">
              <w:t>57,4</w:t>
            </w:r>
          </w:p>
        </w:tc>
        <w:tc>
          <w:tcPr>
            <w:tcW w:w="848"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6A13EB97" w14:textId="77777777" w:rsidR="003953D6" w:rsidRPr="00346CBB" w:rsidRDefault="003953D6" w:rsidP="00346CBB">
            <w:pPr>
              <w:jc w:val="right"/>
            </w:pPr>
            <w:r w:rsidRPr="00346CBB">
              <w:t>56,6</w:t>
            </w:r>
          </w:p>
        </w:tc>
        <w:tc>
          <w:tcPr>
            <w:tcW w:w="1049"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1941E5FC" w14:textId="77777777" w:rsidR="003953D6" w:rsidRPr="00346CBB" w:rsidRDefault="003953D6" w:rsidP="00346CBB">
            <w:pPr>
              <w:jc w:val="right"/>
            </w:pPr>
            <w:r w:rsidRPr="00346CBB">
              <w:t>54,7</w:t>
            </w:r>
          </w:p>
        </w:tc>
      </w:tr>
      <w:tr w:rsidR="00A4769D" w:rsidRPr="00346CBB" w14:paraId="6EE703F5" w14:textId="77777777" w:rsidTr="00346CBB">
        <w:trPr>
          <w:trHeight w:val="396"/>
        </w:trPr>
        <w:tc>
          <w:tcPr>
            <w:tcW w:w="2255"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532AB9B3" w14:textId="77777777" w:rsidR="003953D6" w:rsidRPr="00346CBB" w:rsidRDefault="003953D6" w:rsidP="00346CBB">
            <w:pPr>
              <w:pStyle w:val="NoParagraphStyle"/>
            </w:pPr>
          </w:p>
        </w:tc>
        <w:tc>
          <w:tcPr>
            <w:tcW w:w="848"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2922ED55" w14:textId="77777777" w:rsidR="003953D6" w:rsidRPr="00346CBB" w:rsidRDefault="003953D6" w:rsidP="00346CBB">
            <w:pPr>
              <w:pStyle w:val="NoParagraphStyle"/>
            </w:pPr>
          </w:p>
        </w:tc>
        <w:tc>
          <w:tcPr>
            <w:tcW w:w="848"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3BF79F89" w14:textId="77777777" w:rsidR="003953D6" w:rsidRPr="00346CBB" w:rsidRDefault="003953D6" w:rsidP="00346CBB">
            <w:pPr>
              <w:pStyle w:val="NoParagraphStyle"/>
            </w:pPr>
          </w:p>
        </w:tc>
        <w:tc>
          <w:tcPr>
            <w:tcW w:w="1049"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25B01374" w14:textId="77777777" w:rsidR="003953D6" w:rsidRPr="00346CBB" w:rsidRDefault="003953D6" w:rsidP="00C9271A">
            <w:pPr>
              <w:jc w:val="right"/>
            </w:pPr>
          </w:p>
        </w:tc>
      </w:tr>
      <w:tr w:rsidR="00A4769D" w:rsidRPr="00346CBB" w14:paraId="3341781C" w14:textId="77777777" w:rsidTr="00346CBB">
        <w:trPr>
          <w:trHeight w:val="396"/>
        </w:trPr>
        <w:tc>
          <w:tcPr>
            <w:tcW w:w="2255"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2F8FBE66" w14:textId="77777777" w:rsidR="003953D6" w:rsidRPr="00346CBB" w:rsidRDefault="003953D6" w:rsidP="00346CBB">
            <w:pPr>
              <w:pStyle w:val="TabellHode-rad"/>
            </w:pPr>
            <w:proofErr w:type="spellStart"/>
            <w:r w:rsidRPr="00346CBB">
              <w:rPr>
                <w:rStyle w:val="kursiv"/>
              </w:rPr>
              <w:t>Deflator</w:t>
            </w:r>
            <w:proofErr w:type="spellEnd"/>
            <w:r w:rsidRPr="00346CBB">
              <w:rPr>
                <w:rStyle w:val="kursiv"/>
              </w:rPr>
              <w:t xml:space="preserve"> i opprinnelig statsbudsjett</w:t>
            </w:r>
          </w:p>
        </w:tc>
        <w:tc>
          <w:tcPr>
            <w:tcW w:w="848"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38881437" w14:textId="77777777" w:rsidR="003953D6" w:rsidRPr="00346CBB" w:rsidRDefault="003953D6" w:rsidP="00346CBB">
            <w:pPr>
              <w:jc w:val="right"/>
            </w:pPr>
            <w:r w:rsidRPr="00346CBB">
              <w:rPr>
                <w:rStyle w:val="kursiv"/>
              </w:rPr>
              <w:t>2,7</w:t>
            </w:r>
          </w:p>
        </w:tc>
        <w:tc>
          <w:tcPr>
            <w:tcW w:w="848"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577C4E8E" w14:textId="77777777" w:rsidR="003953D6" w:rsidRPr="00346CBB" w:rsidRDefault="003953D6" w:rsidP="00346CBB">
            <w:pPr>
              <w:jc w:val="right"/>
            </w:pPr>
            <w:r w:rsidRPr="00346CBB">
              <w:rPr>
                <w:rStyle w:val="kursiv"/>
              </w:rPr>
              <w:t>3,8</w:t>
            </w:r>
          </w:p>
        </w:tc>
        <w:tc>
          <w:tcPr>
            <w:tcW w:w="1049" w:type="pct"/>
            <w:tcBorders>
              <w:top w:val="single" w:sz="2" w:space="0" w:color="000000"/>
              <w:left w:val="single" w:sz="2" w:space="0" w:color="000000"/>
              <w:bottom w:val="single" w:sz="2" w:space="0" w:color="000000"/>
              <w:right w:val="single" w:sz="2" w:space="0" w:color="000000"/>
            </w:tcBorders>
            <w:tcMar>
              <w:top w:w="80" w:type="dxa"/>
              <w:left w:w="108" w:type="dxa"/>
              <w:bottom w:w="0" w:type="dxa"/>
              <w:right w:w="108" w:type="dxa"/>
            </w:tcMar>
            <w:vAlign w:val="center"/>
          </w:tcPr>
          <w:p w14:paraId="56DE8FDA" w14:textId="77777777" w:rsidR="003953D6" w:rsidRPr="00346CBB" w:rsidRDefault="003953D6" w:rsidP="00346CBB">
            <w:pPr>
              <w:jc w:val="right"/>
            </w:pPr>
            <w:r w:rsidRPr="00346CBB">
              <w:rPr>
                <w:rStyle w:val="kursiv"/>
              </w:rPr>
              <w:t>4,3</w:t>
            </w:r>
          </w:p>
        </w:tc>
      </w:tr>
    </w:tbl>
    <w:p w14:paraId="71A9A2CF" w14:textId="77777777" w:rsidR="003953D6" w:rsidRPr="00346CBB" w:rsidRDefault="003953D6" w:rsidP="00C9271A">
      <w:pPr>
        <w:jc w:val="right"/>
      </w:pPr>
    </w:p>
    <w:p w14:paraId="13D7DAD5" w14:textId="77777777" w:rsidR="003953D6" w:rsidRPr="00346CBB" w:rsidRDefault="003953D6" w:rsidP="00346CBB">
      <w:pPr>
        <w:pStyle w:val="Note"/>
        <w:jc w:val="right"/>
      </w:pPr>
      <w:r w:rsidRPr="00346CBB">
        <w:lastRenderedPageBreak/>
        <w:t>Kilde: Finansdepartementet.</w:t>
      </w:r>
    </w:p>
    <w:p w14:paraId="5AF2EC21" w14:textId="77777777" w:rsidR="003953D6" w:rsidRPr="00346CBB" w:rsidRDefault="003953D6" w:rsidP="00346CBB">
      <w:proofErr w:type="spellStart"/>
      <w:r w:rsidRPr="00346CBB">
        <w:t>Deflatoren</w:t>
      </w:r>
      <w:proofErr w:type="spellEnd"/>
      <w:r w:rsidRPr="00346CBB">
        <w:t xml:space="preserve"> for 2024 er 0,3 prosentpoeng høyere enn opprinnelig anslag på </w:t>
      </w:r>
      <w:proofErr w:type="spellStart"/>
      <w:r w:rsidRPr="00346CBB">
        <w:t>deflatoren</w:t>
      </w:r>
      <w:proofErr w:type="spellEnd"/>
      <w:r w:rsidRPr="00346CBB">
        <w:t xml:space="preserve"> i Nasjonalbudsjettet 2024. Det kan forklares med at lønnsveksten ble 5,6 pst. mot anslaget på 4,9 pst. Prisveksten på varer og tjenester ble også noe høyere enn anslått med 3,2 pst. mot anslaget på 2,9 pst.</w:t>
      </w:r>
    </w:p>
    <w:p w14:paraId="34598428" w14:textId="77777777" w:rsidR="003953D6" w:rsidRPr="00346CBB" w:rsidRDefault="003953D6" w:rsidP="00346CBB">
      <w:pPr>
        <w:pStyle w:val="UnOverskrift2"/>
      </w:pPr>
      <w:r w:rsidRPr="00346CBB">
        <w:t>Vekst i lønnskostnader</w:t>
      </w:r>
    </w:p>
    <w:p w14:paraId="692FC806" w14:textId="77777777" w:rsidR="003953D6" w:rsidRPr="00346CBB" w:rsidRDefault="003953D6" w:rsidP="00346CBB">
      <w:r w:rsidRPr="00346CBB">
        <w:t>Veksten i lønnskostnadene tallfestes med utgangspunkt i beregnet årslønnsvekst per årsverk for arbeidstakere i helseforetakene ifølge tall fra Det tekniske beregningsutvalget for inntektsoppgjørene (TBU-inntekt). Endringer i pensjonskostnadene holdes utenfor fordi disse håndteres særskilt.</w:t>
      </w:r>
    </w:p>
    <w:p w14:paraId="691971AF" w14:textId="77777777" w:rsidR="003953D6" w:rsidRPr="00346CBB" w:rsidRDefault="003953D6" w:rsidP="00346CBB">
      <w:r w:rsidRPr="00346CBB">
        <w:t xml:space="preserve">For 2024 beregner TBU-inntekt årslønnsveksten per årsverk for ansatte i helseforetakene til 5,6 prosent. Av dette antas det at sammensetningseffekter som følge av endret kompetansesammensetning (økt andel legeårsverk), bidrar med økt lønnsvekst på 0,2 prosent. Se tabell 1.1 i </w:t>
      </w:r>
      <w:hyperlink r:id="rId19" w:history="1">
        <w:r w:rsidRPr="00346CBB">
          <w:rPr>
            <w:rStyle w:val="Hyperkoblingcerise"/>
          </w:rPr>
          <w:t>Foreløpig hovedrapport fra Teknisk beregningsutvalg for inntektsoppgjørene</w:t>
        </w:r>
      </w:hyperlink>
      <w:r w:rsidRPr="00346CBB">
        <w:rPr>
          <w:rStyle w:val="Hyperkoblingcerise"/>
        </w:rPr>
        <w:t>.</w:t>
      </w:r>
    </w:p>
    <w:p w14:paraId="102B28CF" w14:textId="77777777" w:rsidR="003953D6" w:rsidRPr="00346CBB" w:rsidRDefault="003953D6" w:rsidP="00346CBB">
      <w:pPr>
        <w:pStyle w:val="UnOverskrift2"/>
      </w:pPr>
      <w:r w:rsidRPr="00346CBB">
        <w:t>Prisvekst kjøp av varer og tjenester til drift (produktinnsats)</w:t>
      </w:r>
    </w:p>
    <w:p w14:paraId="62C945B1" w14:textId="3878D6D2" w:rsidR="003953D6" w:rsidRPr="00346CBB" w:rsidRDefault="003953D6" w:rsidP="00346CBB">
      <w:r w:rsidRPr="00346CBB">
        <w:t>Beregningen av prisvekst for kjøp av varer og tjenester tar utgangspunkt i helseforetakenes observerte utgifter til kjøp av varer og tjenester til (produktinnsats og investeringer). Utgiftene er fordelt etter artsfordelingen i SSBs statistikk for offentlige finanser, som igjen er basert på regnskapene til de regionale helseforetakene.</w:t>
      </w:r>
    </w:p>
    <w:p w14:paraId="5E8395DA" w14:textId="77777777" w:rsidR="003953D6" w:rsidRPr="00346CBB" w:rsidRDefault="003953D6" w:rsidP="00346CBB">
      <w:r w:rsidRPr="00346CBB">
        <w:t>For hver gruppe av varer og tjenester er det tilordnet en prisindeks, basert på ulike prisstatistikker fra SSB:</w:t>
      </w:r>
    </w:p>
    <w:p w14:paraId="7918C461" w14:textId="77777777" w:rsidR="003953D6" w:rsidRPr="00346CBB" w:rsidRDefault="003953D6" w:rsidP="00346CBB">
      <w:pPr>
        <w:pStyle w:val="Liste"/>
      </w:pPr>
      <w:r w:rsidRPr="00346CBB">
        <w:t>Ulike detaljerte undergrupper i konsumprisindeksen</w:t>
      </w:r>
    </w:p>
    <w:p w14:paraId="4632A490" w14:textId="77777777" w:rsidR="003953D6" w:rsidRPr="00346CBB" w:rsidRDefault="003953D6" w:rsidP="00346CBB">
      <w:pPr>
        <w:pStyle w:val="Liste"/>
      </w:pPr>
      <w:proofErr w:type="spellStart"/>
      <w:r w:rsidRPr="00346CBB">
        <w:t>Byggekostnadsindekser</w:t>
      </w:r>
      <w:proofErr w:type="spellEnd"/>
    </w:p>
    <w:p w14:paraId="1FE014BC" w14:textId="77777777" w:rsidR="003953D6" w:rsidRPr="00346CBB" w:rsidRDefault="003953D6" w:rsidP="00346CBB">
      <w:pPr>
        <w:pStyle w:val="Liste"/>
      </w:pPr>
      <w:r w:rsidRPr="00346CBB">
        <w:t>Den årlige elektrisitetsprisstatistikken</w:t>
      </w:r>
    </w:p>
    <w:p w14:paraId="728843C4" w14:textId="77777777" w:rsidR="003953D6" w:rsidRPr="00346CBB" w:rsidRDefault="003953D6" w:rsidP="00346CBB">
      <w:pPr>
        <w:pStyle w:val="Liste"/>
      </w:pPr>
      <w:r w:rsidRPr="00346CBB">
        <w:t>Noen undergrupper fra prisindeks for førstegangsomsetning innenlands</w:t>
      </w:r>
    </w:p>
    <w:p w14:paraId="709C9D60" w14:textId="77777777" w:rsidR="003953D6" w:rsidRPr="00346CBB" w:rsidRDefault="003953D6" w:rsidP="00346CBB">
      <w:pPr>
        <w:pStyle w:val="Liste"/>
      </w:pPr>
      <w:r w:rsidRPr="00346CBB">
        <w:t>Ulike prisstatistikker for privat tjenesteyting, slik som rengjøringstjenester, IKT-tjenester, juridiske tjenester mv.</w:t>
      </w:r>
    </w:p>
    <w:p w14:paraId="434E70B9" w14:textId="77777777" w:rsidR="003953D6" w:rsidRPr="00346CBB" w:rsidRDefault="003953D6" w:rsidP="00346CBB">
      <w:proofErr w:type="spellStart"/>
      <w:r w:rsidRPr="00346CBB">
        <w:lastRenderedPageBreak/>
        <w:t>Sammenvektingen</w:t>
      </w:r>
      <w:proofErr w:type="spellEnd"/>
      <w:r w:rsidRPr="00346CBB">
        <w:t xml:space="preserve"> av prisveksten for de ulike varegruppene gjøres med formelen for en </w:t>
      </w:r>
      <w:proofErr w:type="spellStart"/>
      <w:r w:rsidRPr="00346CBB">
        <w:t>Laspeyres</w:t>
      </w:r>
      <w:proofErr w:type="spellEnd"/>
      <w:r w:rsidRPr="00346CBB">
        <w:t xml:space="preserve"> prisindeks, dvs. at prisveksten samlet består av en vektet sum av prisveksten på de enkelte varegruppene, hvor vektene er basert på fordelingen av utgiftene i basisåret. Det vil si året prisveksten beregnes fra. For eksempel brukes fordelingen for 2023 som vekter for </w:t>
      </w:r>
      <w:proofErr w:type="spellStart"/>
      <w:r w:rsidRPr="00346CBB">
        <w:t>sammenvektingen</w:t>
      </w:r>
      <w:proofErr w:type="spellEnd"/>
      <w:r w:rsidRPr="00346CBB">
        <w:t xml:space="preserve"> av prisindeksene for 2024.</w:t>
      </w:r>
    </w:p>
    <w:p w14:paraId="334744FF" w14:textId="77777777" w:rsidR="003953D6" w:rsidRPr="00346CBB" w:rsidRDefault="003953D6" w:rsidP="00346CBB">
      <w:r w:rsidRPr="00346CBB">
        <w:t>For 2024 beregnes prisveksten til 3,2 pst.</w:t>
      </w:r>
    </w:p>
    <w:p w14:paraId="502EB1AB" w14:textId="77777777" w:rsidR="003953D6" w:rsidRPr="00346CBB" w:rsidRDefault="003953D6" w:rsidP="00346CBB">
      <w:r w:rsidRPr="00346CBB">
        <w:t>Se tabell 2 med noter for beregninger av vekter og prisvekst for ulike varegrupper.</w:t>
      </w:r>
    </w:p>
    <w:p w14:paraId="2A62CE74" w14:textId="77777777" w:rsidR="003953D6" w:rsidRPr="00346CBB" w:rsidRDefault="003953D6" w:rsidP="00346CBB">
      <w:pPr>
        <w:pStyle w:val="avsnitt-undertittel"/>
      </w:pPr>
      <w:r w:rsidRPr="00346CBB">
        <w:t>Tabell 2. Beregning av prisvekst for varer og tjenester i helseforetakene.</w:t>
      </w:r>
    </w:p>
    <w:tbl>
      <w:tblPr>
        <w:tblW w:w="5000" w:type="pct"/>
        <w:tblCellMar>
          <w:left w:w="0" w:type="dxa"/>
          <w:right w:w="0" w:type="dxa"/>
        </w:tblCellMar>
        <w:tblLook w:val="0000" w:firstRow="0" w:lastRow="0" w:firstColumn="0" w:lastColumn="0" w:noHBand="0" w:noVBand="0"/>
      </w:tblPr>
      <w:tblGrid>
        <w:gridCol w:w="1096"/>
        <w:gridCol w:w="785"/>
        <w:gridCol w:w="786"/>
        <w:gridCol w:w="786"/>
        <w:gridCol w:w="658"/>
        <w:gridCol w:w="658"/>
        <w:gridCol w:w="658"/>
        <w:gridCol w:w="1152"/>
        <w:gridCol w:w="1635"/>
      </w:tblGrid>
      <w:tr w:rsidR="00A4769D" w:rsidRPr="00346CBB" w14:paraId="1E10F165" w14:textId="77777777" w:rsidTr="00C9271A">
        <w:trPr>
          <w:trHeight w:val="60"/>
          <w:tblHeader/>
        </w:trPr>
        <w:tc>
          <w:tcPr>
            <w:tcW w:w="808" w:type="pct"/>
            <w:vMerge w:val="restar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B97101C" w14:textId="0ED5FCCD" w:rsidR="003953D6" w:rsidRPr="00346CBB" w:rsidRDefault="003953D6" w:rsidP="00346CBB">
            <w:pPr>
              <w:pStyle w:val="TabellHode-kolonne"/>
            </w:pPr>
            <w:r w:rsidRPr="00346CBB">
              <w:t>Vare- og tjenestegrupper</w:t>
            </w:r>
          </w:p>
        </w:tc>
        <w:tc>
          <w:tcPr>
            <w:tcW w:w="1214" w:type="pct"/>
            <w:gridSpan w:val="3"/>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D51BF16" w14:textId="77777777" w:rsidR="003953D6" w:rsidRPr="00346CBB" w:rsidRDefault="003953D6" w:rsidP="00C9271A">
            <w:pPr>
              <w:pStyle w:val="TabellHode-kolonne"/>
              <w:jc w:val="center"/>
            </w:pPr>
            <w:r w:rsidRPr="00346CBB">
              <w:t>Utgiftsandeler</w:t>
            </w:r>
          </w:p>
        </w:tc>
        <w:tc>
          <w:tcPr>
            <w:tcW w:w="1103" w:type="pct"/>
            <w:gridSpan w:val="3"/>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41CA2AF" w14:textId="5AB99BF7" w:rsidR="003953D6" w:rsidRPr="00346CBB" w:rsidRDefault="003953D6" w:rsidP="00C9271A">
            <w:pPr>
              <w:pStyle w:val="TabellHode-kolonne"/>
              <w:jc w:val="center"/>
            </w:pPr>
            <w:r w:rsidRPr="00346CBB">
              <w:t>Prisvekst</w:t>
            </w:r>
          </w:p>
        </w:tc>
        <w:tc>
          <w:tcPr>
            <w:tcW w:w="1875" w:type="pct"/>
            <w:gridSpan w:val="2"/>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999D86E" w14:textId="77777777" w:rsidR="003953D6" w:rsidRPr="00346CBB" w:rsidRDefault="003953D6" w:rsidP="00C9271A">
            <w:pPr>
              <w:pStyle w:val="TabellHode-kolonne"/>
              <w:jc w:val="center"/>
            </w:pPr>
            <w:r w:rsidRPr="00346CBB">
              <w:t>Kilder for prisdata</w:t>
            </w:r>
          </w:p>
        </w:tc>
      </w:tr>
      <w:tr w:rsidR="00A4769D" w:rsidRPr="00346CBB" w14:paraId="59840178" w14:textId="77777777" w:rsidTr="00346CBB">
        <w:trPr>
          <w:trHeight w:val="60"/>
          <w:tblHeader/>
        </w:trPr>
        <w:tc>
          <w:tcPr>
            <w:tcW w:w="808" w:type="pct"/>
            <w:vMerge/>
            <w:tcBorders>
              <w:top w:val="single" w:sz="2" w:space="0" w:color="000000"/>
              <w:left w:val="single" w:sz="2" w:space="0" w:color="000000"/>
              <w:bottom w:val="single" w:sz="8" w:space="0" w:color="000000"/>
              <w:right w:val="single" w:sz="2" w:space="0" w:color="000000"/>
            </w:tcBorders>
          </w:tcPr>
          <w:p w14:paraId="0B0965DE" w14:textId="77777777" w:rsidR="003953D6" w:rsidRPr="00346CBB" w:rsidRDefault="003953D6" w:rsidP="00C9271A">
            <w:pPr>
              <w:jc w:val="right"/>
            </w:pPr>
          </w:p>
        </w:tc>
        <w:tc>
          <w:tcPr>
            <w:tcW w:w="404" w:type="pct"/>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295B5A4" w14:textId="77777777" w:rsidR="003953D6" w:rsidRPr="00346CBB" w:rsidRDefault="003953D6" w:rsidP="00346CBB">
            <w:pPr>
              <w:pStyle w:val="TabellHode-kolonne"/>
              <w:jc w:val="right"/>
            </w:pPr>
            <w:r w:rsidRPr="00346CBB">
              <w:t>2022</w:t>
            </w:r>
            <w:r w:rsidRPr="00346CBB">
              <w:br/>
              <w:t>(2021)</w:t>
            </w:r>
          </w:p>
        </w:tc>
        <w:tc>
          <w:tcPr>
            <w:tcW w:w="405" w:type="pct"/>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4660CB3" w14:textId="77777777" w:rsidR="003953D6" w:rsidRPr="00346CBB" w:rsidRDefault="003953D6" w:rsidP="00346CBB">
            <w:pPr>
              <w:pStyle w:val="TabellHode-kolonne"/>
              <w:jc w:val="right"/>
            </w:pPr>
            <w:r w:rsidRPr="00346CBB">
              <w:t>2023</w:t>
            </w:r>
            <w:r w:rsidRPr="00346CBB">
              <w:br/>
              <w:t>(2022)</w:t>
            </w:r>
          </w:p>
        </w:tc>
        <w:tc>
          <w:tcPr>
            <w:tcW w:w="405" w:type="pct"/>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A020ABF" w14:textId="77777777" w:rsidR="003953D6" w:rsidRPr="00346CBB" w:rsidRDefault="003953D6" w:rsidP="00346CBB">
            <w:pPr>
              <w:pStyle w:val="TabellHode-kolonne"/>
              <w:jc w:val="right"/>
            </w:pPr>
            <w:r w:rsidRPr="00346CBB">
              <w:t>2024</w:t>
            </w:r>
            <w:r w:rsidRPr="00346CBB">
              <w:br/>
              <w:t>(2023)</w:t>
            </w:r>
          </w:p>
        </w:tc>
        <w:tc>
          <w:tcPr>
            <w:tcW w:w="368" w:type="pct"/>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B62F217" w14:textId="77777777" w:rsidR="003953D6" w:rsidRPr="00346CBB" w:rsidRDefault="003953D6" w:rsidP="00346CBB">
            <w:pPr>
              <w:pStyle w:val="TabellHode-kolonne"/>
              <w:jc w:val="right"/>
            </w:pPr>
            <w:r w:rsidRPr="00346CBB">
              <w:t>2022</w:t>
            </w:r>
          </w:p>
        </w:tc>
        <w:tc>
          <w:tcPr>
            <w:tcW w:w="367" w:type="pct"/>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DEE38BD" w14:textId="77777777" w:rsidR="003953D6" w:rsidRPr="00346CBB" w:rsidRDefault="003953D6" w:rsidP="00346CBB">
            <w:pPr>
              <w:pStyle w:val="TabellHode-kolonne"/>
              <w:jc w:val="right"/>
            </w:pPr>
            <w:r w:rsidRPr="00346CBB">
              <w:t>2023</w:t>
            </w:r>
          </w:p>
        </w:tc>
        <w:tc>
          <w:tcPr>
            <w:tcW w:w="368" w:type="pct"/>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3703A971" w14:textId="77777777" w:rsidR="003953D6" w:rsidRPr="00346CBB" w:rsidRDefault="003953D6" w:rsidP="00346CBB">
            <w:pPr>
              <w:pStyle w:val="TabellHode-kolonne"/>
              <w:jc w:val="right"/>
            </w:pPr>
            <w:r w:rsidRPr="00346CBB">
              <w:t>2024</w:t>
            </w:r>
          </w:p>
        </w:tc>
        <w:tc>
          <w:tcPr>
            <w:tcW w:w="1875" w:type="pct"/>
            <w:gridSpan w:val="2"/>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288146B" w14:textId="77777777" w:rsidR="003953D6" w:rsidRPr="00346CBB" w:rsidRDefault="003953D6" w:rsidP="00C9271A">
            <w:pPr>
              <w:jc w:val="right"/>
            </w:pPr>
          </w:p>
        </w:tc>
      </w:tr>
      <w:tr w:rsidR="00A4769D" w:rsidRPr="00346CBB" w14:paraId="6E3C8B78" w14:textId="77777777" w:rsidTr="00346CBB">
        <w:trPr>
          <w:trHeight w:val="60"/>
        </w:trPr>
        <w:tc>
          <w:tcPr>
            <w:tcW w:w="808"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394611" w14:textId="77777777" w:rsidR="003953D6" w:rsidRPr="00346CBB" w:rsidRDefault="003953D6" w:rsidP="00346CBB">
            <w:pPr>
              <w:pStyle w:val="TabellHode-rad"/>
            </w:pPr>
            <w:r w:rsidRPr="00346CBB">
              <w:t>Kontormateriell</w:t>
            </w:r>
          </w:p>
        </w:tc>
        <w:tc>
          <w:tcPr>
            <w:tcW w:w="404"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41BC1E" w14:textId="77777777" w:rsidR="003953D6" w:rsidRPr="00346CBB" w:rsidRDefault="003953D6" w:rsidP="00346CBB">
            <w:pPr>
              <w:jc w:val="right"/>
            </w:pPr>
            <w:r w:rsidRPr="00346CBB">
              <w:t>0,7</w:t>
            </w:r>
          </w:p>
        </w:tc>
        <w:tc>
          <w:tcPr>
            <w:tcW w:w="40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DA7861" w14:textId="77777777" w:rsidR="003953D6" w:rsidRPr="00346CBB" w:rsidRDefault="003953D6" w:rsidP="00346CBB">
            <w:pPr>
              <w:jc w:val="right"/>
            </w:pPr>
            <w:r w:rsidRPr="00346CBB">
              <w:t>0,7</w:t>
            </w:r>
          </w:p>
        </w:tc>
        <w:tc>
          <w:tcPr>
            <w:tcW w:w="40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4904E5" w14:textId="77777777" w:rsidR="003953D6" w:rsidRPr="00346CBB" w:rsidRDefault="003953D6" w:rsidP="00346CBB">
            <w:pPr>
              <w:jc w:val="right"/>
            </w:pPr>
            <w:r w:rsidRPr="00346CBB">
              <w:t>0,6</w:t>
            </w:r>
          </w:p>
        </w:tc>
        <w:tc>
          <w:tcPr>
            <w:tcW w:w="368"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4D8EFF" w14:textId="77777777" w:rsidR="003953D6" w:rsidRPr="00346CBB" w:rsidRDefault="003953D6" w:rsidP="00346CBB">
            <w:pPr>
              <w:jc w:val="right"/>
            </w:pPr>
            <w:r w:rsidRPr="00346CBB">
              <w:t>4,9</w:t>
            </w:r>
          </w:p>
        </w:tc>
        <w:tc>
          <w:tcPr>
            <w:tcW w:w="367"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73A340" w14:textId="77777777" w:rsidR="003953D6" w:rsidRPr="00346CBB" w:rsidRDefault="003953D6" w:rsidP="00346CBB">
            <w:pPr>
              <w:jc w:val="right"/>
            </w:pPr>
            <w:r w:rsidRPr="00346CBB">
              <w:t>6,8</w:t>
            </w:r>
          </w:p>
        </w:tc>
        <w:tc>
          <w:tcPr>
            <w:tcW w:w="368"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4ACD8E" w14:textId="77777777" w:rsidR="003953D6" w:rsidRPr="00346CBB" w:rsidRDefault="003953D6" w:rsidP="00346CBB">
            <w:pPr>
              <w:jc w:val="right"/>
            </w:pPr>
            <w:r w:rsidRPr="00346CBB">
              <w:t>4,5</w:t>
            </w:r>
          </w:p>
        </w:tc>
        <w:tc>
          <w:tcPr>
            <w:tcW w:w="663"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BC8B70" w14:textId="77777777" w:rsidR="003953D6" w:rsidRPr="00346CBB" w:rsidRDefault="003953D6" w:rsidP="00346CBB">
            <w:r w:rsidRPr="00346CBB">
              <w:t>Konsumprisindeks</w:t>
            </w:r>
          </w:p>
        </w:tc>
        <w:tc>
          <w:tcPr>
            <w:tcW w:w="1212"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53E3322" w14:textId="77777777" w:rsidR="003953D6" w:rsidRPr="00346CBB" w:rsidRDefault="003953D6" w:rsidP="00346CBB">
            <w:r w:rsidRPr="00346CBB">
              <w:t>Aviser, bøker og papirvarer (09.5)</w:t>
            </w:r>
          </w:p>
        </w:tc>
      </w:tr>
      <w:tr w:rsidR="00A4769D" w:rsidRPr="00346CBB" w14:paraId="58224D9C"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BF7EFE" w14:textId="77777777" w:rsidR="003953D6" w:rsidRPr="00346CBB" w:rsidRDefault="003953D6" w:rsidP="00346CBB">
            <w:pPr>
              <w:pStyle w:val="TabellHode-rad"/>
            </w:pPr>
            <w:r w:rsidRPr="00346CBB">
              <w:t>Undervisningsmateriell</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77AE9E" w14:textId="77777777" w:rsidR="003953D6" w:rsidRPr="00346CBB" w:rsidRDefault="003953D6" w:rsidP="00346CBB">
            <w:pPr>
              <w:jc w:val="right"/>
            </w:pPr>
            <w:r w:rsidRPr="00346CBB">
              <w:t>0,0</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729CCA" w14:textId="77777777" w:rsidR="003953D6" w:rsidRPr="00346CBB" w:rsidRDefault="003953D6" w:rsidP="00346CBB">
            <w:pPr>
              <w:jc w:val="right"/>
            </w:pPr>
            <w:r w:rsidRPr="00346CBB">
              <w:t>0,0</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F5F6D5" w14:textId="77777777" w:rsidR="003953D6" w:rsidRPr="00346CBB" w:rsidRDefault="003953D6" w:rsidP="00346CBB">
            <w:pPr>
              <w:jc w:val="right"/>
            </w:pPr>
            <w:r w:rsidRPr="00346CBB">
              <w:t>0,0</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0B1030" w14:textId="77777777" w:rsidR="003953D6" w:rsidRPr="00346CBB" w:rsidRDefault="003953D6" w:rsidP="00346CBB">
            <w:pPr>
              <w:jc w:val="right"/>
            </w:pPr>
            <w:r w:rsidRPr="00346CBB">
              <w:t>4,9</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78CDDE" w14:textId="77777777" w:rsidR="003953D6" w:rsidRPr="00346CBB" w:rsidRDefault="003953D6" w:rsidP="00346CBB">
            <w:pPr>
              <w:jc w:val="right"/>
            </w:pPr>
            <w:r w:rsidRPr="00346CBB">
              <w:t>6,8</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7E7B9D" w14:textId="77777777" w:rsidR="003953D6" w:rsidRPr="00346CBB" w:rsidRDefault="003953D6" w:rsidP="00346CBB">
            <w:pPr>
              <w:jc w:val="right"/>
            </w:pPr>
            <w:r w:rsidRPr="00346CBB">
              <w:t>4,5</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591831" w14:textId="77777777" w:rsidR="003953D6" w:rsidRPr="00346CBB" w:rsidRDefault="003953D6" w:rsidP="00346CBB">
            <w:r w:rsidRPr="00346CBB">
              <w:t>Konsumprisindeks</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01E7B2" w14:textId="77777777" w:rsidR="003953D6" w:rsidRPr="00346CBB" w:rsidRDefault="003953D6" w:rsidP="00346CBB">
            <w:r w:rsidRPr="00346CBB">
              <w:t>Aviser, bøker og papirvarer (09.5)</w:t>
            </w:r>
          </w:p>
        </w:tc>
      </w:tr>
      <w:tr w:rsidR="00A4769D" w:rsidRPr="00346CBB" w14:paraId="7705C1CD"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08517C" w14:textId="77777777" w:rsidR="003953D6" w:rsidRPr="00346CBB" w:rsidRDefault="003953D6" w:rsidP="00346CBB">
            <w:pPr>
              <w:pStyle w:val="TabellHode-rad"/>
            </w:pPr>
            <w:r w:rsidRPr="00346CBB">
              <w:t>Medisinsk forbruksmateriell</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52AC688" w14:textId="77777777" w:rsidR="003953D6" w:rsidRPr="00346CBB" w:rsidRDefault="003953D6" w:rsidP="00346CBB">
            <w:pPr>
              <w:jc w:val="right"/>
            </w:pPr>
            <w:r w:rsidRPr="00346CBB">
              <w:t>15,7</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0F29FE" w14:textId="77777777" w:rsidR="003953D6" w:rsidRPr="00346CBB" w:rsidRDefault="003953D6" w:rsidP="00346CBB">
            <w:pPr>
              <w:jc w:val="right"/>
            </w:pPr>
            <w:r w:rsidRPr="00346CBB">
              <w:t>14,2</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CAE645" w14:textId="77777777" w:rsidR="003953D6" w:rsidRPr="00346CBB" w:rsidRDefault="003953D6" w:rsidP="00346CBB">
            <w:pPr>
              <w:jc w:val="right"/>
            </w:pPr>
            <w:r w:rsidRPr="00346CBB">
              <w:t>12,8</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F0953F" w14:textId="77777777" w:rsidR="003953D6" w:rsidRPr="00346CBB" w:rsidRDefault="003953D6" w:rsidP="00346CBB">
            <w:pPr>
              <w:jc w:val="right"/>
            </w:pPr>
            <w:r w:rsidRPr="00346CBB">
              <w:t>2,4</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9A63DC" w14:textId="77777777" w:rsidR="003953D6" w:rsidRPr="00346CBB" w:rsidRDefault="003953D6" w:rsidP="00346CBB">
            <w:pPr>
              <w:jc w:val="right"/>
            </w:pPr>
            <w:r w:rsidRPr="00346CBB">
              <w:t>4,7</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F5BDD3" w14:textId="77777777" w:rsidR="003953D6" w:rsidRPr="00346CBB" w:rsidRDefault="003953D6" w:rsidP="00346CBB">
            <w:pPr>
              <w:jc w:val="right"/>
            </w:pPr>
            <w:r w:rsidRPr="00346CBB">
              <w:t>5,2</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800564" w14:textId="77777777" w:rsidR="003953D6" w:rsidRPr="00346CBB" w:rsidRDefault="003953D6" w:rsidP="00346CBB">
            <w:r w:rsidRPr="00346CBB">
              <w:t>Konsumprisindeks</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5BC0F1" w14:textId="77777777" w:rsidR="003953D6" w:rsidRPr="00346CBB" w:rsidRDefault="003953D6" w:rsidP="00346CBB">
            <w:r w:rsidRPr="00346CBB">
              <w:t>Medisinske produkter mv (06.1)</w:t>
            </w:r>
          </w:p>
        </w:tc>
      </w:tr>
      <w:tr w:rsidR="00A4769D" w:rsidRPr="00346CBB" w14:paraId="5BADA881"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E8D706" w14:textId="77777777" w:rsidR="003953D6" w:rsidRPr="00346CBB" w:rsidRDefault="003953D6" w:rsidP="00346CBB">
            <w:pPr>
              <w:pStyle w:val="TabellHode-rad"/>
            </w:pPr>
            <w:r w:rsidRPr="00346CBB">
              <w:lastRenderedPageBreak/>
              <w:t>Legemidler</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8DDD45" w14:textId="77777777" w:rsidR="003953D6" w:rsidRPr="00346CBB" w:rsidRDefault="003953D6" w:rsidP="00346CBB">
            <w:pPr>
              <w:jc w:val="right"/>
            </w:pPr>
            <w:r w:rsidRPr="00346CBB">
              <w:t>17,5</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6E5C9C" w14:textId="77777777" w:rsidR="003953D6" w:rsidRPr="00346CBB" w:rsidRDefault="003953D6" w:rsidP="00346CBB">
            <w:pPr>
              <w:jc w:val="right"/>
            </w:pPr>
            <w:r w:rsidRPr="00346CBB">
              <w:t>16,0</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E39D86" w14:textId="77777777" w:rsidR="003953D6" w:rsidRPr="00346CBB" w:rsidRDefault="003953D6" w:rsidP="00346CBB">
            <w:pPr>
              <w:jc w:val="right"/>
            </w:pPr>
            <w:r w:rsidRPr="00346CBB">
              <w:t>14,5</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1ED0C9" w14:textId="77777777" w:rsidR="003953D6" w:rsidRPr="00346CBB" w:rsidRDefault="003953D6" w:rsidP="00346CBB">
            <w:pPr>
              <w:jc w:val="right"/>
            </w:pPr>
            <w:r w:rsidRPr="00346CBB">
              <w:t>2,4</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3C5DDA" w14:textId="77777777" w:rsidR="003953D6" w:rsidRPr="00346CBB" w:rsidRDefault="003953D6" w:rsidP="00346CBB">
            <w:pPr>
              <w:jc w:val="right"/>
            </w:pPr>
            <w:r w:rsidRPr="00346CBB">
              <w:t>4,7</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E93BD4" w14:textId="77777777" w:rsidR="003953D6" w:rsidRPr="00346CBB" w:rsidRDefault="003953D6" w:rsidP="00346CBB">
            <w:pPr>
              <w:jc w:val="right"/>
            </w:pPr>
            <w:r w:rsidRPr="00346CBB">
              <w:t>5,2</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A9005E" w14:textId="77777777" w:rsidR="003953D6" w:rsidRPr="00346CBB" w:rsidRDefault="003953D6" w:rsidP="00346CBB">
            <w:r w:rsidRPr="00346CBB">
              <w:t>Konsumprisindeks</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7FF383" w14:textId="77777777" w:rsidR="003953D6" w:rsidRPr="00346CBB" w:rsidRDefault="003953D6" w:rsidP="00346CBB">
            <w:r w:rsidRPr="00346CBB">
              <w:t>Medisinske produkter mv (06.1)</w:t>
            </w:r>
          </w:p>
        </w:tc>
      </w:tr>
      <w:tr w:rsidR="00A4769D" w:rsidRPr="00346CBB" w14:paraId="7E6027D3"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263461" w14:textId="77777777" w:rsidR="003953D6" w:rsidRPr="00346CBB" w:rsidRDefault="003953D6" w:rsidP="00346CBB">
            <w:pPr>
              <w:pStyle w:val="TabellHode-rad"/>
            </w:pPr>
            <w:r w:rsidRPr="00346CBB">
              <w:t>Matvarer</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B44D12" w14:textId="77777777" w:rsidR="003953D6" w:rsidRPr="00346CBB" w:rsidRDefault="003953D6" w:rsidP="00346CBB">
            <w:pPr>
              <w:jc w:val="right"/>
            </w:pPr>
            <w:r w:rsidRPr="00346CBB">
              <w:t>1,1</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FD9197" w14:textId="77777777" w:rsidR="003953D6" w:rsidRPr="00346CBB" w:rsidRDefault="003953D6" w:rsidP="00346CBB">
            <w:pPr>
              <w:jc w:val="right"/>
            </w:pPr>
            <w:r w:rsidRPr="00346CBB">
              <w:t>1,1</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C736D5" w14:textId="77777777" w:rsidR="003953D6" w:rsidRPr="00346CBB" w:rsidRDefault="003953D6" w:rsidP="00346CBB">
            <w:pPr>
              <w:jc w:val="right"/>
            </w:pPr>
            <w:r w:rsidRPr="00346CBB">
              <w:t>1,1</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8F4F37" w14:textId="77777777" w:rsidR="003953D6" w:rsidRPr="00346CBB" w:rsidRDefault="003953D6" w:rsidP="00346CBB">
            <w:pPr>
              <w:jc w:val="right"/>
            </w:pPr>
            <w:r w:rsidRPr="00346CBB">
              <w:t>6,5</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DEAF8C" w14:textId="77777777" w:rsidR="003953D6" w:rsidRPr="00346CBB" w:rsidRDefault="003953D6" w:rsidP="00346CBB">
            <w:pPr>
              <w:jc w:val="right"/>
            </w:pPr>
            <w:r w:rsidRPr="00346CBB">
              <w:t>9,8</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015B09" w14:textId="77777777" w:rsidR="003953D6" w:rsidRPr="00346CBB" w:rsidRDefault="003953D6" w:rsidP="00346CBB">
            <w:pPr>
              <w:jc w:val="right"/>
            </w:pPr>
            <w:r w:rsidRPr="00346CBB">
              <w:t>5,3</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0E458E" w14:textId="77777777" w:rsidR="003953D6" w:rsidRPr="00346CBB" w:rsidRDefault="003953D6" w:rsidP="00346CBB">
            <w:r w:rsidRPr="00346CBB">
              <w:t>Konsumprisindeks</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8F37E5" w14:textId="77777777" w:rsidR="003953D6" w:rsidRPr="00346CBB" w:rsidRDefault="003953D6" w:rsidP="00346CBB">
            <w:r w:rsidRPr="00346CBB">
              <w:t xml:space="preserve">Matvarer/alkoholfrie </w:t>
            </w:r>
            <w:proofErr w:type="spellStart"/>
            <w:proofErr w:type="gramStart"/>
            <w:r w:rsidRPr="00346CBB">
              <w:t>dr.varer</w:t>
            </w:r>
            <w:proofErr w:type="spellEnd"/>
            <w:proofErr w:type="gramEnd"/>
            <w:r w:rsidRPr="00346CBB">
              <w:t xml:space="preserve"> (01)</w:t>
            </w:r>
          </w:p>
        </w:tc>
      </w:tr>
      <w:tr w:rsidR="00A4769D" w:rsidRPr="00346CBB" w14:paraId="6F7DBA22"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E4CF79" w14:textId="77777777" w:rsidR="003953D6" w:rsidRPr="00346CBB" w:rsidRDefault="003953D6" w:rsidP="00346CBB">
            <w:pPr>
              <w:pStyle w:val="TabellHode-rad"/>
            </w:pPr>
            <w:r w:rsidRPr="00346CBB">
              <w:t>Annet forbruksmateriell/råvarer og tjenester</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F83EAE" w14:textId="77777777" w:rsidR="003953D6" w:rsidRPr="00346CBB" w:rsidRDefault="003953D6" w:rsidP="00346CBB">
            <w:pPr>
              <w:jc w:val="right"/>
            </w:pPr>
            <w:r w:rsidRPr="00346CBB">
              <w:t>1,8</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897E5C" w14:textId="77777777" w:rsidR="003953D6" w:rsidRPr="00346CBB" w:rsidRDefault="003953D6" w:rsidP="00346CBB">
            <w:pPr>
              <w:jc w:val="right"/>
            </w:pPr>
            <w:r w:rsidRPr="00346CBB">
              <w:t>1,9</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C197DD" w14:textId="77777777" w:rsidR="003953D6" w:rsidRPr="00346CBB" w:rsidRDefault="003953D6" w:rsidP="00346CBB">
            <w:pPr>
              <w:jc w:val="right"/>
            </w:pPr>
            <w:r w:rsidRPr="00346CBB">
              <w:t>1,7</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EBF0A6" w14:textId="77777777" w:rsidR="003953D6" w:rsidRPr="00346CBB" w:rsidRDefault="003953D6" w:rsidP="00346CBB">
            <w:pPr>
              <w:jc w:val="right"/>
            </w:pPr>
            <w:r w:rsidRPr="00346CBB">
              <w:t>6,5</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7BD16B" w14:textId="77777777" w:rsidR="003953D6" w:rsidRPr="00346CBB" w:rsidRDefault="003953D6" w:rsidP="00346CBB">
            <w:pPr>
              <w:jc w:val="right"/>
            </w:pPr>
            <w:r w:rsidRPr="00346CBB">
              <w:t>8,5</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1DC9CB" w14:textId="77777777" w:rsidR="003953D6" w:rsidRPr="00346CBB" w:rsidRDefault="003953D6" w:rsidP="00346CBB">
            <w:pPr>
              <w:jc w:val="right"/>
            </w:pPr>
            <w:r w:rsidRPr="00346CBB">
              <w:t>2,7</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D33501" w14:textId="77777777" w:rsidR="003953D6" w:rsidRPr="00346CBB" w:rsidRDefault="003953D6" w:rsidP="00346CBB">
            <w:r w:rsidRPr="00346CBB">
              <w:t>Konsumprisindeks</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A55368" w14:textId="77777777" w:rsidR="003953D6" w:rsidRPr="00346CBB" w:rsidRDefault="003953D6" w:rsidP="00346CBB">
            <w:r w:rsidRPr="00346CBB">
              <w:t xml:space="preserve">Møbler, </w:t>
            </w:r>
            <w:proofErr w:type="spellStart"/>
            <w:proofErr w:type="gramStart"/>
            <w:r w:rsidRPr="00346CBB">
              <w:t>hush.artikler</w:t>
            </w:r>
            <w:proofErr w:type="spellEnd"/>
            <w:proofErr w:type="gramEnd"/>
            <w:r w:rsidRPr="00346CBB">
              <w:t xml:space="preserve"> mv. (05)</w:t>
            </w:r>
          </w:p>
        </w:tc>
      </w:tr>
      <w:tr w:rsidR="00A4769D" w:rsidRPr="00346CBB" w14:paraId="5626B6BF"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5AA622" w14:textId="77777777" w:rsidR="003953D6" w:rsidRPr="00346CBB" w:rsidRDefault="003953D6" w:rsidP="00346CBB">
            <w:pPr>
              <w:pStyle w:val="TabellHode-rad"/>
            </w:pPr>
            <w:r w:rsidRPr="00346CBB">
              <w:t>Post, banktjenester og telefon</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A442E3" w14:textId="77777777" w:rsidR="003953D6" w:rsidRPr="00346CBB" w:rsidRDefault="003953D6" w:rsidP="00346CBB">
            <w:pPr>
              <w:jc w:val="right"/>
            </w:pPr>
            <w:r w:rsidRPr="00346CBB">
              <w:t>1,6</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5A6E4D1" w14:textId="77777777" w:rsidR="003953D6" w:rsidRPr="00346CBB" w:rsidRDefault="003953D6" w:rsidP="00346CBB">
            <w:pPr>
              <w:jc w:val="right"/>
            </w:pPr>
            <w:r w:rsidRPr="00346CBB">
              <w:t>1,2</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A50468" w14:textId="77777777" w:rsidR="003953D6" w:rsidRPr="00346CBB" w:rsidRDefault="003953D6" w:rsidP="00346CBB">
            <w:pPr>
              <w:jc w:val="right"/>
            </w:pPr>
            <w:r w:rsidRPr="00346CBB">
              <w:t>1,1</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A70BDC" w14:textId="77777777" w:rsidR="003953D6" w:rsidRPr="00346CBB" w:rsidRDefault="003953D6" w:rsidP="00346CBB">
            <w:pPr>
              <w:jc w:val="right"/>
            </w:pPr>
            <w:r w:rsidRPr="00346CBB">
              <w:t>1,0</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7EB6FC" w14:textId="77777777" w:rsidR="003953D6" w:rsidRPr="00346CBB" w:rsidRDefault="003953D6" w:rsidP="00346CBB">
            <w:pPr>
              <w:jc w:val="right"/>
            </w:pPr>
            <w:r w:rsidRPr="00346CBB">
              <w:t>5,1</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3EC701" w14:textId="77777777" w:rsidR="003953D6" w:rsidRPr="00346CBB" w:rsidRDefault="003953D6" w:rsidP="00346CBB">
            <w:pPr>
              <w:jc w:val="right"/>
            </w:pPr>
            <w:r w:rsidRPr="00346CBB">
              <w:t>0,9</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6522BE" w14:textId="77777777" w:rsidR="003953D6" w:rsidRPr="00346CBB" w:rsidRDefault="003953D6" w:rsidP="00346CBB">
            <w:r w:rsidRPr="00346CBB">
              <w:t>Konsumprisindeks</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BF2A166" w14:textId="77777777" w:rsidR="003953D6" w:rsidRPr="00346CBB" w:rsidRDefault="003953D6" w:rsidP="00346CBB">
            <w:r w:rsidRPr="00346CBB">
              <w:t>*</w:t>
            </w:r>
          </w:p>
        </w:tc>
      </w:tr>
      <w:tr w:rsidR="00A4769D" w:rsidRPr="00346CBB" w14:paraId="336649A3"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3D9E6C" w14:textId="77777777" w:rsidR="003953D6" w:rsidRPr="00346CBB" w:rsidRDefault="003953D6" w:rsidP="00346CBB">
            <w:pPr>
              <w:pStyle w:val="TabellHode-rad"/>
            </w:pPr>
            <w:r w:rsidRPr="00346CBB">
              <w:t>Annonse, reklame, informasjon</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F35154" w14:textId="77777777" w:rsidR="003953D6" w:rsidRPr="00346CBB" w:rsidRDefault="003953D6" w:rsidP="00346CBB">
            <w:pPr>
              <w:jc w:val="right"/>
            </w:pPr>
            <w:r w:rsidRPr="00346CBB">
              <w:t>0,0</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83D0EB" w14:textId="77777777" w:rsidR="003953D6" w:rsidRPr="00346CBB" w:rsidRDefault="003953D6" w:rsidP="00346CBB">
            <w:pPr>
              <w:jc w:val="right"/>
            </w:pPr>
            <w:r w:rsidRPr="00346CBB">
              <w:t>0,0</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F29333" w14:textId="77777777" w:rsidR="003953D6" w:rsidRPr="00346CBB" w:rsidRDefault="003953D6" w:rsidP="00346CBB">
            <w:pPr>
              <w:jc w:val="right"/>
            </w:pPr>
            <w:r w:rsidRPr="00346CBB">
              <w:t>0,0</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05DE7A" w14:textId="77777777" w:rsidR="003953D6" w:rsidRPr="00346CBB" w:rsidRDefault="003953D6" w:rsidP="00346CBB">
            <w:pPr>
              <w:jc w:val="right"/>
            </w:pPr>
            <w:r w:rsidRPr="00346CBB">
              <w:t>7,2</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34A4B8" w14:textId="77777777" w:rsidR="003953D6" w:rsidRPr="00346CBB" w:rsidRDefault="003953D6" w:rsidP="00346CBB">
            <w:pPr>
              <w:jc w:val="right"/>
            </w:pPr>
            <w:r w:rsidRPr="00346CBB">
              <w:t>7,8</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9FFBBC" w14:textId="77777777" w:rsidR="003953D6" w:rsidRPr="00346CBB" w:rsidRDefault="003953D6" w:rsidP="00346CBB">
            <w:pPr>
              <w:jc w:val="right"/>
            </w:pPr>
            <w:r w:rsidRPr="00346CBB">
              <w:t>6,4</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8953C9" w14:textId="77777777" w:rsidR="003953D6" w:rsidRPr="00346CBB" w:rsidRDefault="003953D6" w:rsidP="00346CBB">
            <w:r w:rsidRPr="00346CBB">
              <w:t>Konsumprisindeks</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5FFC7E" w14:textId="77777777" w:rsidR="003953D6" w:rsidRPr="00346CBB" w:rsidRDefault="003953D6" w:rsidP="00346CBB">
            <w:r w:rsidRPr="00346CBB">
              <w:t>Andre konsumvarer, kultur fritid (09.2)</w:t>
            </w:r>
          </w:p>
        </w:tc>
      </w:tr>
      <w:tr w:rsidR="00A4769D" w:rsidRPr="00346CBB" w14:paraId="7AFF9A35"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23C036" w14:textId="77777777" w:rsidR="003953D6" w:rsidRPr="00346CBB" w:rsidRDefault="003953D6" w:rsidP="00346CBB">
            <w:pPr>
              <w:pStyle w:val="TabellHode-rad"/>
            </w:pPr>
            <w:r w:rsidRPr="00346CBB">
              <w:lastRenderedPageBreak/>
              <w:t>Opplæring, kurs mv.</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91DB31" w14:textId="77777777" w:rsidR="003953D6" w:rsidRPr="00346CBB" w:rsidRDefault="003953D6" w:rsidP="00346CBB">
            <w:pPr>
              <w:jc w:val="right"/>
            </w:pPr>
            <w:r w:rsidRPr="00346CBB">
              <w:t>0,9</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92BF23" w14:textId="77777777" w:rsidR="003953D6" w:rsidRPr="00346CBB" w:rsidRDefault="003953D6" w:rsidP="00346CBB">
            <w:pPr>
              <w:jc w:val="right"/>
            </w:pPr>
            <w:r w:rsidRPr="00346CBB">
              <w:t>1,1</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BBA7D6" w14:textId="77777777" w:rsidR="003953D6" w:rsidRPr="00346CBB" w:rsidRDefault="003953D6" w:rsidP="00346CBB">
            <w:pPr>
              <w:jc w:val="right"/>
            </w:pPr>
            <w:r w:rsidRPr="00346CBB">
              <w:t>1,0</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229BFA" w14:textId="77777777" w:rsidR="003953D6" w:rsidRPr="00346CBB" w:rsidRDefault="003953D6" w:rsidP="00346CBB">
            <w:pPr>
              <w:jc w:val="right"/>
            </w:pPr>
            <w:r w:rsidRPr="00346CBB">
              <w:t>4,5</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C69A7E" w14:textId="77777777" w:rsidR="003953D6" w:rsidRPr="00346CBB" w:rsidRDefault="003953D6" w:rsidP="00346CBB">
            <w:pPr>
              <w:jc w:val="right"/>
            </w:pPr>
            <w:r w:rsidRPr="00346CBB">
              <w:t>8,8</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2190FD" w14:textId="77777777" w:rsidR="003953D6" w:rsidRPr="00346CBB" w:rsidRDefault="003953D6" w:rsidP="00346CBB">
            <w:pPr>
              <w:jc w:val="right"/>
            </w:pPr>
            <w:r w:rsidRPr="00346CBB">
              <w:t>7,6</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C4231D" w14:textId="77777777" w:rsidR="003953D6" w:rsidRPr="00346CBB" w:rsidRDefault="003953D6" w:rsidP="00346CBB">
            <w:r w:rsidRPr="00346CBB">
              <w:t>Konsumprisindeks</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83C3EA" w14:textId="77777777" w:rsidR="003953D6" w:rsidRPr="00346CBB" w:rsidRDefault="003953D6" w:rsidP="00346CBB">
            <w:r w:rsidRPr="00346CBB">
              <w:t>Tjenester, kultur fritid (09.4)</w:t>
            </w:r>
          </w:p>
        </w:tc>
      </w:tr>
      <w:tr w:rsidR="00A4769D" w:rsidRPr="00346CBB" w14:paraId="63A4C163"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CBD7EB" w14:textId="77777777" w:rsidR="003953D6" w:rsidRPr="00346CBB" w:rsidRDefault="003953D6" w:rsidP="00346CBB">
            <w:pPr>
              <w:pStyle w:val="TabellHode-rad"/>
            </w:pPr>
            <w:r w:rsidRPr="00346CBB">
              <w:t>Utgifter og godtgjørelser for reiser, diett, bil mv.</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927252B" w14:textId="77777777" w:rsidR="003953D6" w:rsidRPr="00346CBB" w:rsidRDefault="003953D6" w:rsidP="00346CBB">
            <w:pPr>
              <w:jc w:val="right"/>
            </w:pPr>
            <w:r w:rsidRPr="00346CBB">
              <w:t>0,4</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C9B172" w14:textId="77777777" w:rsidR="003953D6" w:rsidRPr="00346CBB" w:rsidRDefault="003953D6" w:rsidP="00346CBB">
            <w:pPr>
              <w:jc w:val="right"/>
            </w:pPr>
            <w:r w:rsidRPr="00346CBB">
              <w:t>0,7</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A93F8D" w14:textId="77777777" w:rsidR="003953D6" w:rsidRPr="00346CBB" w:rsidRDefault="003953D6" w:rsidP="00346CBB">
            <w:pPr>
              <w:jc w:val="right"/>
            </w:pPr>
            <w:r w:rsidRPr="00346CBB">
              <w:t>0,7</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F7D598" w14:textId="77777777" w:rsidR="003953D6" w:rsidRPr="00346CBB" w:rsidRDefault="003953D6" w:rsidP="00346CBB">
            <w:pPr>
              <w:jc w:val="right"/>
            </w:pPr>
            <w:r w:rsidRPr="00346CBB">
              <w:t>6,9</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CA0C19" w14:textId="77777777" w:rsidR="003953D6" w:rsidRPr="00346CBB" w:rsidRDefault="003953D6" w:rsidP="00346CBB">
            <w:pPr>
              <w:jc w:val="right"/>
            </w:pPr>
            <w:r w:rsidRPr="00346CBB">
              <w:t>9,9</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3EF9CB" w14:textId="77777777" w:rsidR="003953D6" w:rsidRPr="00346CBB" w:rsidRDefault="003953D6" w:rsidP="00346CBB">
            <w:pPr>
              <w:jc w:val="right"/>
            </w:pPr>
            <w:r w:rsidRPr="00346CBB">
              <w:t>2,7</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01AB00" w14:textId="77777777" w:rsidR="003953D6" w:rsidRPr="00346CBB" w:rsidRDefault="003953D6" w:rsidP="00346CBB">
            <w:r w:rsidRPr="00346CBB">
              <w:t>Konsumprisindeks</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09F910" w14:textId="77777777" w:rsidR="003953D6" w:rsidRPr="00346CBB" w:rsidRDefault="003953D6" w:rsidP="00346CBB">
            <w:r w:rsidRPr="00346CBB">
              <w:t>**</w:t>
            </w:r>
          </w:p>
        </w:tc>
      </w:tr>
      <w:tr w:rsidR="00A4769D" w:rsidRPr="00346CBB" w14:paraId="351683B0"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9BE65B" w14:textId="77777777" w:rsidR="003953D6" w:rsidRPr="00346CBB" w:rsidRDefault="003953D6" w:rsidP="00346CBB">
            <w:pPr>
              <w:pStyle w:val="TabellHode-rad"/>
            </w:pPr>
            <w:r w:rsidRPr="00346CBB">
              <w:t>Transport/drift av egne transportmidler</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E10068" w14:textId="77777777" w:rsidR="003953D6" w:rsidRPr="00346CBB" w:rsidRDefault="003953D6" w:rsidP="00346CBB">
            <w:pPr>
              <w:jc w:val="right"/>
            </w:pPr>
            <w:r w:rsidRPr="00346CBB">
              <w:t>0,6</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D97D55" w14:textId="77777777" w:rsidR="003953D6" w:rsidRPr="00346CBB" w:rsidRDefault="003953D6" w:rsidP="00346CBB">
            <w:pPr>
              <w:jc w:val="right"/>
            </w:pPr>
            <w:r w:rsidRPr="00346CBB">
              <w:t>0,6</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AA00EB" w14:textId="77777777" w:rsidR="003953D6" w:rsidRPr="00346CBB" w:rsidRDefault="003953D6" w:rsidP="00346CBB">
            <w:pPr>
              <w:jc w:val="right"/>
            </w:pPr>
            <w:r w:rsidRPr="00346CBB">
              <w:t>0,6</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5F20572" w14:textId="77777777" w:rsidR="003953D6" w:rsidRPr="00346CBB" w:rsidRDefault="003953D6" w:rsidP="00346CBB">
            <w:pPr>
              <w:jc w:val="right"/>
            </w:pPr>
            <w:r w:rsidRPr="00346CBB">
              <w:t>15,2</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C7CA98" w14:textId="77777777" w:rsidR="003953D6" w:rsidRPr="00346CBB" w:rsidRDefault="003953D6" w:rsidP="00346CBB">
            <w:pPr>
              <w:jc w:val="right"/>
            </w:pPr>
            <w:r w:rsidRPr="00346CBB">
              <w:t>4,2</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B3FD70" w14:textId="77777777" w:rsidR="003953D6" w:rsidRPr="00346CBB" w:rsidRDefault="003953D6" w:rsidP="00346CBB">
            <w:pPr>
              <w:jc w:val="right"/>
            </w:pPr>
            <w:r w:rsidRPr="00346CBB">
              <w:t>4,1</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0E91D2" w14:textId="77777777" w:rsidR="003953D6" w:rsidRPr="00346CBB" w:rsidRDefault="003953D6" w:rsidP="00346CBB">
            <w:r w:rsidRPr="00346CBB">
              <w:t>Konsumprisindeks</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FD00D9" w14:textId="77777777" w:rsidR="003953D6" w:rsidRPr="00346CBB" w:rsidRDefault="003953D6" w:rsidP="00346CBB">
            <w:r w:rsidRPr="00346CBB">
              <w:t xml:space="preserve">Drift av </w:t>
            </w:r>
            <w:proofErr w:type="spellStart"/>
            <w:r w:rsidRPr="00346CBB">
              <w:t>personl</w:t>
            </w:r>
            <w:proofErr w:type="spellEnd"/>
            <w:r w:rsidRPr="00346CBB">
              <w:t xml:space="preserve">. </w:t>
            </w:r>
            <w:proofErr w:type="spellStart"/>
            <w:r w:rsidRPr="00346CBB">
              <w:t>Transp.midl</w:t>
            </w:r>
            <w:proofErr w:type="spellEnd"/>
            <w:r w:rsidRPr="00346CBB">
              <w:t xml:space="preserve"> (07.2)</w:t>
            </w:r>
          </w:p>
        </w:tc>
      </w:tr>
      <w:tr w:rsidR="00A4769D" w:rsidRPr="00346CBB" w14:paraId="51BEF0E4"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C6BE58" w14:textId="77777777" w:rsidR="003953D6" w:rsidRPr="00346CBB" w:rsidRDefault="003953D6" w:rsidP="00346CBB">
            <w:pPr>
              <w:pStyle w:val="TabellHode-rad"/>
            </w:pPr>
            <w:r w:rsidRPr="00346CBB">
              <w:t>Energi</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8113C7" w14:textId="77777777" w:rsidR="003953D6" w:rsidRPr="00346CBB" w:rsidRDefault="003953D6" w:rsidP="00346CBB">
            <w:pPr>
              <w:jc w:val="right"/>
            </w:pPr>
            <w:r w:rsidRPr="00346CBB">
              <w:t>1,9</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E0A304" w14:textId="77777777" w:rsidR="003953D6" w:rsidRPr="00346CBB" w:rsidRDefault="003953D6" w:rsidP="00346CBB">
            <w:pPr>
              <w:jc w:val="right"/>
            </w:pPr>
            <w:r w:rsidRPr="00346CBB">
              <w:t>2,2</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DAB59C" w14:textId="77777777" w:rsidR="003953D6" w:rsidRPr="00346CBB" w:rsidRDefault="003953D6" w:rsidP="00346CBB">
            <w:pPr>
              <w:jc w:val="right"/>
            </w:pPr>
            <w:r w:rsidRPr="00346CBB">
              <w:t>1,9</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75DD64" w14:textId="77777777" w:rsidR="003953D6" w:rsidRPr="00346CBB" w:rsidRDefault="003953D6" w:rsidP="00346CBB">
            <w:pPr>
              <w:jc w:val="right"/>
            </w:pPr>
            <w:r w:rsidRPr="00346CBB">
              <w:t>65,7</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BB1641" w14:textId="77777777" w:rsidR="003953D6" w:rsidRPr="00346CBB" w:rsidRDefault="003953D6" w:rsidP="00346CBB">
            <w:pPr>
              <w:jc w:val="right"/>
            </w:pPr>
            <w:r w:rsidRPr="00346CBB">
              <w:t>-31,7</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5175AF" w14:textId="77777777" w:rsidR="003953D6" w:rsidRPr="00346CBB" w:rsidRDefault="003953D6" w:rsidP="00346CBB">
            <w:pPr>
              <w:jc w:val="right"/>
            </w:pPr>
            <w:r w:rsidRPr="00346CBB">
              <w:t>-16,1</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1C8BA6" w14:textId="77777777" w:rsidR="003953D6" w:rsidRPr="00346CBB" w:rsidRDefault="003953D6" w:rsidP="00346CBB">
            <w:r w:rsidRPr="00346CBB">
              <w:t xml:space="preserve">Årlig </w:t>
            </w:r>
            <w:proofErr w:type="spellStart"/>
            <w:proofErr w:type="gramStart"/>
            <w:r w:rsidRPr="00346CBB">
              <w:t>el.prisstatistikk</w:t>
            </w:r>
            <w:proofErr w:type="spellEnd"/>
            <w:proofErr w:type="gramEnd"/>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262750" w14:textId="77777777" w:rsidR="003953D6" w:rsidRPr="00346CBB" w:rsidRDefault="003953D6" w:rsidP="00346CBB">
            <w:r w:rsidRPr="00346CBB">
              <w:t>Nettleie + kraftpris inkl. avgifter, alle kontrakter husholdninger</w:t>
            </w:r>
          </w:p>
        </w:tc>
      </w:tr>
      <w:tr w:rsidR="00A4769D" w:rsidRPr="00346CBB" w14:paraId="32696B31"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2C49F3" w14:textId="77777777" w:rsidR="003953D6" w:rsidRPr="00346CBB" w:rsidRDefault="003953D6" w:rsidP="00346CBB">
            <w:pPr>
              <w:pStyle w:val="TabellHode-rad"/>
            </w:pPr>
            <w:r w:rsidRPr="00346CBB">
              <w:t>Leie av lokaler og grunn</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1DB111" w14:textId="77777777" w:rsidR="003953D6" w:rsidRPr="00346CBB" w:rsidRDefault="003953D6" w:rsidP="00346CBB">
            <w:pPr>
              <w:jc w:val="right"/>
            </w:pPr>
            <w:r w:rsidRPr="00346CBB">
              <w:t>2,5</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1E9F16" w14:textId="77777777" w:rsidR="003953D6" w:rsidRPr="00346CBB" w:rsidRDefault="003953D6" w:rsidP="00346CBB">
            <w:pPr>
              <w:jc w:val="right"/>
            </w:pPr>
            <w:r w:rsidRPr="00346CBB">
              <w:t>2,5</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C9D487" w14:textId="77777777" w:rsidR="003953D6" w:rsidRPr="00346CBB" w:rsidRDefault="003953D6" w:rsidP="00346CBB">
            <w:pPr>
              <w:jc w:val="right"/>
            </w:pPr>
            <w:r w:rsidRPr="00346CBB">
              <w:t>2,4</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EB081A" w14:textId="77777777" w:rsidR="003953D6" w:rsidRPr="00346CBB" w:rsidRDefault="003953D6" w:rsidP="00346CBB">
            <w:pPr>
              <w:jc w:val="right"/>
            </w:pPr>
            <w:r w:rsidRPr="00346CBB">
              <w:t>2,0</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A284BE" w14:textId="77777777" w:rsidR="003953D6" w:rsidRPr="00346CBB" w:rsidRDefault="003953D6" w:rsidP="00346CBB">
            <w:pPr>
              <w:jc w:val="right"/>
            </w:pPr>
            <w:r w:rsidRPr="00346CBB">
              <w:t>3,9</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CB48CF" w14:textId="77777777" w:rsidR="003953D6" w:rsidRPr="00346CBB" w:rsidRDefault="003953D6" w:rsidP="00346CBB">
            <w:pPr>
              <w:jc w:val="right"/>
            </w:pPr>
            <w:r w:rsidRPr="00346CBB">
              <w:t>4,4</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B51A99" w14:textId="77777777" w:rsidR="003953D6" w:rsidRPr="00346CBB" w:rsidRDefault="003953D6" w:rsidP="00346CBB">
            <w:r w:rsidRPr="00346CBB">
              <w:t>Konsumprisindeks</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CA1A8D" w14:textId="77777777" w:rsidR="003953D6" w:rsidRPr="00346CBB" w:rsidRDefault="003953D6" w:rsidP="00346CBB">
            <w:r w:rsidRPr="00346CBB">
              <w:t>Beregnet husleie (04.2)</w:t>
            </w:r>
          </w:p>
        </w:tc>
      </w:tr>
      <w:tr w:rsidR="00A4769D" w:rsidRPr="00346CBB" w14:paraId="70043CD9"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41F3B8" w14:textId="77777777" w:rsidR="003953D6" w:rsidRPr="00346CBB" w:rsidRDefault="003953D6" w:rsidP="00346CBB">
            <w:pPr>
              <w:pStyle w:val="TabellHode-rad"/>
            </w:pPr>
            <w:r w:rsidRPr="00346CBB">
              <w:lastRenderedPageBreak/>
              <w:t>Avgifter, gebyrer, lisenser og lignende.</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2FA72C" w14:textId="77777777" w:rsidR="003953D6" w:rsidRPr="00346CBB" w:rsidRDefault="003953D6" w:rsidP="00346CBB">
            <w:pPr>
              <w:jc w:val="right"/>
            </w:pPr>
            <w:r w:rsidRPr="00346CBB">
              <w:t>2,8</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2D07D9" w14:textId="77777777" w:rsidR="003953D6" w:rsidRPr="00346CBB" w:rsidRDefault="003953D6" w:rsidP="00346CBB">
            <w:pPr>
              <w:jc w:val="right"/>
            </w:pPr>
            <w:r w:rsidRPr="00346CBB">
              <w:t>2,9</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92C089" w14:textId="77777777" w:rsidR="003953D6" w:rsidRPr="00346CBB" w:rsidRDefault="003953D6" w:rsidP="00346CBB">
            <w:pPr>
              <w:jc w:val="right"/>
            </w:pPr>
            <w:r w:rsidRPr="00346CBB">
              <w:t>3,1</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F12429" w14:textId="77777777" w:rsidR="003953D6" w:rsidRPr="00346CBB" w:rsidRDefault="003953D6" w:rsidP="00346CBB">
            <w:pPr>
              <w:jc w:val="right"/>
            </w:pPr>
            <w:r w:rsidRPr="00346CBB">
              <w:t>1,9</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04F66A" w14:textId="77777777" w:rsidR="003953D6" w:rsidRPr="00346CBB" w:rsidRDefault="003953D6" w:rsidP="00346CBB">
            <w:pPr>
              <w:jc w:val="right"/>
            </w:pPr>
            <w:r w:rsidRPr="00346CBB">
              <w:t>3,8</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6DF8DB" w14:textId="77777777" w:rsidR="003953D6" w:rsidRPr="00346CBB" w:rsidRDefault="003953D6" w:rsidP="00346CBB">
            <w:pPr>
              <w:jc w:val="right"/>
            </w:pPr>
            <w:r w:rsidRPr="00346CBB">
              <w:t>4,4</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7F0B3CF" w14:textId="77777777" w:rsidR="003953D6" w:rsidRPr="00346CBB" w:rsidRDefault="003953D6" w:rsidP="00346CBB">
            <w:r w:rsidRPr="00346CBB">
              <w:t>Konsumprisindeks</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2F0CA0" w14:textId="77777777" w:rsidR="003953D6" w:rsidRPr="00346CBB" w:rsidRDefault="003953D6" w:rsidP="00346CBB">
            <w:r w:rsidRPr="00346CBB">
              <w:t>Vann/</w:t>
            </w:r>
            <w:proofErr w:type="spellStart"/>
            <w:r w:rsidRPr="00346CBB">
              <w:t>div.tj.bolig</w:t>
            </w:r>
            <w:proofErr w:type="spellEnd"/>
            <w:r w:rsidRPr="00346CBB">
              <w:t xml:space="preserve"> (04.4)</w:t>
            </w:r>
          </w:p>
        </w:tc>
      </w:tr>
      <w:tr w:rsidR="00A4769D" w:rsidRPr="00346CBB" w14:paraId="25D3B1B9"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9F5228" w14:textId="77777777" w:rsidR="003953D6" w:rsidRPr="00346CBB" w:rsidRDefault="003953D6" w:rsidP="00346CBB">
            <w:pPr>
              <w:pStyle w:val="TabellHode-rad"/>
            </w:pPr>
            <w:r w:rsidRPr="00346CBB">
              <w:t>Leie av transportmidler, drift</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1FB628" w14:textId="77777777" w:rsidR="003953D6" w:rsidRPr="00346CBB" w:rsidRDefault="003953D6" w:rsidP="00346CBB">
            <w:pPr>
              <w:jc w:val="right"/>
            </w:pPr>
            <w:r w:rsidRPr="00346CBB">
              <w:t>0,2</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9BC61E" w14:textId="77777777" w:rsidR="003953D6" w:rsidRPr="00346CBB" w:rsidRDefault="003953D6" w:rsidP="00346CBB">
            <w:pPr>
              <w:jc w:val="right"/>
            </w:pPr>
            <w:r w:rsidRPr="00346CBB">
              <w:t>0,2</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0C3F78" w14:textId="77777777" w:rsidR="003953D6" w:rsidRPr="00346CBB" w:rsidRDefault="003953D6" w:rsidP="00346CBB">
            <w:pPr>
              <w:jc w:val="right"/>
            </w:pPr>
            <w:r w:rsidRPr="00346CBB">
              <w:t>0,2</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EBBEE1" w14:textId="77777777" w:rsidR="003953D6" w:rsidRPr="00346CBB" w:rsidRDefault="003953D6" w:rsidP="00346CBB">
            <w:pPr>
              <w:jc w:val="right"/>
            </w:pPr>
            <w:r w:rsidRPr="00346CBB">
              <w:t>14,5</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0680E1" w14:textId="77777777" w:rsidR="003953D6" w:rsidRPr="00346CBB" w:rsidRDefault="003953D6" w:rsidP="00346CBB">
            <w:pPr>
              <w:jc w:val="right"/>
            </w:pPr>
            <w:r w:rsidRPr="00346CBB">
              <w:t>1,0</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8AE19F" w14:textId="77777777" w:rsidR="003953D6" w:rsidRPr="00346CBB" w:rsidRDefault="003953D6" w:rsidP="00346CBB">
            <w:pPr>
              <w:jc w:val="right"/>
            </w:pPr>
            <w:r w:rsidRPr="00346CBB">
              <w:t>8,7</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FE7F35" w14:textId="77777777" w:rsidR="003953D6" w:rsidRPr="00346CBB" w:rsidRDefault="003953D6" w:rsidP="00346CBB">
            <w:proofErr w:type="spellStart"/>
            <w:r w:rsidRPr="00346CBB">
              <w:t>Prod.prisindekser</w:t>
            </w:r>
            <w:proofErr w:type="spellEnd"/>
            <w:r w:rsidRPr="00346CBB">
              <w:t xml:space="preserve"> tjenester</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62E40E" w14:textId="77777777" w:rsidR="003953D6" w:rsidRPr="00346CBB" w:rsidRDefault="003953D6" w:rsidP="00346CBB">
            <w:r w:rsidRPr="00346CBB">
              <w:t>Bilutleie</w:t>
            </w:r>
          </w:p>
        </w:tc>
      </w:tr>
      <w:tr w:rsidR="00A4769D" w:rsidRPr="00346CBB" w14:paraId="1EE84BAD"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55C85E" w14:textId="77777777" w:rsidR="003953D6" w:rsidRPr="00346CBB" w:rsidRDefault="003953D6" w:rsidP="00346CBB">
            <w:pPr>
              <w:pStyle w:val="TabellHode-rad"/>
            </w:pPr>
            <w:r w:rsidRPr="00346CBB">
              <w:t>Leie av transportmidler, investering</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F4A6E7" w14:textId="77777777" w:rsidR="003953D6" w:rsidRPr="00346CBB" w:rsidRDefault="003953D6" w:rsidP="00346CBB">
            <w:pPr>
              <w:jc w:val="right"/>
            </w:pPr>
            <w:r w:rsidRPr="00346CBB">
              <w:t>0,1</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B39CD8" w14:textId="77777777" w:rsidR="003953D6" w:rsidRPr="00346CBB" w:rsidRDefault="003953D6" w:rsidP="00346CBB">
            <w:pPr>
              <w:jc w:val="right"/>
            </w:pPr>
            <w:r w:rsidRPr="00346CBB">
              <w:t>0,1</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94FBC2" w14:textId="77777777" w:rsidR="003953D6" w:rsidRPr="00346CBB" w:rsidRDefault="003953D6" w:rsidP="00346CBB">
            <w:pPr>
              <w:jc w:val="right"/>
            </w:pPr>
            <w:r w:rsidRPr="00346CBB">
              <w:t>0,1</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8B33E4" w14:textId="77777777" w:rsidR="003953D6" w:rsidRPr="00346CBB" w:rsidRDefault="003953D6" w:rsidP="00346CBB">
            <w:pPr>
              <w:jc w:val="right"/>
            </w:pPr>
            <w:r w:rsidRPr="00346CBB">
              <w:t>4,8</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5299C2" w14:textId="77777777" w:rsidR="003953D6" w:rsidRPr="00346CBB" w:rsidRDefault="003953D6" w:rsidP="00346CBB">
            <w:pPr>
              <w:jc w:val="right"/>
            </w:pPr>
            <w:r w:rsidRPr="00346CBB">
              <w:t>1,1</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E1587B" w14:textId="77777777" w:rsidR="003953D6" w:rsidRPr="00346CBB" w:rsidRDefault="003953D6" w:rsidP="00346CBB">
            <w:pPr>
              <w:jc w:val="right"/>
            </w:pPr>
            <w:r w:rsidRPr="00346CBB">
              <w:t>1,3</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0C3895" w14:textId="77777777" w:rsidR="003953D6" w:rsidRPr="00346CBB" w:rsidRDefault="003953D6" w:rsidP="00346CBB">
            <w:r w:rsidRPr="00346CBB">
              <w:t>Førstegangsomsetning</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E3740F" w14:textId="77777777" w:rsidR="003953D6" w:rsidRPr="00346CBB" w:rsidRDefault="003953D6" w:rsidP="00346CBB">
            <w:r w:rsidRPr="00346CBB">
              <w:t>SITC78</w:t>
            </w:r>
          </w:p>
        </w:tc>
      </w:tr>
      <w:tr w:rsidR="00A4769D" w:rsidRPr="00346CBB" w14:paraId="2E3C3995"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ABF8B9" w14:textId="77777777" w:rsidR="003953D6" w:rsidRPr="00346CBB" w:rsidRDefault="003953D6" w:rsidP="00346CBB">
            <w:pPr>
              <w:pStyle w:val="TabellHode-rad"/>
            </w:pPr>
            <w:r w:rsidRPr="00346CBB">
              <w:t>Kjøp og leie av maskiner mv., drift</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71B8FB" w14:textId="77777777" w:rsidR="003953D6" w:rsidRPr="00346CBB" w:rsidRDefault="003953D6" w:rsidP="00346CBB">
            <w:pPr>
              <w:jc w:val="right"/>
            </w:pPr>
            <w:r w:rsidRPr="00346CBB">
              <w:t>0,2</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5D264FA" w14:textId="77777777" w:rsidR="003953D6" w:rsidRPr="00346CBB" w:rsidRDefault="003953D6" w:rsidP="00346CBB">
            <w:pPr>
              <w:jc w:val="right"/>
            </w:pPr>
            <w:r w:rsidRPr="00346CBB">
              <w:t>0,2</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78A4F7" w14:textId="77777777" w:rsidR="003953D6" w:rsidRPr="00346CBB" w:rsidRDefault="003953D6" w:rsidP="00346CBB">
            <w:pPr>
              <w:jc w:val="right"/>
            </w:pPr>
            <w:r w:rsidRPr="00346CBB">
              <w:t>0,2</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5D388D" w14:textId="77777777" w:rsidR="003953D6" w:rsidRPr="00346CBB" w:rsidRDefault="003953D6" w:rsidP="00346CBB">
            <w:pPr>
              <w:jc w:val="right"/>
            </w:pPr>
            <w:r w:rsidRPr="00346CBB">
              <w:t>14,5</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4F4222" w14:textId="77777777" w:rsidR="003953D6" w:rsidRPr="00346CBB" w:rsidRDefault="003953D6" w:rsidP="00346CBB">
            <w:pPr>
              <w:jc w:val="right"/>
            </w:pPr>
            <w:r w:rsidRPr="00346CBB">
              <w:t>1,0</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A8BBB6" w14:textId="77777777" w:rsidR="003953D6" w:rsidRPr="00346CBB" w:rsidRDefault="003953D6" w:rsidP="00346CBB">
            <w:pPr>
              <w:jc w:val="right"/>
            </w:pPr>
            <w:r w:rsidRPr="00346CBB">
              <w:t>8,7</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361925" w14:textId="77777777" w:rsidR="003953D6" w:rsidRPr="00346CBB" w:rsidRDefault="003953D6" w:rsidP="00346CBB">
            <w:proofErr w:type="spellStart"/>
            <w:r w:rsidRPr="00346CBB">
              <w:t>Prod.prisindekser</w:t>
            </w:r>
            <w:proofErr w:type="spellEnd"/>
            <w:r w:rsidRPr="00346CBB">
              <w:t xml:space="preserve"> tjenester</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6F988E" w14:textId="77777777" w:rsidR="003953D6" w:rsidRPr="00346CBB" w:rsidRDefault="003953D6" w:rsidP="00346CBB">
            <w:r w:rsidRPr="00346CBB">
              <w:t>Bilutleie</w:t>
            </w:r>
          </w:p>
        </w:tc>
      </w:tr>
      <w:tr w:rsidR="00A4769D" w:rsidRPr="00346CBB" w14:paraId="06D46C17"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79D33B" w14:textId="77777777" w:rsidR="003953D6" w:rsidRPr="00346CBB" w:rsidRDefault="003953D6" w:rsidP="00346CBB">
            <w:pPr>
              <w:pStyle w:val="TabellHode-rad"/>
            </w:pPr>
            <w:r w:rsidRPr="00346CBB">
              <w:t xml:space="preserve">Kjøp og leie av maskiner mv., </w:t>
            </w:r>
            <w:r w:rsidRPr="00346CBB">
              <w:lastRenderedPageBreak/>
              <w:t>investering</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7A970EC" w14:textId="77777777" w:rsidR="003953D6" w:rsidRPr="00346CBB" w:rsidRDefault="003953D6" w:rsidP="00346CBB">
            <w:pPr>
              <w:jc w:val="right"/>
            </w:pPr>
            <w:r w:rsidRPr="00346CBB">
              <w:lastRenderedPageBreak/>
              <w:t>0,3</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5DFC8E" w14:textId="77777777" w:rsidR="003953D6" w:rsidRPr="00346CBB" w:rsidRDefault="003953D6" w:rsidP="00346CBB">
            <w:pPr>
              <w:jc w:val="right"/>
            </w:pPr>
            <w:r w:rsidRPr="00346CBB">
              <w:t>0,3</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AE9FF0" w14:textId="77777777" w:rsidR="003953D6" w:rsidRPr="00346CBB" w:rsidRDefault="003953D6" w:rsidP="00346CBB">
            <w:pPr>
              <w:jc w:val="right"/>
            </w:pPr>
            <w:r w:rsidRPr="00346CBB">
              <w:t>0,2</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3A978C" w14:textId="77777777" w:rsidR="003953D6" w:rsidRPr="00346CBB" w:rsidRDefault="003953D6" w:rsidP="00346CBB">
            <w:pPr>
              <w:jc w:val="right"/>
            </w:pPr>
            <w:r w:rsidRPr="00346CBB">
              <w:t>11,3</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D4BC23" w14:textId="77777777" w:rsidR="003953D6" w:rsidRPr="00346CBB" w:rsidRDefault="003953D6" w:rsidP="00346CBB">
            <w:pPr>
              <w:jc w:val="right"/>
            </w:pPr>
            <w:r w:rsidRPr="00346CBB">
              <w:t>10,9</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42623B" w14:textId="77777777" w:rsidR="003953D6" w:rsidRPr="00346CBB" w:rsidRDefault="003953D6" w:rsidP="00346CBB">
            <w:pPr>
              <w:jc w:val="right"/>
            </w:pPr>
            <w:r w:rsidRPr="00346CBB">
              <w:t>2,2</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BF5144" w14:textId="77777777" w:rsidR="003953D6" w:rsidRPr="00346CBB" w:rsidRDefault="003953D6" w:rsidP="00346CBB">
            <w:r w:rsidRPr="00346CBB">
              <w:t>Førstegangsomsetning</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9D83C2" w14:textId="77777777" w:rsidR="003953D6" w:rsidRPr="00346CBB" w:rsidRDefault="003953D6" w:rsidP="00346CBB">
            <w:r w:rsidRPr="00346CBB">
              <w:t>SITC 75/77</w:t>
            </w:r>
          </w:p>
        </w:tc>
      </w:tr>
      <w:tr w:rsidR="00A4769D" w:rsidRPr="00346CBB" w14:paraId="495D4228"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437431" w14:textId="77777777" w:rsidR="003953D6" w:rsidRPr="00346CBB" w:rsidRDefault="003953D6" w:rsidP="00346CBB">
            <w:pPr>
              <w:pStyle w:val="TabellHode-rad"/>
            </w:pPr>
            <w:r w:rsidRPr="00346CBB">
              <w:t>Kjøp og leie medisinsk teknisk utstyr, drift</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CD3A5E" w14:textId="77777777" w:rsidR="003953D6" w:rsidRPr="00346CBB" w:rsidRDefault="003953D6" w:rsidP="00346CBB">
            <w:pPr>
              <w:jc w:val="right"/>
            </w:pPr>
            <w:r w:rsidRPr="00346CBB">
              <w:t>0,5</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44F554" w14:textId="77777777" w:rsidR="003953D6" w:rsidRPr="00346CBB" w:rsidRDefault="003953D6" w:rsidP="00346CBB">
            <w:pPr>
              <w:jc w:val="right"/>
            </w:pPr>
            <w:r w:rsidRPr="00346CBB">
              <w:t>0,4</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844E70" w14:textId="77777777" w:rsidR="003953D6" w:rsidRPr="00346CBB" w:rsidRDefault="003953D6" w:rsidP="00346CBB">
            <w:pPr>
              <w:jc w:val="right"/>
            </w:pPr>
            <w:r w:rsidRPr="00346CBB">
              <w:t>0,4</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C1FDFF" w14:textId="77777777" w:rsidR="003953D6" w:rsidRPr="00346CBB" w:rsidRDefault="003953D6" w:rsidP="00346CBB">
            <w:pPr>
              <w:jc w:val="right"/>
            </w:pPr>
            <w:r w:rsidRPr="00346CBB">
              <w:t>2,4</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39FB46" w14:textId="77777777" w:rsidR="003953D6" w:rsidRPr="00346CBB" w:rsidRDefault="003953D6" w:rsidP="00346CBB">
            <w:pPr>
              <w:jc w:val="right"/>
            </w:pPr>
            <w:r w:rsidRPr="00346CBB">
              <w:t>4,7</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698BE4" w14:textId="77777777" w:rsidR="003953D6" w:rsidRPr="00346CBB" w:rsidRDefault="003953D6" w:rsidP="00346CBB">
            <w:pPr>
              <w:jc w:val="right"/>
            </w:pPr>
            <w:r w:rsidRPr="00346CBB">
              <w:t>5,2</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286D09" w14:textId="77777777" w:rsidR="003953D6" w:rsidRPr="00346CBB" w:rsidRDefault="003953D6" w:rsidP="00346CBB">
            <w:r w:rsidRPr="00346CBB">
              <w:t>Konsumprisindeks</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EBEFD9" w14:textId="77777777" w:rsidR="003953D6" w:rsidRPr="00346CBB" w:rsidRDefault="003953D6" w:rsidP="00346CBB">
            <w:r w:rsidRPr="00346CBB">
              <w:t>Medisinske produkter mv (06.1)</w:t>
            </w:r>
          </w:p>
        </w:tc>
      </w:tr>
      <w:tr w:rsidR="00A4769D" w:rsidRPr="00346CBB" w14:paraId="2B340F5E"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BFC8C8" w14:textId="77777777" w:rsidR="003953D6" w:rsidRPr="00346CBB" w:rsidRDefault="003953D6" w:rsidP="00346CBB">
            <w:pPr>
              <w:pStyle w:val="TabellHode-rad"/>
            </w:pPr>
            <w:r w:rsidRPr="00346CBB">
              <w:t>Kjøp og leie medisinsk teknisk utstyr, investering</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8668BC" w14:textId="77777777" w:rsidR="003953D6" w:rsidRPr="00346CBB" w:rsidRDefault="003953D6" w:rsidP="00346CBB">
            <w:pPr>
              <w:jc w:val="right"/>
            </w:pPr>
            <w:r w:rsidRPr="00346CBB">
              <w:t>4,2</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6CEA75" w14:textId="77777777" w:rsidR="003953D6" w:rsidRPr="00346CBB" w:rsidRDefault="003953D6" w:rsidP="00346CBB">
            <w:pPr>
              <w:jc w:val="right"/>
            </w:pPr>
            <w:r w:rsidRPr="00346CBB">
              <w:t>3,5</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6B7593" w14:textId="77777777" w:rsidR="003953D6" w:rsidRPr="00346CBB" w:rsidRDefault="003953D6" w:rsidP="00346CBB">
            <w:pPr>
              <w:jc w:val="right"/>
            </w:pPr>
            <w:r w:rsidRPr="00346CBB">
              <w:t>4,1</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8A77E5" w14:textId="77777777" w:rsidR="003953D6" w:rsidRPr="00346CBB" w:rsidRDefault="003953D6" w:rsidP="00346CBB">
            <w:pPr>
              <w:jc w:val="right"/>
            </w:pPr>
            <w:r w:rsidRPr="00346CBB">
              <w:t>11,3</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2670D1" w14:textId="77777777" w:rsidR="003953D6" w:rsidRPr="00346CBB" w:rsidRDefault="003953D6" w:rsidP="00346CBB">
            <w:pPr>
              <w:jc w:val="right"/>
            </w:pPr>
            <w:r w:rsidRPr="00346CBB">
              <w:t>10,9</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C2FFF6" w14:textId="77777777" w:rsidR="003953D6" w:rsidRPr="00346CBB" w:rsidRDefault="003953D6" w:rsidP="00346CBB">
            <w:pPr>
              <w:jc w:val="right"/>
            </w:pPr>
            <w:r w:rsidRPr="00346CBB">
              <w:t>2,2</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E2216A" w14:textId="77777777" w:rsidR="003953D6" w:rsidRPr="00346CBB" w:rsidRDefault="003953D6" w:rsidP="00346CBB">
            <w:r w:rsidRPr="00346CBB">
              <w:t>Førstegangsomsetning</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2896F5" w14:textId="77777777" w:rsidR="003953D6" w:rsidRPr="00346CBB" w:rsidRDefault="003953D6" w:rsidP="00346CBB">
            <w:r w:rsidRPr="00346CBB">
              <w:t>SITC 75/77</w:t>
            </w:r>
          </w:p>
        </w:tc>
      </w:tr>
      <w:tr w:rsidR="00A4769D" w:rsidRPr="009B28A1" w14:paraId="2CE5E1E7"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3E653D" w14:textId="77777777" w:rsidR="003953D6" w:rsidRPr="00346CBB" w:rsidRDefault="003953D6" w:rsidP="00346CBB">
            <w:pPr>
              <w:pStyle w:val="TabellHode-rad"/>
            </w:pPr>
            <w:r w:rsidRPr="00346CBB">
              <w:t>Leie og kjøp IKT-utstyr, drift</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BE91B3" w14:textId="77777777" w:rsidR="003953D6" w:rsidRPr="00346CBB" w:rsidRDefault="003953D6" w:rsidP="00346CBB">
            <w:pPr>
              <w:jc w:val="right"/>
            </w:pPr>
            <w:r w:rsidRPr="00346CBB">
              <w:t>0,5</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E8773D" w14:textId="77777777" w:rsidR="003953D6" w:rsidRPr="00346CBB" w:rsidRDefault="003953D6" w:rsidP="00346CBB">
            <w:pPr>
              <w:jc w:val="right"/>
            </w:pPr>
            <w:r w:rsidRPr="00346CBB">
              <w:t>0,5</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3338B4" w14:textId="77777777" w:rsidR="003953D6" w:rsidRPr="00346CBB" w:rsidRDefault="003953D6" w:rsidP="00346CBB">
            <w:pPr>
              <w:jc w:val="right"/>
            </w:pPr>
            <w:r w:rsidRPr="00346CBB">
              <w:t>0,5</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130731" w14:textId="77777777" w:rsidR="003953D6" w:rsidRPr="00346CBB" w:rsidRDefault="003953D6" w:rsidP="00346CBB">
            <w:pPr>
              <w:jc w:val="right"/>
            </w:pPr>
            <w:r w:rsidRPr="00346CBB">
              <w:t>-0,2</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07A64F" w14:textId="77777777" w:rsidR="003953D6" w:rsidRPr="00346CBB" w:rsidRDefault="003953D6" w:rsidP="00346CBB">
            <w:pPr>
              <w:jc w:val="right"/>
            </w:pPr>
            <w:r w:rsidRPr="00346CBB">
              <w:t>6,6</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8417CB" w14:textId="77777777" w:rsidR="003953D6" w:rsidRPr="00346CBB" w:rsidRDefault="003953D6" w:rsidP="00346CBB">
            <w:pPr>
              <w:jc w:val="right"/>
            </w:pPr>
            <w:r w:rsidRPr="00346CBB">
              <w:t>2,4</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9185B1" w14:textId="77777777" w:rsidR="003953D6" w:rsidRPr="00346CBB" w:rsidRDefault="003953D6" w:rsidP="00346CBB">
            <w:r w:rsidRPr="00346CBB">
              <w:t>Konsumprisindeks</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C27A97" w14:textId="77777777" w:rsidR="003953D6" w:rsidRPr="009B28A1" w:rsidRDefault="003953D6" w:rsidP="00346CBB">
            <w:pPr>
              <w:rPr>
                <w:lang w:val="nn-NO"/>
              </w:rPr>
            </w:pPr>
            <w:r w:rsidRPr="009B28A1">
              <w:rPr>
                <w:lang w:val="nn-NO"/>
              </w:rPr>
              <w:t>Audiovisuelt, foto og IT-utstyr (09.1)</w:t>
            </w:r>
          </w:p>
        </w:tc>
      </w:tr>
      <w:tr w:rsidR="00A4769D" w:rsidRPr="00346CBB" w14:paraId="16712066"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1815BE" w14:textId="77777777" w:rsidR="003953D6" w:rsidRPr="00346CBB" w:rsidRDefault="003953D6" w:rsidP="00346CBB">
            <w:pPr>
              <w:pStyle w:val="TabellHode-rad"/>
            </w:pPr>
            <w:r w:rsidRPr="00346CBB">
              <w:t>Leie og kjøp IKT-utstyr, investering</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06BDB0" w14:textId="77777777" w:rsidR="003953D6" w:rsidRPr="00346CBB" w:rsidRDefault="003953D6" w:rsidP="00346CBB">
            <w:pPr>
              <w:jc w:val="right"/>
            </w:pPr>
            <w:r w:rsidRPr="00346CBB">
              <w:t>6,8</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A7F475" w14:textId="77777777" w:rsidR="003953D6" w:rsidRPr="00346CBB" w:rsidRDefault="003953D6" w:rsidP="00346CBB">
            <w:pPr>
              <w:jc w:val="right"/>
            </w:pPr>
            <w:r w:rsidRPr="00346CBB">
              <w:t>6,8</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5A1F72" w14:textId="77777777" w:rsidR="003953D6" w:rsidRPr="00346CBB" w:rsidRDefault="003953D6" w:rsidP="00346CBB">
            <w:pPr>
              <w:jc w:val="right"/>
            </w:pPr>
            <w:r w:rsidRPr="00346CBB">
              <w:t>6,4</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752478" w14:textId="77777777" w:rsidR="003953D6" w:rsidRPr="00346CBB" w:rsidRDefault="003953D6" w:rsidP="00346CBB">
            <w:pPr>
              <w:jc w:val="right"/>
            </w:pPr>
            <w:r w:rsidRPr="00346CBB">
              <w:t>7,7</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04D116" w14:textId="77777777" w:rsidR="003953D6" w:rsidRPr="00346CBB" w:rsidRDefault="003953D6" w:rsidP="00346CBB">
            <w:pPr>
              <w:jc w:val="right"/>
            </w:pPr>
            <w:r w:rsidRPr="00346CBB">
              <w:t>8,9</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D5E307" w14:textId="77777777" w:rsidR="003953D6" w:rsidRPr="00346CBB" w:rsidRDefault="003953D6" w:rsidP="00346CBB">
            <w:pPr>
              <w:jc w:val="right"/>
            </w:pPr>
            <w:r w:rsidRPr="00346CBB">
              <w:t>0,0</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735990" w14:textId="77777777" w:rsidR="003953D6" w:rsidRPr="00346CBB" w:rsidRDefault="003953D6" w:rsidP="00346CBB">
            <w:r w:rsidRPr="00346CBB">
              <w:t>Førstegangsomsetning</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3FB0DF" w14:textId="77777777" w:rsidR="003953D6" w:rsidRPr="00346CBB" w:rsidRDefault="003953D6" w:rsidP="00346CBB">
            <w:r w:rsidRPr="00346CBB">
              <w:t>SITC75</w:t>
            </w:r>
          </w:p>
        </w:tc>
      </w:tr>
      <w:tr w:rsidR="00A4769D" w:rsidRPr="00346CBB" w14:paraId="00B78164"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F4A42D" w14:textId="77777777" w:rsidR="003953D6" w:rsidRPr="00346CBB" w:rsidRDefault="003953D6" w:rsidP="00346CBB">
            <w:pPr>
              <w:pStyle w:val="TabellHode-rad"/>
            </w:pPr>
            <w:r w:rsidRPr="00346CBB">
              <w:lastRenderedPageBreak/>
              <w:t>Reparasjon, vedlikehold bygg, maskiner mv., drift</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4B11E4" w14:textId="77777777" w:rsidR="003953D6" w:rsidRPr="00346CBB" w:rsidRDefault="003953D6" w:rsidP="00346CBB">
            <w:pPr>
              <w:jc w:val="right"/>
            </w:pPr>
            <w:r w:rsidRPr="00346CBB">
              <w:t>5,3</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FA0C80" w14:textId="77777777" w:rsidR="003953D6" w:rsidRPr="00346CBB" w:rsidRDefault="003953D6" w:rsidP="00346CBB">
            <w:pPr>
              <w:jc w:val="right"/>
            </w:pPr>
            <w:r w:rsidRPr="00346CBB">
              <w:t>5,0</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BE7EF0" w14:textId="77777777" w:rsidR="003953D6" w:rsidRPr="00346CBB" w:rsidRDefault="003953D6" w:rsidP="00346CBB">
            <w:pPr>
              <w:jc w:val="right"/>
            </w:pPr>
            <w:r w:rsidRPr="00346CBB">
              <w:t>4,7</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18A184" w14:textId="77777777" w:rsidR="003953D6" w:rsidRPr="00346CBB" w:rsidRDefault="003953D6" w:rsidP="00346CBB">
            <w:pPr>
              <w:jc w:val="right"/>
            </w:pPr>
            <w:r w:rsidRPr="00346CBB">
              <w:t>7,2</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F9271C" w14:textId="77777777" w:rsidR="003953D6" w:rsidRPr="00346CBB" w:rsidRDefault="003953D6" w:rsidP="00346CBB">
            <w:pPr>
              <w:jc w:val="right"/>
            </w:pPr>
            <w:r w:rsidRPr="00346CBB">
              <w:t>3,1</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5E3510" w14:textId="77777777" w:rsidR="003953D6" w:rsidRPr="00346CBB" w:rsidRDefault="003953D6" w:rsidP="00346CBB">
            <w:pPr>
              <w:jc w:val="right"/>
            </w:pPr>
            <w:r w:rsidRPr="00346CBB">
              <w:t>4,1</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26831F" w14:textId="77777777" w:rsidR="003953D6" w:rsidRPr="00346CBB" w:rsidRDefault="003953D6" w:rsidP="00346CBB">
            <w:r w:rsidRPr="00346CBB">
              <w:t>Konsumprisindeks</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813413" w14:textId="77777777" w:rsidR="003953D6" w:rsidRPr="00346CBB" w:rsidRDefault="003953D6" w:rsidP="00346CBB">
            <w:r w:rsidRPr="00346CBB">
              <w:t xml:space="preserve">Vedlikehold og </w:t>
            </w:r>
            <w:proofErr w:type="spellStart"/>
            <w:proofErr w:type="gramStart"/>
            <w:r w:rsidRPr="00346CBB">
              <w:t>repr.bolig</w:t>
            </w:r>
            <w:proofErr w:type="spellEnd"/>
            <w:proofErr w:type="gramEnd"/>
            <w:r w:rsidRPr="00346CBB">
              <w:t xml:space="preserve"> (04.3)</w:t>
            </w:r>
          </w:p>
        </w:tc>
      </w:tr>
      <w:tr w:rsidR="00A4769D" w:rsidRPr="00346CBB" w14:paraId="1A1CF1DE"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EB8D8E" w14:textId="77777777" w:rsidR="003953D6" w:rsidRPr="00346CBB" w:rsidRDefault="003953D6" w:rsidP="00346CBB">
            <w:pPr>
              <w:pStyle w:val="TabellHode-rad"/>
            </w:pPr>
            <w:r w:rsidRPr="00346CBB">
              <w:t>Vedlikehold og nybygg, investering</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A24B37" w14:textId="77777777" w:rsidR="003953D6" w:rsidRPr="00346CBB" w:rsidRDefault="003953D6" w:rsidP="00346CBB">
            <w:pPr>
              <w:jc w:val="right"/>
            </w:pPr>
            <w:r w:rsidRPr="00346CBB">
              <w:t>14,6</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2C5F06" w14:textId="77777777" w:rsidR="003953D6" w:rsidRPr="00346CBB" w:rsidRDefault="003953D6" w:rsidP="00346CBB">
            <w:pPr>
              <w:jc w:val="right"/>
            </w:pPr>
            <w:r w:rsidRPr="00346CBB">
              <w:t>16,7</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4649D6" w14:textId="77777777" w:rsidR="003953D6" w:rsidRPr="00346CBB" w:rsidRDefault="003953D6" w:rsidP="00346CBB">
            <w:pPr>
              <w:jc w:val="right"/>
            </w:pPr>
            <w:r w:rsidRPr="00346CBB">
              <w:t>22,2</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8B7CB9" w14:textId="77777777" w:rsidR="003953D6" w:rsidRPr="00346CBB" w:rsidRDefault="003953D6" w:rsidP="00346CBB">
            <w:pPr>
              <w:jc w:val="right"/>
            </w:pPr>
            <w:r w:rsidRPr="00346CBB">
              <w:t>7,2</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3C80DA" w14:textId="77777777" w:rsidR="003953D6" w:rsidRPr="00346CBB" w:rsidRDefault="003953D6" w:rsidP="00346CBB">
            <w:pPr>
              <w:jc w:val="right"/>
            </w:pPr>
            <w:r w:rsidRPr="00346CBB">
              <w:t>5,0</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27F527" w14:textId="77777777" w:rsidR="003953D6" w:rsidRPr="00346CBB" w:rsidRDefault="003953D6" w:rsidP="00346CBB">
            <w:pPr>
              <w:jc w:val="right"/>
            </w:pPr>
            <w:r w:rsidRPr="00346CBB">
              <w:t>3,5</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F4975B" w14:textId="77777777" w:rsidR="003953D6" w:rsidRPr="00346CBB" w:rsidRDefault="003953D6" w:rsidP="00346CBB">
            <w:proofErr w:type="spellStart"/>
            <w:r w:rsidRPr="00346CBB">
              <w:t>Byggekostn.indeks</w:t>
            </w:r>
            <w:proofErr w:type="spellEnd"/>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5F751E" w14:textId="77777777" w:rsidR="003953D6" w:rsidRPr="00346CBB" w:rsidRDefault="003953D6" w:rsidP="00346CBB">
            <w:r w:rsidRPr="00346CBB">
              <w:t>SBED-indeksen</w:t>
            </w:r>
          </w:p>
        </w:tc>
      </w:tr>
      <w:tr w:rsidR="00A4769D" w:rsidRPr="00346CBB" w14:paraId="1D215497"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778FB0" w14:textId="77777777" w:rsidR="003953D6" w:rsidRPr="00346CBB" w:rsidRDefault="003953D6" w:rsidP="00346CBB">
            <w:pPr>
              <w:pStyle w:val="TabellHode-rad"/>
            </w:pPr>
            <w:r w:rsidRPr="00346CBB">
              <w:t>Renhold, andre kostnader lokaler</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D03C0F" w14:textId="77777777" w:rsidR="003953D6" w:rsidRPr="00346CBB" w:rsidRDefault="003953D6" w:rsidP="00346CBB">
            <w:pPr>
              <w:jc w:val="right"/>
            </w:pPr>
            <w:r w:rsidRPr="00346CBB">
              <w:t>0,6</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9D0595" w14:textId="77777777" w:rsidR="003953D6" w:rsidRPr="00346CBB" w:rsidRDefault="003953D6" w:rsidP="00346CBB">
            <w:pPr>
              <w:jc w:val="right"/>
            </w:pPr>
            <w:r w:rsidRPr="00346CBB">
              <w:t>0,5</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EC01F7" w14:textId="77777777" w:rsidR="003953D6" w:rsidRPr="00346CBB" w:rsidRDefault="003953D6" w:rsidP="00346CBB">
            <w:pPr>
              <w:jc w:val="right"/>
            </w:pPr>
            <w:r w:rsidRPr="00346CBB">
              <w:t>0,5</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143C98" w14:textId="77777777" w:rsidR="003953D6" w:rsidRPr="00346CBB" w:rsidRDefault="003953D6" w:rsidP="00346CBB">
            <w:pPr>
              <w:jc w:val="right"/>
            </w:pPr>
            <w:r w:rsidRPr="00346CBB">
              <w:t>2,5</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656139" w14:textId="77777777" w:rsidR="003953D6" w:rsidRPr="00346CBB" w:rsidRDefault="003953D6" w:rsidP="00346CBB">
            <w:pPr>
              <w:jc w:val="right"/>
            </w:pPr>
            <w:r w:rsidRPr="00346CBB">
              <w:t>4,0</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4F7E8D" w14:textId="77777777" w:rsidR="003953D6" w:rsidRPr="00346CBB" w:rsidRDefault="003953D6" w:rsidP="00346CBB">
            <w:pPr>
              <w:jc w:val="right"/>
            </w:pPr>
            <w:r w:rsidRPr="00346CBB">
              <w:t>4,1</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B6E5EC" w14:textId="77777777" w:rsidR="003953D6" w:rsidRPr="00346CBB" w:rsidRDefault="003953D6" w:rsidP="00346CBB">
            <w:proofErr w:type="spellStart"/>
            <w:r w:rsidRPr="00346CBB">
              <w:t>Prod.prisindekser</w:t>
            </w:r>
            <w:proofErr w:type="spellEnd"/>
            <w:r w:rsidRPr="00346CBB">
              <w:t xml:space="preserve"> tjenester</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9F94EE" w14:textId="77777777" w:rsidR="003953D6" w:rsidRPr="00346CBB" w:rsidRDefault="003953D6" w:rsidP="00346CBB">
            <w:r w:rsidRPr="00346CBB">
              <w:t>Rengjøringsvirksomhet</w:t>
            </w:r>
          </w:p>
        </w:tc>
      </w:tr>
      <w:tr w:rsidR="00A4769D" w:rsidRPr="00346CBB" w14:paraId="2704B246"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B6EE83" w14:textId="77777777" w:rsidR="003953D6" w:rsidRPr="00346CBB" w:rsidRDefault="003953D6" w:rsidP="00346CBB">
            <w:pPr>
              <w:pStyle w:val="TabellHode-rad"/>
            </w:pPr>
            <w:r w:rsidRPr="00346CBB">
              <w:t>Eksterne helsetjenester, regnskap mm</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E8E045" w14:textId="77777777" w:rsidR="003953D6" w:rsidRPr="00346CBB" w:rsidRDefault="003953D6" w:rsidP="00346CBB">
            <w:pPr>
              <w:jc w:val="right"/>
            </w:pPr>
            <w:r w:rsidRPr="00346CBB">
              <w:t>6,1</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F09840" w14:textId="77777777" w:rsidR="003953D6" w:rsidRPr="00346CBB" w:rsidRDefault="003953D6" w:rsidP="00346CBB">
            <w:pPr>
              <w:jc w:val="right"/>
            </w:pPr>
            <w:r w:rsidRPr="00346CBB">
              <w:t>6,1</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70D9947" w14:textId="77777777" w:rsidR="003953D6" w:rsidRPr="00346CBB" w:rsidRDefault="003953D6" w:rsidP="00346CBB">
            <w:pPr>
              <w:jc w:val="right"/>
            </w:pPr>
            <w:r w:rsidRPr="00346CBB">
              <w:t>5,5</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BE2450" w14:textId="77777777" w:rsidR="003953D6" w:rsidRPr="00346CBB" w:rsidRDefault="003953D6" w:rsidP="00346CBB">
            <w:pPr>
              <w:jc w:val="right"/>
            </w:pPr>
            <w:r w:rsidRPr="00346CBB">
              <w:t>4,6</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840414" w14:textId="77777777" w:rsidR="003953D6" w:rsidRPr="00346CBB" w:rsidRDefault="003953D6" w:rsidP="00346CBB">
            <w:pPr>
              <w:jc w:val="right"/>
            </w:pPr>
            <w:r w:rsidRPr="00346CBB">
              <w:t>6,2</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9D4624" w14:textId="77777777" w:rsidR="003953D6" w:rsidRPr="00346CBB" w:rsidRDefault="003953D6" w:rsidP="00346CBB">
            <w:pPr>
              <w:jc w:val="right"/>
            </w:pPr>
            <w:r w:rsidRPr="00346CBB">
              <w:t>4,9</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988283" w14:textId="77777777" w:rsidR="003953D6" w:rsidRPr="00346CBB" w:rsidRDefault="003953D6" w:rsidP="00346CBB">
            <w:proofErr w:type="spellStart"/>
            <w:r w:rsidRPr="00346CBB">
              <w:t>Prod.prisindekser</w:t>
            </w:r>
            <w:proofErr w:type="spellEnd"/>
            <w:r w:rsidRPr="00346CBB">
              <w:t xml:space="preserve"> tjenester</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D38E3E" w14:textId="77777777" w:rsidR="003953D6" w:rsidRPr="00346CBB" w:rsidRDefault="003953D6" w:rsidP="00346CBB">
            <w:r w:rsidRPr="00346CBB">
              <w:t>***</w:t>
            </w:r>
          </w:p>
        </w:tc>
      </w:tr>
      <w:tr w:rsidR="00A4769D" w:rsidRPr="00346CBB" w14:paraId="3E18223E"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37E16C" w14:textId="77777777" w:rsidR="003953D6" w:rsidRPr="00346CBB" w:rsidRDefault="003953D6" w:rsidP="00346CBB">
            <w:pPr>
              <w:pStyle w:val="TabellHode-rad"/>
            </w:pPr>
            <w:r w:rsidRPr="00346CBB">
              <w:lastRenderedPageBreak/>
              <w:t>IKT-tjenester</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CFDCB4" w14:textId="77777777" w:rsidR="003953D6" w:rsidRPr="00346CBB" w:rsidRDefault="003953D6" w:rsidP="00346CBB">
            <w:pPr>
              <w:jc w:val="right"/>
            </w:pPr>
            <w:r w:rsidRPr="00346CBB">
              <w:t>13,1</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52B197" w14:textId="77777777" w:rsidR="003953D6" w:rsidRPr="00346CBB" w:rsidRDefault="003953D6" w:rsidP="00346CBB">
            <w:pPr>
              <w:jc w:val="right"/>
            </w:pPr>
            <w:r w:rsidRPr="00346CBB">
              <w:t>14,6</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73E3A4" w14:textId="77777777" w:rsidR="003953D6" w:rsidRPr="00346CBB" w:rsidRDefault="003953D6" w:rsidP="00346CBB">
            <w:pPr>
              <w:jc w:val="right"/>
            </w:pPr>
            <w:r w:rsidRPr="00346CBB">
              <w:t>13,6</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F0F919" w14:textId="77777777" w:rsidR="003953D6" w:rsidRPr="00346CBB" w:rsidRDefault="003953D6" w:rsidP="00346CBB">
            <w:pPr>
              <w:jc w:val="right"/>
            </w:pPr>
            <w:r w:rsidRPr="00346CBB">
              <w:t>3,6</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910AD9" w14:textId="77777777" w:rsidR="003953D6" w:rsidRPr="00346CBB" w:rsidRDefault="003953D6" w:rsidP="00346CBB">
            <w:pPr>
              <w:jc w:val="right"/>
            </w:pPr>
            <w:r w:rsidRPr="00346CBB">
              <w:t>5,1</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5A0DB5" w14:textId="77777777" w:rsidR="003953D6" w:rsidRPr="00346CBB" w:rsidRDefault="003953D6" w:rsidP="00346CBB">
            <w:pPr>
              <w:jc w:val="right"/>
            </w:pPr>
            <w:r w:rsidRPr="00346CBB">
              <w:t>2,9</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CCC1A8" w14:textId="77777777" w:rsidR="003953D6" w:rsidRPr="00346CBB" w:rsidRDefault="003953D6" w:rsidP="00346CBB">
            <w:proofErr w:type="spellStart"/>
            <w:r w:rsidRPr="00346CBB">
              <w:t>Prod.prisindekser</w:t>
            </w:r>
            <w:proofErr w:type="spellEnd"/>
            <w:r w:rsidRPr="00346CBB">
              <w:t xml:space="preserve"> tjenester</w:t>
            </w: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2E08E5" w14:textId="77777777" w:rsidR="003953D6" w:rsidRPr="00346CBB" w:rsidRDefault="003953D6" w:rsidP="00346CBB">
            <w:r w:rsidRPr="00346CBB">
              <w:t>IKT-tjenester</w:t>
            </w:r>
          </w:p>
        </w:tc>
      </w:tr>
      <w:tr w:rsidR="00A4769D" w:rsidRPr="00346CBB" w14:paraId="490B455D" w14:textId="77777777" w:rsidTr="00346CBB">
        <w:trPr>
          <w:trHeight w:val="60"/>
        </w:trPr>
        <w:tc>
          <w:tcPr>
            <w:tcW w:w="80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E67153" w14:textId="77777777" w:rsidR="003953D6" w:rsidRPr="00346CBB" w:rsidRDefault="003953D6" w:rsidP="00346CBB">
            <w:pPr>
              <w:pStyle w:val="TabellHode-rad"/>
            </w:pPr>
            <w:r w:rsidRPr="00346CBB">
              <w:rPr>
                <w:rStyle w:val="kursiv"/>
              </w:rPr>
              <w:t>Kjøp av varer og tjenester</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965DF6" w14:textId="77777777" w:rsidR="003953D6" w:rsidRPr="00346CBB" w:rsidRDefault="003953D6" w:rsidP="00346CBB">
            <w:pPr>
              <w:jc w:val="right"/>
            </w:pPr>
            <w:r w:rsidRPr="00346CBB">
              <w:rPr>
                <w:rStyle w:val="kursiv"/>
              </w:rPr>
              <w:t>100,0</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9F73EC" w14:textId="77777777" w:rsidR="003953D6" w:rsidRPr="00346CBB" w:rsidRDefault="003953D6" w:rsidP="00346CBB">
            <w:pPr>
              <w:jc w:val="right"/>
            </w:pPr>
            <w:r w:rsidRPr="00346CBB">
              <w:rPr>
                <w:rStyle w:val="kursiv"/>
              </w:rPr>
              <w:t>100,0</w:t>
            </w:r>
          </w:p>
        </w:tc>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2ED822" w14:textId="77777777" w:rsidR="003953D6" w:rsidRPr="00346CBB" w:rsidRDefault="003953D6" w:rsidP="00346CBB">
            <w:pPr>
              <w:jc w:val="right"/>
            </w:pPr>
            <w:r w:rsidRPr="00346CBB">
              <w:rPr>
                <w:rStyle w:val="kursiv"/>
              </w:rPr>
              <w:t>100,0</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26816B" w14:textId="77777777" w:rsidR="003953D6" w:rsidRPr="00346CBB" w:rsidRDefault="003953D6" w:rsidP="00346CBB">
            <w:pPr>
              <w:jc w:val="right"/>
            </w:pPr>
            <w:r w:rsidRPr="00346CBB">
              <w:rPr>
                <w:rStyle w:val="kursiv"/>
              </w:rPr>
              <w:t>5,9</w:t>
            </w:r>
          </w:p>
        </w:tc>
        <w:tc>
          <w:tcPr>
            <w:tcW w:w="36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3FC362" w14:textId="77777777" w:rsidR="003953D6" w:rsidRPr="00346CBB" w:rsidRDefault="003953D6" w:rsidP="00346CBB">
            <w:pPr>
              <w:jc w:val="right"/>
            </w:pPr>
            <w:r w:rsidRPr="00346CBB">
              <w:rPr>
                <w:rStyle w:val="kursiv"/>
              </w:rPr>
              <w:t>4,7</w:t>
            </w:r>
          </w:p>
        </w:tc>
        <w:tc>
          <w:tcPr>
            <w:tcW w:w="368"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375474" w14:textId="77777777" w:rsidR="003953D6" w:rsidRPr="00346CBB" w:rsidRDefault="003953D6" w:rsidP="00346CBB">
            <w:pPr>
              <w:jc w:val="right"/>
            </w:pPr>
            <w:r w:rsidRPr="00346CBB">
              <w:rPr>
                <w:rStyle w:val="kursiv"/>
              </w:rPr>
              <w:t>3,4</w:t>
            </w:r>
          </w:p>
        </w:tc>
        <w:tc>
          <w:tcPr>
            <w:tcW w:w="66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AFB56A" w14:textId="77777777" w:rsidR="003953D6" w:rsidRPr="00346CBB" w:rsidRDefault="003953D6" w:rsidP="00346CBB">
            <w:pPr>
              <w:pStyle w:val="NoParagraphStyle"/>
            </w:pPr>
          </w:p>
        </w:tc>
        <w:tc>
          <w:tcPr>
            <w:tcW w:w="121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CF8418" w14:textId="77777777" w:rsidR="003953D6" w:rsidRPr="00346CBB" w:rsidRDefault="003953D6" w:rsidP="00C9271A">
            <w:pPr>
              <w:jc w:val="right"/>
            </w:pPr>
          </w:p>
        </w:tc>
      </w:tr>
    </w:tbl>
    <w:p w14:paraId="5070E6E9" w14:textId="77777777" w:rsidR="003953D6" w:rsidRPr="00346CBB" w:rsidRDefault="003953D6" w:rsidP="00C9271A">
      <w:pPr>
        <w:jc w:val="right"/>
      </w:pPr>
    </w:p>
    <w:p w14:paraId="16576897" w14:textId="77777777" w:rsidR="003953D6" w:rsidRPr="00346CBB" w:rsidRDefault="003953D6" w:rsidP="00346CBB">
      <w:pPr>
        <w:pStyle w:val="Kilde"/>
      </w:pPr>
      <w:r w:rsidRPr="00346CBB">
        <w:t>Kilde: Finansdepartementet.</w:t>
      </w:r>
    </w:p>
    <w:p w14:paraId="32542A92" w14:textId="77777777" w:rsidR="003953D6" w:rsidRPr="00346CBB" w:rsidRDefault="003953D6" w:rsidP="00346CBB">
      <w:pPr>
        <w:pStyle w:val="Note"/>
      </w:pPr>
      <w:r w:rsidRPr="00346CBB">
        <w:t>* Beregnet som veid gjennomsnitt av indeksene for 08 Post- og teletjenester og 12.6 Finansielle tjenester utenom forsikring. Vektene er satt til 90 prosent post og teletjenester, 10 prosent finansielle tjenester.</w:t>
      </w:r>
    </w:p>
    <w:p w14:paraId="61F1E1FA" w14:textId="77777777" w:rsidR="003953D6" w:rsidRPr="00346CBB" w:rsidRDefault="003953D6" w:rsidP="00346CBB">
      <w:pPr>
        <w:pStyle w:val="Note"/>
      </w:pPr>
      <w:r w:rsidRPr="00346CBB">
        <w:t>** Gjennomsnitt av KPI-delindeksene 07.3 Transporttjenester og 11 Hotell- og restauranttjenester.</w:t>
      </w:r>
    </w:p>
    <w:p w14:paraId="177723D7" w14:textId="77777777" w:rsidR="003953D6" w:rsidRPr="00346CBB" w:rsidRDefault="003953D6" w:rsidP="00346CBB">
      <w:pPr>
        <w:pStyle w:val="Note"/>
      </w:pPr>
      <w:r w:rsidRPr="00346CBB">
        <w:t>*** Gjennomsnitt av indeksene for IT-tjenester, arkitekttjenester, juridisk tjenesteyting, regnskaps- og revisjonsvirksomhet og arbeidskrafttjenester.</w:t>
      </w:r>
    </w:p>
    <w:p w14:paraId="50A6B7C9" w14:textId="77777777" w:rsidR="003953D6" w:rsidRPr="00346CBB" w:rsidRDefault="003953D6" w:rsidP="00346CBB">
      <w:pPr>
        <w:pStyle w:val="UnOverskrift1"/>
        <w:rPr>
          <w:rStyle w:val="halvfet"/>
        </w:rPr>
      </w:pPr>
      <w:r w:rsidRPr="00346CBB">
        <w:rPr>
          <w:rStyle w:val="halvfet"/>
        </w:rPr>
        <w:t xml:space="preserve">Vedlegg 3 </w:t>
      </w:r>
      <w:r w:rsidRPr="00346CBB">
        <w:br/>
        <w:t>Demografisk betinget behovsvekst i spesialisthelsetjenesten</w:t>
      </w:r>
    </w:p>
    <w:p w14:paraId="26E57B34" w14:textId="77777777" w:rsidR="003953D6" w:rsidRPr="00346CBB" w:rsidRDefault="003953D6" w:rsidP="00346CBB">
      <w:r w:rsidRPr="00346CBB">
        <w:t>Helsedirektoratet beregner årlig den demografisk betingede behovsveksten for spesialisthelsetjenesten i prosent. Metoden varierer noe fra den som teknisk beregningsutvalg for kommunal- og fylkeskommunal økonomi (TBU-kommune) benytter.</w:t>
      </w:r>
    </w:p>
    <w:p w14:paraId="4CB443EB" w14:textId="77777777" w:rsidR="003953D6" w:rsidRPr="00346CBB" w:rsidRDefault="003953D6" w:rsidP="00346CBB">
      <w:r w:rsidRPr="00346CBB">
        <w:lastRenderedPageBreak/>
        <w:t>Tabell 1 viser Helsedirektoratets anslag for årene 2013 til 2026. Tabell 1 er den samme som tabell 4.1 i kapittel 4. Veksten i anslått demografisk behov er høyere i 2024 og 2025 som følge av økt bosetting av flyktninger fra Ukraina. Helsedirektoratet har fra og med anslaget for 2024 lagt til grunn at det forventede befolkningstallet for 2024 er representert ved framskrevet befolkning per 01.01.2024. Dette er samme tilnærming som TBU-kommune.</w:t>
      </w:r>
    </w:p>
    <w:p w14:paraId="3A9E79E5" w14:textId="77777777" w:rsidR="003953D6" w:rsidRPr="00346CBB" w:rsidRDefault="003953D6" w:rsidP="00346CBB">
      <w:pPr>
        <w:pStyle w:val="avsnitt-undertittel"/>
        <w:rPr>
          <w:rStyle w:val="halvfet"/>
        </w:rPr>
      </w:pPr>
      <w:r w:rsidRPr="00346CBB">
        <w:t>Tabell 1. Helsedirektoratets budsjetterte behov for demografi. 2013–2026. Prosent.</w:t>
      </w:r>
    </w:p>
    <w:tbl>
      <w:tblPr>
        <w:tblW w:w="5000" w:type="pct"/>
        <w:tblCellMar>
          <w:left w:w="0" w:type="dxa"/>
          <w:right w:w="0" w:type="dxa"/>
        </w:tblCellMar>
        <w:tblLook w:val="0000" w:firstRow="0" w:lastRow="0" w:firstColumn="0" w:lastColumn="0" w:noHBand="0" w:noVBand="0"/>
      </w:tblPr>
      <w:tblGrid>
        <w:gridCol w:w="487"/>
        <w:gridCol w:w="613"/>
        <w:gridCol w:w="613"/>
        <w:gridCol w:w="505"/>
        <w:gridCol w:w="506"/>
        <w:gridCol w:w="506"/>
        <w:gridCol w:w="506"/>
        <w:gridCol w:w="506"/>
        <w:gridCol w:w="506"/>
        <w:gridCol w:w="506"/>
        <w:gridCol w:w="506"/>
        <w:gridCol w:w="506"/>
        <w:gridCol w:w="506"/>
        <w:gridCol w:w="721"/>
        <w:gridCol w:w="721"/>
      </w:tblGrid>
      <w:tr w:rsidR="00A4769D" w:rsidRPr="00346CBB" w14:paraId="387B3CA3" w14:textId="77777777" w:rsidTr="00C9271A">
        <w:trPr>
          <w:trHeight w:val="396"/>
          <w:tblHeader/>
        </w:trPr>
        <w:tc>
          <w:tcPr>
            <w:tcW w:w="587"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bottom"/>
          </w:tcPr>
          <w:p w14:paraId="6CB712C4" w14:textId="77777777" w:rsidR="003953D6" w:rsidRPr="00346CBB" w:rsidRDefault="003953D6" w:rsidP="00C9271A">
            <w:pPr>
              <w:pStyle w:val="TabellHode-kolonne"/>
              <w:jc w:val="right"/>
            </w:pPr>
            <w:r w:rsidRPr="00346CBB">
              <w:t xml:space="preserve"> </w:t>
            </w:r>
          </w:p>
        </w:tc>
        <w:tc>
          <w:tcPr>
            <w:tcW w:w="368"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bottom"/>
          </w:tcPr>
          <w:p w14:paraId="4657DB78" w14:textId="77777777" w:rsidR="003953D6" w:rsidRPr="00346CBB" w:rsidRDefault="003953D6" w:rsidP="00C9271A">
            <w:pPr>
              <w:pStyle w:val="TabellHode-kolonne"/>
              <w:jc w:val="right"/>
            </w:pPr>
            <w:r w:rsidRPr="00346CBB">
              <w:t>2013*</w:t>
            </w:r>
          </w:p>
        </w:tc>
        <w:tc>
          <w:tcPr>
            <w:tcW w:w="367"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bottom"/>
          </w:tcPr>
          <w:p w14:paraId="338B6495" w14:textId="77777777" w:rsidR="003953D6" w:rsidRPr="00346CBB" w:rsidRDefault="003953D6" w:rsidP="00C9271A">
            <w:pPr>
              <w:pStyle w:val="TabellHode-kolonne"/>
              <w:jc w:val="right"/>
            </w:pPr>
            <w:r w:rsidRPr="00346CBB">
              <w:t>2014*</w:t>
            </w:r>
          </w:p>
        </w:tc>
        <w:tc>
          <w:tcPr>
            <w:tcW w:w="287"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bottom"/>
          </w:tcPr>
          <w:p w14:paraId="059E87BE" w14:textId="77777777" w:rsidR="003953D6" w:rsidRPr="00346CBB" w:rsidRDefault="003953D6" w:rsidP="00C9271A">
            <w:pPr>
              <w:pStyle w:val="TabellHode-kolonne"/>
              <w:jc w:val="right"/>
            </w:pPr>
            <w:r w:rsidRPr="00346CBB">
              <w:t xml:space="preserve">2015 </w:t>
            </w:r>
          </w:p>
        </w:tc>
        <w:tc>
          <w:tcPr>
            <w:tcW w:w="287"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bottom"/>
          </w:tcPr>
          <w:p w14:paraId="2DCA2ECF" w14:textId="77777777" w:rsidR="003953D6" w:rsidRPr="00346CBB" w:rsidRDefault="003953D6" w:rsidP="00C9271A">
            <w:pPr>
              <w:pStyle w:val="TabellHode-kolonne"/>
              <w:jc w:val="right"/>
            </w:pPr>
            <w:r w:rsidRPr="00346CBB">
              <w:t xml:space="preserve">2016 </w:t>
            </w:r>
          </w:p>
        </w:tc>
        <w:tc>
          <w:tcPr>
            <w:tcW w:w="287"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bottom"/>
          </w:tcPr>
          <w:p w14:paraId="40728A2D" w14:textId="77777777" w:rsidR="003953D6" w:rsidRPr="00346CBB" w:rsidRDefault="003953D6" w:rsidP="00C9271A">
            <w:pPr>
              <w:pStyle w:val="TabellHode-kolonne"/>
              <w:jc w:val="right"/>
            </w:pPr>
            <w:r w:rsidRPr="00346CBB">
              <w:t xml:space="preserve">2017 </w:t>
            </w:r>
          </w:p>
        </w:tc>
        <w:tc>
          <w:tcPr>
            <w:tcW w:w="287"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bottom"/>
          </w:tcPr>
          <w:p w14:paraId="052BA510" w14:textId="77777777" w:rsidR="003953D6" w:rsidRPr="00346CBB" w:rsidRDefault="003953D6" w:rsidP="00C9271A">
            <w:pPr>
              <w:pStyle w:val="TabellHode-kolonne"/>
              <w:jc w:val="right"/>
            </w:pPr>
            <w:r w:rsidRPr="00346CBB">
              <w:t xml:space="preserve">2018 </w:t>
            </w:r>
          </w:p>
        </w:tc>
        <w:tc>
          <w:tcPr>
            <w:tcW w:w="287"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bottom"/>
          </w:tcPr>
          <w:p w14:paraId="7667F994" w14:textId="77777777" w:rsidR="003953D6" w:rsidRPr="00346CBB" w:rsidRDefault="003953D6" w:rsidP="00C9271A">
            <w:pPr>
              <w:pStyle w:val="TabellHode-kolonne"/>
              <w:jc w:val="right"/>
            </w:pPr>
            <w:r w:rsidRPr="00346CBB">
              <w:t xml:space="preserve">2019 </w:t>
            </w:r>
          </w:p>
        </w:tc>
        <w:tc>
          <w:tcPr>
            <w:tcW w:w="287"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bottom"/>
          </w:tcPr>
          <w:p w14:paraId="0DDE8766" w14:textId="77777777" w:rsidR="003953D6" w:rsidRPr="00346CBB" w:rsidRDefault="003953D6" w:rsidP="00C9271A">
            <w:pPr>
              <w:pStyle w:val="TabellHode-kolonne"/>
              <w:jc w:val="right"/>
            </w:pPr>
            <w:r w:rsidRPr="00346CBB">
              <w:t xml:space="preserve">2020 </w:t>
            </w:r>
          </w:p>
        </w:tc>
        <w:tc>
          <w:tcPr>
            <w:tcW w:w="287"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bottom"/>
          </w:tcPr>
          <w:p w14:paraId="2CFD056F" w14:textId="77777777" w:rsidR="003953D6" w:rsidRPr="00346CBB" w:rsidRDefault="003953D6" w:rsidP="00C9271A">
            <w:pPr>
              <w:pStyle w:val="TabellHode-kolonne"/>
              <w:jc w:val="right"/>
            </w:pPr>
            <w:r w:rsidRPr="00346CBB">
              <w:t xml:space="preserve">2021 </w:t>
            </w:r>
          </w:p>
        </w:tc>
        <w:tc>
          <w:tcPr>
            <w:tcW w:w="287"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bottom"/>
          </w:tcPr>
          <w:p w14:paraId="01C641B4" w14:textId="77777777" w:rsidR="003953D6" w:rsidRPr="00346CBB" w:rsidRDefault="003953D6" w:rsidP="00C9271A">
            <w:pPr>
              <w:pStyle w:val="TabellHode-kolonne"/>
              <w:jc w:val="right"/>
            </w:pPr>
            <w:r w:rsidRPr="00346CBB">
              <w:t xml:space="preserve">2022 </w:t>
            </w:r>
          </w:p>
        </w:tc>
        <w:tc>
          <w:tcPr>
            <w:tcW w:w="287"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bottom"/>
          </w:tcPr>
          <w:p w14:paraId="2DD349B8" w14:textId="77777777" w:rsidR="003953D6" w:rsidRPr="00346CBB" w:rsidRDefault="003953D6" w:rsidP="00C9271A">
            <w:pPr>
              <w:pStyle w:val="TabellHode-kolonne"/>
              <w:jc w:val="right"/>
            </w:pPr>
            <w:r w:rsidRPr="00346CBB">
              <w:t xml:space="preserve">2023 </w:t>
            </w:r>
          </w:p>
        </w:tc>
        <w:tc>
          <w:tcPr>
            <w:tcW w:w="287"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bottom"/>
          </w:tcPr>
          <w:p w14:paraId="1DBFDB95" w14:textId="77777777" w:rsidR="003953D6" w:rsidRPr="00346CBB" w:rsidRDefault="003953D6" w:rsidP="00C9271A">
            <w:pPr>
              <w:pStyle w:val="TabellHode-kolonne"/>
              <w:jc w:val="right"/>
            </w:pPr>
            <w:r w:rsidRPr="00346CBB">
              <w:t xml:space="preserve">2024 </w:t>
            </w:r>
          </w:p>
        </w:tc>
        <w:tc>
          <w:tcPr>
            <w:tcW w:w="404"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bottom"/>
          </w:tcPr>
          <w:p w14:paraId="6457B566" w14:textId="77777777" w:rsidR="003953D6" w:rsidRPr="00346CBB" w:rsidRDefault="003953D6" w:rsidP="00C9271A">
            <w:pPr>
              <w:pStyle w:val="TabellHode-kolonne"/>
              <w:jc w:val="right"/>
            </w:pPr>
            <w:r w:rsidRPr="00346CBB">
              <w:t>2025**</w:t>
            </w:r>
          </w:p>
        </w:tc>
        <w:tc>
          <w:tcPr>
            <w:tcW w:w="404" w:type="pct"/>
            <w:tcBorders>
              <w:top w:val="single" w:sz="2" w:space="0" w:color="000000"/>
              <w:left w:val="single" w:sz="2" w:space="0" w:color="000000"/>
              <w:bottom w:val="single" w:sz="8" w:space="0" w:color="000000"/>
              <w:right w:val="single" w:sz="2" w:space="0" w:color="000000"/>
            </w:tcBorders>
            <w:tcMar>
              <w:top w:w="28" w:type="dxa"/>
              <w:left w:w="28" w:type="dxa"/>
              <w:bottom w:w="28" w:type="dxa"/>
              <w:right w:w="28" w:type="dxa"/>
            </w:tcMar>
            <w:vAlign w:val="bottom"/>
          </w:tcPr>
          <w:p w14:paraId="13D6F4D5" w14:textId="77777777" w:rsidR="003953D6" w:rsidRPr="00346CBB" w:rsidRDefault="003953D6" w:rsidP="00C9271A">
            <w:pPr>
              <w:pStyle w:val="TabellHode-kolonne"/>
              <w:jc w:val="right"/>
            </w:pPr>
            <w:r w:rsidRPr="00346CBB">
              <w:t>2026**</w:t>
            </w:r>
          </w:p>
        </w:tc>
      </w:tr>
      <w:tr w:rsidR="00A4769D" w:rsidRPr="00346CBB" w14:paraId="3673D67C" w14:textId="77777777" w:rsidTr="00346CBB">
        <w:trPr>
          <w:trHeight w:val="396"/>
        </w:trPr>
        <w:tc>
          <w:tcPr>
            <w:tcW w:w="587" w:type="pct"/>
            <w:tcBorders>
              <w:top w:val="single" w:sz="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AD207F6" w14:textId="77777777" w:rsidR="003953D6" w:rsidRPr="00346CBB" w:rsidRDefault="003953D6" w:rsidP="00346CBB">
            <w:pPr>
              <w:pStyle w:val="TabellHode-rad"/>
            </w:pPr>
            <w:r w:rsidRPr="00346CBB">
              <w:t>Budsjettert anslag</w:t>
            </w:r>
          </w:p>
        </w:tc>
        <w:tc>
          <w:tcPr>
            <w:tcW w:w="368" w:type="pct"/>
            <w:tcBorders>
              <w:top w:val="single" w:sz="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68864E7" w14:textId="77777777" w:rsidR="003953D6" w:rsidRPr="00346CBB" w:rsidRDefault="003953D6" w:rsidP="00346CBB">
            <w:pPr>
              <w:jc w:val="right"/>
            </w:pPr>
            <w:r w:rsidRPr="00346CBB">
              <w:t xml:space="preserve">1,54 </w:t>
            </w:r>
          </w:p>
        </w:tc>
        <w:tc>
          <w:tcPr>
            <w:tcW w:w="367" w:type="pct"/>
            <w:tcBorders>
              <w:top w:val="single" w:sz="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993A134" w14:textId="77777777" w:rsidR="003953D6" w:rsidRPr="00346CBB" w:rsidRDefault="003953D6" w:rsidP="00346CBB">
            <w:pPr>
              <w:jc w:val="right"/>
            </w:pPr>
            <w:r w:rsidRPr="00346CBB">
              <w:t>1,55</w:t>
            </w:r>
          </w:p>
        </w:tc>
        <w:tc>
          <w:tcPr>
            <w:tcW w:w="287" w:type="pct"/>
            <w:tcBorders>
              <w:top w:val="single" w:sz="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F9BEC9A" w14:textId="77777777" w:rsidR="003953D6" w:rsidRPr="00346CBB" w:rsidRDefault="003953D6" w:rsidP="00346CBB">
            <w:pPr>
              <w:jc w:val="right"/>
            </w:pPr>
            <w:r w:rsidRPr="00346CBB">
              <w:t xml:space="preserve">1,58 </w:t>
            </w:r>
          </w:p>
        </w:tc>
        <w:tc>
          <w:tcPr>
            <w:tcW w:w="287" w:type="pct"/>
            <w:tcBorders>
              <w:top w:val="single" w:sz="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BD0D04D" w14:textId="77777777" w:rsidR="003953D6" w:rsidRPr="00346CBB" w:rsidRDefault="003953D6" w:rsidP="00346CBB">
            <w:pPr>
              <w:jc w:val="right"/>
            </w:pPr>
            <w:r w:rsidRPr="00346CBB">
              <w:t xml:space="preserve">1,50 </w:t>
            </w:r>
          </w:p>
        </w:tc>
        <w:tc>
          <w:tcPr>
            <w:tcW w:w="287" w:type="pct"/>
            <w:tcBorders>
              <w:top w:val="single" w:sz="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4D3D34B" w14:textId="77777777" w:rsidR="003953D6" w:rsidRPr="00346CBB" w:rsidRDefault="003953D6" w:rsidP="00346CBB">
            <w:pPr>
              <w:jc w:val="right"/>
            </w:pPr>
            <w:r w:rsidRPr="00346CBB">
              <w:t xml:space="preserve">1,47 </w:t>
            </w:r>
          </w:p>
        </w:tc>
        <w:tc>
          <w:tcPr>
            <w:tcW w:w="287" w:type="pct"/>
            <w:tcBorders>
              <w:top w:val="single" w:sz="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D5DBC5D" w14:textId="77777777" w:rsidR="003953D6" w:rsidRPr="00346CBB" w:rsidRDefault="003953D6" w:rsidP="00346CBB">
            <w:pPr>
              <w:jc w:val="right"/>
            </w:pPr>
            <w:r w:rsidRPr="00346CBB">
              <w:t xml:space="preserve">1,54 </w:t>
            </w:r>
          </w:p>
        </w:tc>
        <w:tc>
          <w:tcPr>
            <w:tcW w:w="287" w:type="pct"/>
            <w:tcBorders>
              <w:top w:val="single" w:sz="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01006A3" w14:textId="77777777" w:rsidR="003953D6" w:rsidRPr="00346CBB" w:rsidRDefault="003953D6" w:rsidP="00346CBB">
            <w:pPr>
              <w:jc w:val="right"/>
            </w:pPr>
            <w:r w:rsidRPr="00346CBB">
              <w:t xml:space="preserve">1,30 </w:t>
            </w:r>
          </w:p>
        </w:tc>
        <w:tc>
          <w:tcPr>
            <w:tcW w:w="287" w:type="pct"/>
            <w:tcBorders>
              <w:top w:val="single" w:sz="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1DB86AA" w14:textId="77777777" w:rsidR="003953D6" w:rsidRPr="00346CBB" w:rsidRDefault="003953D6" w:rsidP="00346CBB">
            <w:pPr>
              <w:jc w:val="right"/>
            </w:pPr>
            <w:r w:rsidRPr="00346CBB">
              <w:t xml:space="preserve">1,28 </w:t>
            </w:r>
          </w:p>
        </w:tc>
        <w:tc>
          <w:tcPr>
            <w:tcW w:w="287" w:type="pct"/>
            <w:tcBorders>
              <w:top w:val="single" w:sz="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DC9ED5E" w14:textId="77777777" w:rsidR="003953D6" w:rsidRPr="00346CBB" w:rsidRDefault="003953D6" w:rsidP="00346CBB">
            <w:pPr>
              <w:jc w:val="right"/>
            </w:pPr>
            <w:r w:rsidRPr="00346CBB">
              <w:t xml:space="preserve">1,28 </w:t>
            </w:r>
          </w:p>
        </w:tc>
        <w:tc>
          <w:tcPr>
            <w:tcW w:w="287" w:type="pct"/>
            <w:tcBorders>
              <w:top w:val="single" w:sz="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6A3FF2C" w14:textId="77777777" w:rsidR="003953D6" w:rsidRPr="00346CBB" w:rsidRDefault="003953D6" w:rsidP="00346CBB">
            <w:pPr>
              <w:jc w:val="right"/>
            </w:pPr>
            <w:r w:rsidRPr="00346CBB">
              <w:t>1,16</w:t>
            </w:r>
          </w:p>
        </w:tc>
        <w:tc>
          <w:tcPr>
            <w:tcW w:w="287" w:type="pct"/>
            <w:tcBorders>
              <w:top w:val="single" w:sz="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C811486" w14:textId="77777777" w:rsidR="003953D6" w:rsidRPr="00346CBB" w:rsidRDefault="003953D6" w:rsidP="00346CBB">
            <w:pPr>
              <w:jc w:val="right"/>
            </w:pPr>
            <w:r w:rsidRPr="00346CBB">
              <w:t xml:space="preserve">1,27 </w:t>
            </w:r>
          </w:p>
        </w:tc>
        <w:tc>
          <w:tcPr>
            <w:tcW w:w="287" w:type="pct"/>
            <w:tcBorders>
              <w:top w:val="single" w:sz="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EFD34D8" w14:textId="77777777" w:rsidR="003953D6" w:rsidRPr="00346CBB" w:rsidRDefault="003953D6" w:rsidP="00346CBB">
            <w:pPr>
              <w:jc w:val="right"/>
            </w:pPr>
            <w:r w:rsidRPr="00346CBB">
              <w:t xml:space="preserve">1,51 </w:t>
            </w:r>
          </w:p>
        </w:tc>
        <w:tc>
          <w:tcPr>
            <w:tcW w:w="404" w:type="pct"/>
            <w:tcBorders>
              <w:top w:val="single" w:sz="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2E105FB" w14:textId="77777777" w:rsidR="003953D6" w:rsidRPr="00346CBB" w:rsidRDefault="003953D6" w:rsidP="00346CBB">
            <w:pPr>
              <w:jc w:val="right"/>
            </w:pPr>
            <w:r w:rsidRPr="00346CBB">
              <w:t>1,51</w:t>
            </w:r>
          </w:p>
        </w:tc>
        <w:tc>
          <w:tcPr>
            <w:tcW w:w="404" w:type="pct"/>
            <w:tcBorders>
              <w:top w:val="single" w:sz="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DAF3AE9" w14:textId="77777777" w:rsidR="003953D6" w:rsidRPr="00346CBB" w:rsidRDefault="003953D6" w:rsidP="00346CBB">
            <w:pPr>
              <w:jc w:val="right"/>
            </w:pPr>
            <w:r w:rsidRPr="00346CBB">
              <w:t xml:space="preserve">1,38 </w:t>
            </w:r>
          </w:p>
        </w:tc>
      </w:tr>
    </w:tbl>
    <w:p w14:paraId="14F824B9" w14:textId="77777777" w:rsidR="003953D6" w:rsidRPr="00346CBB" w:rsidRDefault="003953D6" w:rsidP="00C9271A">
      <w:pPr>
        <w:jc w:val="right"/>
      </w:pPr>
    </w:p>
    <w:p w14:paraId="0EA5803D" w14:textId="77777777" w:rsidR="003953D6" w:rsidRPr="00346CBB" w:rsidRDefault="003953D6" w:rsidP="00346CBB">
      <w:pPr>
        <w:pStyle w:val="Note"/>
        <w:jc w:val="right"/>
      </w:pPr>
      <w:r w:rsidRPr="00346CBB">
        <w:t>* Anslagene var i 2013 og 2014 basert på somatikk.</w:t>
      </w:r>
    </w:p>
    <w:p w14:paraId="7E354C05" w14:textId="77777777" w:rsidR="003953D6" w:rsidRPr="00346CBB" w:rsidRDefault="003953D6" w:rsidP="00346CBB">
      <w:pPr>
        <w:pStyle w:val="Note"/>
        <w:jc w:val="right"/>
      </w:pPr>
      <w:r w:rsidRPr="00346CBB">
        <w:t>** Helsedirektoratet sine siste demografianslag for 2025 og 2026 er per mai 2025.</w:t>
      </w:r>
    </w:p>
    <w:p w14:paraId="5DB24DEE" w14:textId="77777777" w:rsidR="003953D6" w:rsidRPr="00346CBB" w:rsidRDefault="003953D6" w:rsidP="00346CBB">
      <w:r w:rsidRPr="00346CBB">
        <w:t>Nedenfor følger en beskrivelse av metoden og beregningen for 2026 anslått av Helsedirektoratet i mai 2025.</w:t>
      </w:r>
    </w:p>
    <w:p w14:paraId="1C6495E1" w14:textId="77777777" w:rsidR="003953D6" w:rsidRPr="00346CBB" w:rsidRDefault="003953D6" w:rsidP="00346CBB">
      <w:pPr>
        <w:pStyle w:val="UnOverskrift2"/>
      </w:pPr>
      <w:r w:rsidRPr="00346CBB">
        <w:t>Demografisk betinget behovsvekst i spesialisthelsetjenesten for 2026</w:t>
      </w:r>
    </w:p>
    <w:p w14:paraId="59D69A39" w14:textId="424FF507" w:rsidR="003953D6" w:rsidRPr="00346CBB" w:rsidRDefault="003953D6" w:rsidP="00346CBB">
      <w:r w:rsidRPr="00346CBB">
        <w:t>Beregningen er basert på forventet vekst i henholdsvis somatisk spesialisthelsetjeneste, psykisk helsevern og TSB. Helsedirektoratet beregner en prosentuell vekst i demografisk behov.</w:t>
      </w:r>
    </w:p>
    <w:p w14:paraId="18E77379" w14:textId="77777777" w:rsidR="003953D6" w:rsidRPr="00346CBB" w:rsidRDefault="003953D6" w:rsidP="00346CBB">
      <w:pPr>
        <w:pStyle w:val="UnOverskrift2"/>
      </w:pPr>
      <w:r w:rsidRPr="00346CBB">
        <w:lastRenderedPageBreak/>
        <w:t>Metode</w:t>
      </w:r>
    </w:p>
    <w:p w14:paraId="0245989E" w14:textId="77777777" w:rsidR="003953D6" w:rsidRPr="00346CBB" w:rsidRDefault="003953D6" w:rsidP="00346CBB">
      <w:r w:rsidRPr="00346CBB">
        <w:t>SSBs middelalternativ for framskriving av befolkningstall (MMMM) benyttes for å beregne forventet behovsendring for spesialisthelsetjenester i perioden 2026–2029. For 2025 benyttes faktiske folketall per 01.01.2025 sammen med bruk av spesialisthelsetjenester i 2024. SSBs beregninger av forventet befolkningsvekst publisert 5. juni 2024 legges til grunn. I beregning av aktivitet per innbygger (forbruksrate) for 2024 har vi benyttet faktisk befolkningstall per 01.01.2024.</w:t>
      </w:r>
    </w:p>
    <w:p w14:paraId="42FC8698" w14:textId="1077DBFF" w:rsidR="003953D6" w:rsidRPr="00346CBB" w:rsidRDefault="003953D6" w:rsidP="00346CBB">
      <w:r w:rsidRPr="00346CBB">
        <w:t>I framskrivingen av demografisk betinget behovsvekst for spesialisthelsetjenesten benyttes befolkningsdata fra SSB basert på estimerte tall ved starten av året. Det vil si at det forventede befolkningstallet for 2026 er representert ved framskrevet befolkning per 01.01.2026. Dette er samme tilnærming som TBU-kommune benytter.</w:t>
      </w:r>
    </w:p>
    <w:p w14:paraId="6CC43A9A" w14:textId="77777777" w:rsidR="003953D6" w:rsidRPr="00346CBB" w:rsidRDefault="003953D6" w:rsidP="00346CBB">
      <w:pPr>
        <w:pStyle w:val="UnOverskrift2"/>
      </w:pPr>
      <w:r w:rsidRPr="00346CBB">
        <w:t>Somatisk spesialisthelsetjeneste</w:t>
      </w:r>
    </w:p>
    <w:p w14:paraId="3F091E6E" w14:textId="77777777" w:rsidR="003953D6" w:rsidRPr="00346CBB" w:rsidRDefault="003953D6" w:rsidP="00346CBB">
      <w:r w:rsidRPr="00346CBB">
        <w:t>Aktiviteten som det tas utgangspunkt i er sum korrigerte DRG-poeng for dag-, døgn- og poliklinisk behandling i 2024, basert på all aktivitet, også aktivitet som ikke er godkjent for Innsatsstyrt Finansiering (ISF). Tidligere analyser har også tatt utgangspunkt i tilsvarende datagrunnlag. Aktivitetsdataene er fordelt på kommuner, kjønn og 5-årige aldersgrupper. Dette kombineres med faktiske folketall per 01.01.2024 for å etablere et forbruksnivå. Behovsveksten beregnes ved å sammenholde forbruksnivået for 2024 med a) faktiske folketall per 01.01.2025 og b) SSB sine framskrevne folketall per 01.01.2026–01.01.2029.</w:t>
      </w:r>
    </w:p>
    <w:p w14:paraId="5BE13ECC" w14:textId="77777777" w:rsidR="003953D6" w:rsidRPr="00346CBB" w:rsidRDefault="003953D6" w:rsidP="00346CBB">
      <w:pPr>
        <w:pStyle w:val="UnOverskrift2"/>
      </w:pPr>
      <w:r w:rsidRPr="00346CBB">
        <w:t>Psykisk helsevern for voksne</w:t>
      </w:r>
    </w:p>
    <w:p w14:paraId="6B32F3F8" w14:textId="77777777" w:rsidR="003953D6" w:rsidRPr="00346CBB" w:rsidRDefault="003953D6" w:rsidP="00346CBB">
      <w:r w:rsidRPr="00346CBB">
        <w:t>Utgangspunktet for aktivitet som framskrives er oppholdsdøgn og polikliniske kontakter i 2024. Polikliniske kontakter regnes om til døgn ved hjelp av forholdet mellom enhetskostnaden for døgn og kontakter i 2022. En poliklinisk kontakt er estimert til ressursmessig å tilsvare 0,191 døgn i det psykiske helsevernet for voksne. Aktivitetsdataene er fordelt på helseforetaksområdene og 10-årige aldersgrupper, kombinert med faktiske folketall per 01.01.2024 for å etablere et forbruksnivå. Behovsveksten beregnes ved å sammenholde forbruksnivået for 2024 med faktiske folketall per 01.01.2025 og framskrevne folketall per 01.01.2026–01.01.2029.</w:t>
      </w:r>
    </w:p>
    <w:p w14:paraId="1CC66576" w14:textId="77777777" w:rsidR="003953D6" w:rsidRPr="00346CBB" w:rsidRDefault="003953D6" w:rsidP="00346CBB">
      <w:pPr>
        <w:pStyle w:val="UnOverskrift2"/>
      </w:pPr>
      <w:r w:rsidRPr="00346CBB">
        <w:lastRenderedPageBreak/>
        <w:t>Psykisk helsevern for barn og unge</w:t>
      </w:r>
    </w:p>
    <w:p w14:paraId="022F16CB" w14:textId="77777777" w:rsidR="003953D6" w:rsidRPr="00346CBB" w:rsidRDefault="003953D6" w:rsidP="00346CBB">
      <w:r w:rsidRPr="00346CBB">
        <w:t>Utgangspunktet for aktivitet er oppholdsdøgn og polikliniske kontakter i 2024. Polikliniske kontakter regnes om til døgn ved forholdet mellom enhetskostnaden for døgn og kontakter i 2022. En poliklinisk kontakt er beregnet til å tilsvare 0,162 døgn i det psykiske helsevernet for barn og unge. Aktivitetsdataene er fordelt på helseforetak og 10-årige aldersgrupper, og kombineres med faktiske folketall per 01.01.2024 for å etablere et forbruksnivå. Behovsveksten beregnes ved å sammenholde forbruksnivået for 2024 med faktiske folketall per 01.01.2025 og framskrevne folketall per 01.01.2026–01.01.2029.</w:t>
      </w:r>
    </w:p>
    <w:p w14:paraId="638A22B1" w14:textId="77777777" w:rsidR="003953D6" w:rsidRPr="00346CBB" w:rsidRDefault="003953D6" w:rsidP="00346CBB">
      <w:pPr>
        <w:pStyle w:val="UnOverskrift2"/>
      </w:pPr>
      <w:r w:rsidRPr="00346CBB">
        <w:t>Tverrfaglig spesialisert rusbehandling (TSB)</w:t>
      </w:r>
    </w:p>
    <w:p w14:paraId="4561BBF1" w14:textId="77777777" w:rsidR="003953D6" w:rsidRPr="00346CBB" w:rsidRDefault="003953D6" w:rsidP="00346CBB">
      <w:r w:rsidRPr="00346CBB">
        <w:t>Aktiviteten som det tas utgangspunkt i er oppholdsdøgn og polikliniske kontakter for TSB i 2024. Polikliniske kontakter regnes om til døgn ved forholdet mellom enhetskostnaden for døgn og kontakter i 2022. En poliklinisk kontakt beregnes å tilsvare 0,297 døgn. Aktivitetsdataene fordeles på regionale bostedsområder og 10-årige aldersgrupper, og kombineres med faktiske folketall per 01.01.2024 for å etablere et forbruksnivå. Behovsveksten beregnes ved å sammenholde forbruksnivået for 2024 med faktiske folketall per 01.01.2025 og framskrevne folketall per 01.01.2026–01.01.2029.</w:t>
      </w:r>
    </w:p>
    <w:p w14:paraId="5173DCA6" w14:textId="77777777" w:rsidR="003953D6" w:rsidRPr="00346CBB" w:rsidRDefault="003953D6" w:rsidP="00346CBB">
      <w:pPr>
        <w:pStyle w:val="UnOverskrift2"/>
      </w:pPr>
      <w:r w:rsidRPr="00346CBB">
        <w:t>Spesialisthelsetjenesten samlet</w:t>
      </w:r>
    </w:p>
    <w:p w14:paraId="64E4ACCF" w14:textId="613F7FEE" w:rsidR="003953D6" w:rsidRPr="00346CBB" w:rsidRDefault="003953D6" w:rsidP="00346CBB">
      <w:r w:rsidRPr="00346CBB">
        <w:t>Behovsveksten for de fire tjenesteområdene vektes sammen ved hjelp av nasjonale kostnadsandeler i spesialisthelsetjenesten. Kostnadsandelene hentes fra SAMDATA Spesialisthelsetjenesten 2023</w:t>
      </w:r>
      <w:r w:rsidRPr="00346CBB">
        <w:rPr>
          <w:rStyle w:val="Fotnotereferanse"/>
        </w:rPr>
        <w:footnoteReference w:id="16"/>
      </w:r>
      <w:r w:rsidRPr="00346CBB">
        <w:t>. Somatisk spesialisthelsetjeneste vektes med 78,2 prosent, psykisk helsevern for voksne med 14,3 prosent, psykisk helsevern for barn og unge med 3,7 prosent og TSB med 3,7 prosent.</w:t>
      </w:r>
    </w:p>
    <w:p w14:paraId="33C67F9B" w14:textId="77777777" w:rsidR="003953D6" w:rsidRPr="00346CBB" w:rsidRDefault="003953D6" w:rsidP="00346CBB">
      <w:pPr>
        <w:pStyle w:val="UnOverskrift2"/>
      </w:pPr>
      <w:r w:rsidRPr="00346CBB">
        <w:lastRenderedPageBreak/>
        <w:t>Uendrede forutsetninger om sykelighet og behov for spesialisthelsetjenester</w:t>
      </w:r>
    </w:p>
    <w:p w14:paraId="611A2131" w14:textId="77777777" w:rsidR="003953D6" w:rsidRPr="00346CBB" w:rsidRDefault="003953D6" w:rsidP="00346CBB">
      <w:r w:rsidRPr="00346CBB">
        <w:t>Denne framskrivningen forutsetter at forbruket av spesialisthelsetjenester har samme nivå og fordeling mellom aldersgrupper, geografi og tjenesteområde i 2026 som i 2024. Det vil si at scenarier for endringer i for eksempel medisinsk teknologi og behov for tjenester ikke tas inn i beregningene. Framskrivingen rendyrker en behovseffekt som følge av endring i demografi. Beregningen rullerer ved at forbruksratene oppdateres årlig, og at befolkningsprognosen oppdateres av SSB annet hvert år. Forbruksratene, som oppdateres årlig, kan endres ved endring medisinsk teknologi og behov.</w:t>
      </w:r>
    </w:p>
    <w:p w14:paraId="4278445F" w14:textId="77777777" w:rsidR="003953D6" w:rsidRPr="00346CBB" w:rsidRDefault="003953D6" w:rsidP="00346CBB">
      <w:pPr>
        <w:pStyle w:val="UnOverskrift2"/>
      </w:pPr>
      <w:r w:rsidRPr="00346CBB">
        <w:t>Resultater fra beregningene</w:t>
      </w:r>
    </w:p>
    <w:p w14:paraId="1AE3B5C0" w14:textId="77777777" w:rsidR="003953D6" w:rsidRPr="00346CBB" w:rsidRDefault="003953D6" w:rsidP="00346CBB">
      <w:r w:rsidRPr="00346CBB">
        <w:t>For 2026 forventes den demografiske utviklingen å gi en behovsvekst på 1,38 prosent fra 2025 for spesialisthelsetjenesten samlet. Befolkningen forventes å øke med 0,79 prosent. Tabell 2 viser beregningene.</w:t>
      </w:r>
    </w:p>
    <w:p w14:paraId="2CC033EF" w14:textId="77777777" w:rsidR="003953D6" w:rsidRPr="00346CBB" w:rsidRDefault="003953D6" w:rsidP="00346CBB">
      <w:r w:rsidRPr="00346CBB">
        <w:t>Beregnet behovsvekst for 2026 varierer mellom tjenesteområdene somatikk, psykisk helsevern og TSB. Bak en samlet behovsvekst på 1,38 prosent forventes behovet å øke med 1,56 prosent for somatikk, 0,91 prosent for det psykiske helsevernet for voksne, 0,79 prosent for TSB, mens det forventes en reduksjon i behovet på 0,12 prosent for det psykiske helsevernet for barn og unge og. Tabellene 3, 4 og 5 viser beregningene for tjenesteområdene separat.</w:t>
      </w:r>
    </w:p>
    <w:p w14:paraId="64951F9B" w14:textId="77777777" w:rsidR="003953D6" w:rsidRPr="00346CBB" w:rsidRDefault="003953D6" w:rsidP="00346CBB">
      <w:r w:rsidRPr="00346CBB">
        <w:t>Sterkere behovsvekst i somatisk spesialisthelsetjeneste henger sammen med at bruken av spesialisthelsetjenester øker med økende alder, og at befolkningen forventes å øke mest for de eldste aldersgruppene. I psykisk helsevern og TSB er behandlingsraten høyere for de yngre aldersgruppene enn for eldre.</w:t>
      </w:r>
    </w:p>
    <w:p w14:paraId="47EA5799" w14:textId="77777777" w:rsidR="003953D6" w:rsidRPr="00346CBB" w:rsidRDefault="003953D6" w:rsidP="00346CBB">
      <w:pPr>
        <w:pStyle w:val="avsnitt-undertittel"/>
        <w:rPr>
          <w:rStyle w:val="halvfet"/>
        </w:rPr>
      </w:pPr>
      <w:r w:rsidRPr="00346CBB">
        <w:t>Tabell 2. Forventet behovsvekst årene 2025–2029 for spesialisthelsetjenesten samlet på bakgrunn av demografisk utvikling. Prosent.</w:t>
      </w:r>
    </w:p>
    <w:tbl>
      <w:tblPr>
        <w:tblW w:w="5000" w:type="pct"/>
        <w:tblCellMar>
          <w:left w:w="0" w:type="dxa"/>
          <w:right w:w="0" w:type="dxa"/>
        </w:tblCellMar>
        <w:tblLook w:val="0000" w:firstRow="0" w:lastRow="0" w:firstColumn="0" w:lastColumn="0" w:noHBand="0" w:noVBand="0"/>
      </w:tblPr>
      <w:tblGrid>
        <w:gridCol w:w="664"/>
        <w:gridCol w:w="1888"/>
        <w:gridCol w:w="1888"/>
        <w:gridCol w:w="1888"/>
        <w:gridCol w:w="1886"/>
      </w:tblGrid>
      <w:tr w:rsidR="00A4769D" w:rsidRPr="00346CBB" w14:paraId="09BF02E4" w14:textId="77777777" w:rsidTr="00C9271A">
        <w:trPr>
          <w:trHeight w:val="396"/>
          <w:tblHeader/>
        </w:trPr>
        <w:tc>
          <w:tcPr>
            <w:tcW w:w="40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42F5DB4" w14:textId="77777777" w:rsidR="003953D6" w:rsidRPr="00346CBB" w:rsidRDefault="003953D6" w:rsidP="00C9271A">
            <w:pPr>
              <w:pStyle w:val="TabellHode-kolonne"/>
            </w:pPr>
            <w:r w:rsidRPr="00346CBB">
              <w:t>År</w:t>
            </w:r>
          </w:p>
        </w:tc>
        <w:tc>
          <w:tcPr>
            <w:tcW w:w="114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82A830E" w14:textId="77777777" w:rsidR="003953D6" w:rsidRPr="00346CBB" w:rsidRDefault="003953D6" w:rsidP="00C9271A">
            <w:pPr>
              <w:pStyle w:val="TabellHode-kolonne"/>
              <w:jc w:val="right"/>
            </w:pPr>
            <w:r w:rsidRPr="00346CBB">
              <w:t>Årlig behovsendring</w:t>
            </w:r>
          </w:p>
        </w:tc>
        <w:tc>
          <w:tcPr>
            <w:tcW w:w="114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1F28090" w14:textId="77777777" w:rsidR="003953D6" w:rsidRPr="00346CBB" w:rsidRDefault="003953D6" w:rsidP="00C9271A">
            <w:pPr>
              <w:pStyle w:val="TabellHode-kolonne"/>
              <w:jc w:val="right"/>
            </w:pPr>
            <w:r w:rsidRPr="00346CBB">
              <w:t>Endring fra 2024</w:t>
            </w:r>
          </w:p>
        </w:tc>
        <w:tc>
          <w:tcPr>
            <w:tcW w:w="114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F3ACAEF" w14:textId="77777777" w:rsidR="003953D6" w:rsidRPr="00346CBB" w:rsidRDefault="003953D6" w:rsidP="00C9271A">
            <w:pPr>
              <w:pStyle w:val="TabellHode-kolonne"/>
              <w:jc w:val="right"/>
            </w:pPr>
            <w:r w:rsidRPr="00346CBB">
              <w:t>Årlig befolknings- endring</w:t>
            </w:r>
          </w:p>
        </w:tc>
        <w:tc>
          <w:tcPr>
            <w:tcW w:w="114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D881CA1" w14:textId="77777777" w:rsidR="003953D6" w:rsidRPr="00346CBB" w:rsidRDefault="003953D6" w:rsidP="00C9271A">
            <w:pPr>
              <w:pStyle w:val="TabellHode-kolonne"/>
              <w:jc w:val="right"/>
            </w:pPr>
            <w:r w:rsidRPr="00346CBB">
              <w:t>Endring fra 2024</w:t>
            </w:r>
          </w:p>
        </w:tc>
      </w:tr>
      <w:tr w:rsidR="00A4769D" w:rsidRPr="00346CBB" w14:paraId="5EEEFD64" w14:textId="77777777" w:rsidTr="00C9271A">
        <w:trPr>
          <w:trHeight w:val="396"/>
        </w:trPr>
        <w:tc>
          <w:tcPr>
            <w:tcW w:w="40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FDE935B" w14:textId="77777777" w:rsidR="003953D6" w:rsidRPr="00346CBB" w:rsidRDefault="003953D6" w:rsidP="00C9271A">
            <w:pPr>
              <w:pStyle w:val="TabellHode-rad"/>
            </w:pPr>
            <w:r w:rsidRPr="00346CBB">
              <w:t>2025</w:t>
            </w:r>
          </w:p>
        </w:tc>
        <w:tc>
          <w:tcPr>
            <w:tcW w:w="114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8C8028C" w14:textId="77777777" w:rsidR="003953D6" w:rsidRPr="00346CBB" w:rsidRDefault="003953D6" w:rsidP="00346CBB">
            <w:pPr>
              <w:jc w:val="right"/>
            </w:pPr>
            <w:r w:rsidRPr="00346CBB">
              <w:t xml:space="preserve">1,51 </w:t>
            </w:r>
          </w:p>
        </w:tc>
        <w:tc>
          <w:tcPr>
            <w:tcW w:w="114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C166B55" w14:textId="77777777" w:rsidR="003953D6" w:rsidRPr="00346CBB" w:rsidRDefault="003953D6" w:rsidP="00346CBB">
            <w:pPr>
              <w:jc w:val="right"/>
            </w:pPr>
            <w:r w:rsidRPr="00346CBB">
              <w:t xml:space="preserve">1,51 </w:t>
            </w:r>
          </w:p>
        </w:tc>
        <w:tc>
          <w:tcPr>
            <w:tcW w:w="114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32077BE" w14:textId="77777777" w:rsidR="003953D6" w:rsidRPr="00346CBB" w:rsidRDefault="003953D6" w:rsidP="00346CBB">
            <w:pPr>
              <w:jc w:val="right"/>
            </w:pPr>
            <w:r w:rsidRPr="00346CBB">
              <w:t>0,80</w:t>
            </w:r>
          </w:p>
        </w:tc>
        <w:tc>
          <w:tcPr>
            <w:tcW w:w="114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F9E8206" w14:textId="77777777" w:rsidR="003953D6" w:rsidRPr="00346CBB" w:rsidRDefault="003953D6" w:rsidP="00346CBB">
            <w:pPr>
              <w:jc w:val="right"/>
            </w:pPr>
            <w:r w:rsidRPr="00346CBB">
              <w:t xml:space="preserve">0,80 </w:t>
            </w:r>
          </w:p>
        </w:tc>
      </w:tr>
      <w:tr w:rsidR="00A4769D" w:rsidRPr="00346CBB" w14:paraId="1F8C49B0" w14:textId="77777777" w:rsidTr="00C9271A">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17BBDAC" w14:textId="77777777" w:rsidR="003953D6" w:rsidRPr="00346CBB" w:rsidRDefault="003953D6" w:rsidP="00C9271A">
            <w:pPr>
              <w:pStyle w:val="TabellHode-rad"/>
            </w:pPr>
            <w:r w:rsidRPr="00346CBB">
              <w:lastRenderedPageBreak/>
              <w:t>2026</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32828E1" w14:textId="77777777" w:rsidR="003953D6" w:rsidRPr="00346CBB" w:rsidRDefault="003953D6" w:rsidP="00346CBB">
            <w:pPr>
              <w:jc w:val="right"/>
            </w:pPr>
            <w:r w:rsidRPr="00346CBB">
              <w:t xml:space="preserve">1,38 </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6B51ED2" w14:textId="77777777" w:rsidR="003953D6" w:rsidRPr="00346CBB" w:rsidRDefault="003953D6" w:rsidP="00346CBB">
            <w:pPr>
              <w:jc w:val="right"/>
            </w:pPr>
            <w:r w:rsidRPr="00346CBB">
              <w:t xml:space="preserve">2,91 </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D6C4B63" w14:textId="77777777" w:rsidR="003953D6" w:rsidRPr="00346CBB" w:rsidRDefault="003953D6" w:rsidP="00346CBB">
            <w:pPr>
              <w:jc w:val="right"/>
            </w:pPr>
            <w:r w:rsidRPr="00346CBB">
              <w:t xml:space="preserve">0,79 </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E94DA6D" w14:textId="77777777" w:rsidR="003953D6" w:rsidRPr="00346CBB" w:rsidRDefault="003953D6" w:rsidP="00346CBB">
            <w:pPr>
              <w:jc w:val="right"/>
            </w:pPr>
            <w:r w:rsidRPr="00346CBB">
              <w:t xml:space="preserve">1,59 </w:t>
            </w:r>
          </w:p>
        </w:tc>
      </w:tr>
      <w:tr w:rsidR="00A4769D" w:rsidRPr="00346CBB" w14:paraId="46319B38" w14:textId="77777777" w:rsidTr="00C9271A">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3F3A05B" w14:textId="77777777" w:rsidR="003953D6" w:rsidRPr="00346CBB" w:rsidRDefault="003953D6" w:rsidP="00C9271A">
            <w:pPr>
              <w:pStyle w:val="TabellHode-rad"/>
            </w:pPr>
            <w:r w:rsidRPr="00346CBB">
              <w:t>2027</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45B9E79" w14:textId="77777777" w:rsidR="003953D6" w:rsidRPr="00346CBB" w:rsidRDefault="003953D6" w:rsidP="00346CBB">
            <w:pPr>
              <w:jc w:val="right"/>
            </w:pPr>
            <w:r w:rsidRPr="00346CBB">
              <w:t xml:space="preserve">1,14 </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9DB5283" w14:textId="77777777" w:rsidR="003953D6" w:rsidRPr="00346CBB" w:rsidRDefault="003953D6" w:rsidP="00346CBB">
            <w:pPr>
              <w:jc w:val="right"/>
            </w:pPr>
            <w:r w:rsidRPr="00346CBB">
              <w:t xml:space="preserve">4,09 </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DF93B2B" w14:textId="77777777" w:rsidR="003953D6" w:rsidRPr="00346CBB" w:rsidRDefault="003953D6" w:rsidP="00346CBB">
            <w:pPr>
              <w:jc w:val="right"/>
            </w:pPr>
            <w:r w:rsidRPr="00346CBB">
              <w:t xml:space="preserve">0,48 </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D5F905A" w14:textId="77777777" w:rsidR="003953D6" w:rsidRPr="00346CBB" w:rsidRDefault="003953D6" w:rsidP="00346CBB">
            <w:pPr>
              <w:jc w:val="right"/>
            </w:pPr>
            <w:r w:rsidRPr="00346CBB">
              <w:t xml:space="preserve">2,07 </w:t>
            </w:r>
          </w:p>
        </w:tc>
      </w:tr>
      <w:tr w:rsidR="00A4769D" w:rsidRPr="00346CBB" w14:paraId="6ACA4EBF" w14:textId="77777777" w:rsidTr="00C9271A">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81C9AF7" w14:textId="77777777" w:rsidR="003953D6" w:rsidRPr="00346CBB" w:rsidRDefault="003953D6" w:rsidP="00C9271A">
            <w:pPr>
              <w:pStyle w:val="TabellHode-rad"/>
            </w:pPr>
            <w:r w:rsidRPr="00346CBB">
              <w:t>2028</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C71FDF2" w14:textId="77777777" w:rsidR="003953D6" w:rsidRPr="00346CBB" w:rsidRDefault="003953D6" w:rsidP="00346CBB">
            <w:pPr>
              <w:jc w:val="right"/>
            </w:pPr>
            <w:r w:rsidRPr="00346CBB">
              <w:t xml:space="preserve">1,15 </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C2835CF" w14:textId="77777777" w:rsidR="003953D6" w:rsidRPr="00346CBB" w:rsidRDefault="003953D6" w:rsidP="00346CBB">
            <w:pPr>
              <w:jc w:val="right"/>
            </w:pPr>
            <w:r w:rsidRPr="00346CBB">
              <w:t xml:space="preserve">5,29 </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DA51AA4" w14:textId="77777777" w:rsidR="003953D6" w:rsidRPr="00346CBB" w:rsidRDefault="003953D6" w:rsidP="00346CBB">
            <w:pPr>
              <w:jc w:val="right"/>
            </w:pPr>
            <w:r w:rsidRPr="00346CBB">
              <w:t xml:space="preserve">0,47 </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1FBFA9D" w14:textId="77777777" w:rsidR="003953D6" w:rsidRPr="00346CBB" w:rsidRDefault="003953D6" w:rsidP="00346CBB">
            <w:pPr>
              <w:jc w:val="right"/>
            </w:pPr>
            <w:r w:rsidRPr="00346CBB">
              <w:t xml:space="preserve">2,55 </w:t>
            </w:r>
          </w:p>
        </w:tc>
      </w:tr>
      <w:tr w:rsidR="00A4769D" w:rsidRPr="00346CBB" w14:paraId="7DC2A40E" w14:textId="77777777" w:rsidTr="00C9271A">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E3BDD03" w14:textId="77777777" w:rsidR="003953D6" w:rsidRPr="00346CBB" w:rsidRDefault="003953D6" w:rsidP="00C9271A">
            <w:pPr>
              <w:pStyle w:val="TabellHode-rad"/>
            </w:pPr>
            <w:r w:rsidRPr="00346CBB">
              <w:t>2029</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99A9E06" w14:textId="77777777" w:rsidR="003953D6" w:rsidRPr="00346CBB" w:rsidRDefault="003953D6" w:rsidP="00346CBB">
            <w:pPr>
              <w:jc w:val="right"/>
            </w:pPr>
            <w:r w:rsidRPr="00346CBB">
              <w:t xml:space="preserve">1,12 </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BAD0F3E" w14:textId="77777777" w:rsidR="003953D6" w:rsidRPr="00346CBB" w:rsidRDefault="003953D6" w:rsidP="00346CBB">
            <w:pPr>
              <w:jc w:val="right"/>
            </w:pPr>
            <w:r w:rsidRPr="00346CBB">
              <w:t xml:space="preserve">6,48 </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92E86CF" w14:textId="77777777" w:rsidR="003953D6" w:rsidRPr="00346CBB" w:rsidRDefault="003953D6" w:rsidP="00346CBB">
            <w:pPr>
              <w:jc w:val="right"/>
            </w:pPr>
            <w:r w:rsidRPr="00346CBB">
              <w:t xml:space="preserve">0,47 </w:t>
            </w:r>
          </w:p>
        </w:tc>
        <w:tc>
          <w:tcPr>
            <w:tcW w:w="11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8F65909" w14:textId="77777777" w:rsidR="003953D6" w:rsidRPr="00346CBB" w:rsidRDefault="003953D6" w:rsidP="00346CBB">
            <w:pPr>
              <w:jc w:val="right"/>
            </w:pPr>
            <w:r w:rsidRPr="00346CBB">
              <w:t xml:space="preserve">3,03 </w:t>
            </w:r>
          </w:p>
        </w:tc>
      </w:tr>
    </w:tbl>
    <w:p w14:paraId="2F1C9B9B" w14:textId="77777777" w:rsidR="003953D6" w:rsidRPr="00346CBB" w:rsidRDefault="003953D6" w:rsidP="00C9271A">
      <w:pPr>
        <w:jc w:val="right"/>
      </w:pPr>
    </w:p>
    <w:p w14:paraId="778A6026" w14:textId="77777777" w:rsidR="003953D6" w:rsidRPr="00346CBB" w:rsidRDefault="003953D6" w:rsidP="00346CBB">
      <w:pPr>
        <w:pStyle w:val="avsnitt-undertittel"/>
        <w:rPr>
          <w:rStyle w:val="halvfet"/>
        </w:rPr>
      </w:pPr>
      <w:r w:rsidRPr="00346CBB">
        <w:t>Tabell 3. Forventet behovsvekst for somatisk spesialisthelsetjeneste. 2025–2029.</w:t>
      </w:r>
    </w:p>
    <w:tbl>
      <w:tblPr>
        <w:tblW w:w="5000" w:type="pct"/>
        <w:tblCellMar>
          <w:left w:w="0" w:type="dxa"/>
          <w:right w:w="0" w:type="dxa"/>
        </w:tblCellMar>
        <w:tblLook w:val="0000" w:firstRow="0" w:lastRow="0" w:firstColumn="0" w:lastColumn="0" w:noHBand="0" w:noVBand="0"/>
      </w:tblPr>
      <w:tblGrid>
        <w:gridCol w:w="665"/>
        <w:gridCol w:w="1510"/>
        <w:gridCol w:w="1510"/>
        <w:gridCol w:w="1511"/>
        <w:gridCol w:w="1510"/>
        <w:gridCol w:w="1508"/>
      </w:tblGrid>
      <w:tr w:rsidR="00A4769D" w:rsidRPr="00346CBB" w14:paraId="5C3C8A69" w14:textId="77777777" w:rsidTr="00C9271A">
        <w:trPr>
          <w:trHeight w:val="396"/>
          <w:tblHeader/>
        </w:trPr>
        <w:tc>
          <w:tcPr>
            <w:tcW w:w="40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2977FA7" w14:textId="77777777" w:rsidR="003953D6" w:rsidRPr="00346CBB" w:rsidRDefault="003953D6" w:rsidP="00346CBB">
            <w:pPr>
              <w:pStyle w:val="TabellHode-kolonne"/>
            </w:pPr>
            <w:r w:rsidRPr="00346CBB">
              <w:t>År</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908E83B" w14:textId="77777777" w:rsidR="003953D6" w:rsidRPr="00346CBB" w:rsidRDefault="003953D6" w:rsidP="00C9271A">
            <w:pPr>
              <w:pStyle w:val="TabellHode-kolonne"/>
              <w:jc w:val="right"/>
            </w:pPr>
            <w:r w:rsidRPr="00346CBB">
              <w:t>Beregnede DRG-poeng</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5C212F9" w14:textId="5C1BB370" w:rsidR="003953D6" w:rsidRPr="00346CBB" w:rsidRDefault="003953D6" w:rsidP="00C9271A">
            <w:pPr>
              <w:pStyle w:val="TabellHode-kolonne"/>
              <w:jc w:val="right"/>
            </w:pPr>
            <w:r w:rsidRPr="00346CBB">
              <w:t>Årlig behovsendring (pst.)</w:t>
            </w:r>
          </w:p>
        </w:tc>
        <w:tc>
          <w:tcPr>
            <w:tcW w:w="92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15EB7BE" w14:textId="77777777" w:rsidR="003953D6" w:rsidRPr="00346CBB" w:rsidRDefault="003953D6" w:rsidP="00C9271A">
            <w:pPr>
              <w:pStyle w:val="TabellHode-kolonne"/>
              <w:jc w:val="right"/>
            </w:pPr>
            <w:r w:rsidRPr="00346CBB">
              <w:t>Endring fra 2024 (pst.)</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9BBD354" w14:textId="77777777" w:rsidR="003953D6" w:rsidRPr="00346CBB" w:rsidRDefault="003953D6" w:rsidP="00C9271A">
            <w:pPr>
              <w:pStyle w:val="TabellHode-kolonne"/>
              <w:jc w:val="right"/>
            </w:pPr>
            <w:r w:rsidRPr="00346CBB">
              <w:t>Årlig befolkningsendring (pst.)</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5A73F84" w14:textId="77777777" w:rsidR="003953D6" w:rsidRPr="00346CBB" w:rsidRDefault="003953D6" w:rsidP="00C9271A">
            <w:pPr>
              <w:pStyle w:val="TabellHode-kolonne"/>
              <w:jc w:val="right"/>
            </w:pPr>
            <w:r w:rsidRPr="00346CBB">
              <w:t>Endring fra 2024 (pst.)</w:t>
            </w:r>
          </w:p>
        </w:tc>
      </w:tr>
      <w:tr w:rsidR="00A4769D" w:rsidRPr="00346CBB" w14:paraId="7DF9604A" w14:textId="77777777" w:rsidTr="00346CBB">
        <w:trPr>
          <w:trHeight w:val="396"/>
        </w:trPr>
        <w:tc>
          <w:tcPr>
            <w:tcW w:w="40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996C7B9" w14:textId="77777777" w:rsidR="003953D6" w:rsidRPr="00346CBB" w:rsidRDefault="003953D6" w:rsidP="00346CBB">
            <w:pPr>
              <w:pStyle w:val="TabellHode-rad"/>
            </w:pPr>
            <w:r w:rsidRPr="00346CBB">
              <w:t>2024</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878B50F" w14:textId="77777777" w:rsidR="003953D6" w:rsidRPr="00346CBB" w:rsidRDefault="003953D6" w:rsidP="00346CBB">
            <w:pPr>
              <w:jc w:val="right"/>
            </w:pPr>
            <w:r w:rsidRPr="00346CBB">
              <w:t>1 668 136</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9C6EAC5" w14:textId="77777777" w:rsidR="003953D6" w:rsidRPr="00346CBB" w:rsidRDefault="003953D6" w:rsidP="00346CBB">
            <w:pPr>
              <w:pStyle w:val="NoParagraphStyle"/>
            </w:pPr>
          </w:p>
        </w:tc>
        <w:tc>
          <w:tcPr>
            <w:tcW w:w="92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F297E1A" w14:textId="77777777" w:rsidR="003953D6" w:rsidRPr="00346CBB" w:rsidRDefault="003953D6" w:rsidP="00346CBB">
            <w:pPr>
              <w:pStyle w:val="NoParagraphStyle"/>
            </w:pP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5D792EC" w14:textId="77777777" w:rsidR="003953D6" w:rsidRPr="00346CBB" w:rsidRDefault="003953D6" w:rsidP="00346CBB">
            <w:pPr>
              <w:pStyle w:val="NoParagraphStyle"/>
            </w:pP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A2C3BA8" w14:textId="77777777" w:rsidR="003953D6" w:rsidRPr="00346CBB" w:rsidRDefault="003953D6" w:rsidP="00C9271A">
            <w:pPr>
              <w:jc w:val="right"/>
            </w:pPr>
          </w:p>
        </w:tc>
      </w:tr>
      <w:tr w:rsidR="00A4769D" w:rsidRPr="00346CBB" w14:paraId="7070A5BB"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2EFE2ED" w14:textId="77777777" w:rsidR="003953D6" w:rsidRPr="00346CBB" w:rsidRDefault="003953D6" w:rsidP="00346CBB">
            <w:pPr>
              <w:pStyle w:val="TabellHode-rad"/>
            </w:pPr>
            <w:r w:rsidRPr="00346CBB">
              <w:t>2025</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7E19B9B" w14:textId="77777777" w:rsidR="003953D6" w:rsidRPr="00346CBB" w:rsidRDefault="003953D6" w:rsidP="00346CBB">
            <w:pPr>
              <w:jc w:val="right"/>
            </w:pPr>
            <w:r w:rsidRPr="00346CBB">
              <w:t>1 697 362</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51B464E" w14:textId="77777777" w:rsidR="003953D6" w:rsidRPr="00346CBB" w:rsidRDefault="003953D6" w:rsidP="00346CBB">
            <w:pPr>
              <w:jc w:val="right"/>
            </w:pPr>
            <w:r w:rsidRPr="00346CBB">
              <w:t xml:space="preserve">1,75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264CC44" w14:textId="77777777" w:rsidR="003953D6" w:rsidRPr="00346CBB" w:rsidRDefault="003953D6" w:rsidP="00346CBB">
            <w:pPr>
              <w:jc w:val="right"/>
            </w:pPr>
            <w:r w:rsidRPr="00346CBB">
              <w:t xml:space="preserve">1,75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FFD33CD" w14:textId="77777777" w:rsidR="003953D6" w:rsidRPr="00346CBB" w:rsidRDefault="003953D6" w:rsidP="00346CBB">
            <w:pPr>
              <w:jc w:val="right"/>
            </w:pPr>
            <w:r w:rsidRPr="00346CBB">
              <w:t xml:space="preserve">0,80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FB93D47" w14:textId="77777777" w:rsidR="003953D6" w:rsidRPr="00346CBB" w:rsidRDefault="003953D6" w:rsidP="00346CBB">
            <w:pPr>
              <w:jc w:val="right"/>
            </w:pPr>
            <w:r w:rsidRPr="00346CBB">
              <w:t xml:space="preserve">0,80 </w:t>
            </w:r>
          </w:p>
        </w:tc>
      </w:tr>
      <w:tr w:rsidR="00A4769D" w:rsidRPr="00346CBB" w14:paraId="25AA416F"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C92E814" w14:textId="77777777" w:rsidR="003953D6" w:rsidRPr="00346CBB" w:rsidRDefault="003953D6" w:rsidP="00346CBB">
            <w:pPr>
              <w:pStyle w:val="TabellHode-rad"/>
            </w:pPr>
            <w:r w:rsidRPr="00346CBB">
              <w:t>2026</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ADE0589" w14:textId="77777777" w:rsidR="003953D6" w:rsidRPr="00346CBB" w:rsidRDefault="003953D6" w:rsidP="00346CBB">
            <w:pPr>
              <w:jc w:val="right"/>
            </w:pPr>
            <w:r w:rsidRPr="00346CBB">
              <w:t>1 723 849</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2870A12" w14:textId="77777777" w:rsidR="003953D6" w:rsidRPr="00346CBB" w:rsidRDefault="003953D6" w:rsidP="00346CBB">
            <w:pPr>
              <w:jc w:val="right"/>
            </w:pPr>
            <w:r w:rsidRPr="00346CBB">
              <w:t xml:space="preserve">1,56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19A4250" w14:textId="77777777" w:rsidR="003953D6" w:rsidRPr="00346CBB" w:rsidRDefault="003953D6" w:rsidP="00346CBB">
            <w:pPr>
              <w:jc w:val="right"/>
            </w:pPr>
            <w:r w:rsidRPr="00346CBB">
              <w:t xml:space="preserve">3,34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5EEAE83" w14:textId="77777777" w:rsidR="003953D6" w:rsidRPr="00346CBB" w:rsidRDefault="003953D6" w:rsidP="00346CBB">
            <w:pPr>
              <w:jc w:val="right"/>
            </w:pPr>
            <w:r w:rsidRPr="00346CBB">
              <w:t xml:space="preserve">0,79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0A99AF4" w14:textId="77777777" w:rsidR="003953D6" w:rsidRPr="00346CBB" w:rsidRDefault="003953D6" w:rsidP="00346CBB">
            <w:pPr>
              <w:jc w:val="right"/>
            </w:pPr>
            <w:r w:rsidRPr="00346CBB">
              <w:t xml:space="preserve">1,59 </w:t>
            </w:r>
          </w:p>
        </w:tc>
      </w:tr>
      <w:tr w:rsidR="00A4769D" w:rsidRPr="00346CBB" w14:paraId="1C90AB79"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F9CFB0C" w14:textId="77777777" w:rsidR="003953D6" w:rsidRPr="00346CBB" w:rsidRDefault="003953D6" w:rsidP="00346CBB">
            <w:pPr>
              <w:pStyle w:val="TabellHode-rad"/>
            </w:pPr>
            <w:r w:rsidRPr="00346CBB">
              <w:t>2027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457A5EC" w14:textId="77777777" w:rsidR="003953D6" w:rsidRPr="00346CBB" w:rsidRDefault="003953D6" w:rsidP="00346CBB">
            <w:pPr>
              <w:jc w:val="right"/>
            </w:pPr>
            <w:r w:rsidRPr="00346CBB">
              <w:t>1 747 724</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18508CF" w14:textId="77777777" w:rsidR="003953D6" w:rsidRPr="00346CBB" w:rsidRDefault="003953D6" w:rsidP="00346CBB">
            <w:pPr>
              <w:jc w:val="right"/>
            </w:pPr>
            <w:r w:rsidRPr="00346CBB">
              <w:t xml:space="preserve">1,38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7AF97E8" w14:textId="77777777" w:rsidR="003953D6" w:rsidRPr="00346CBB" w:rsidRDefault="003953D6" w:rsidP="00346CBB">
            <w:pPr>
              <w:jc w:val="right"/>
            </w:pPr>
            <w:r w:rsidRPr="00346CBB">
              <w:t xml:space="preserve">4,77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6638DA7" w14:textId="77777777" w:rsidR="003953D6" w:rsidRPr="00346CBB" w:rsidRDefault="003953D6" w:rsidP="00346CBB">
            <w:pPr>
              <w:jc w:val="right"/>
            </w:pPr>
            <w:r w:rsidRPr="00346CBB">
              <w:t xml:space="preserve">0,48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43E13F6" w14:textId="77777777" w:rsidR="003953D6" w:rsidRPr="00346CBB" w:rsidRDefault="003953D6" w:rsidP="00346CBB">
            <w:pPr>
              <w:jc w:val="right"/>
            </w:pPr>
            <w:r w:rsidRPr="00346CBB">
              <w:t xml:space="preserve">2,07 </w:t>
            </w:r>
          </w:p>
        </w:tc>
      </w:tr>
      <w:tr w:rsidR="00A4769D" w:rsidRPr="00346CBB" w14:paraId="5D37C0E1"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50EF208" w14:textId="77777777" w:rsidR="003953D6" w:rsidRPr="00346CBB" w:rsidRDefault="003953D6" w:rsidP="00346CBB">
            <w:pPr>
              <w:pStyle w:val="TabellHode-rad"/>
            </w:pPr>
            <w:r w:rsidRPr="00346CBB">
              <w:t>2028</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9681C22" w14:textId="77777777" w:rsidR="003953D6" w:rsidRPr="00346CBB" w:rsidRDefault="003953D6" w:rsidP="00346CBB">
            <w:pPr>
              <w:jc w:val="right"/>
            </w:pPr>
            <w:r w:rsidRPr="00346CBB">
              <w:t>1 772 618</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A0C2EAE" w14:textId="77777777" w:rsidR="003953D6" w:rsidRPr="00346CBB" w:rsidRDefault="003953D6" w:rsidP="00346CBB">
            <w:pPr>
              <w:jc w:val="right"/>
            </w:pPr>
            <w:r w:rsidRPr="00346CBB">
              <w:t xml:space="preserve">1,42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0677306" w14:textId="77777777" w:rsidR="003953D6" w:rsidRPr="00346CBB" w:rsidRDefault="003953D6" w:rsidP="00346CBB">
            <w:pPr>
              <w:jc w:val="right"/>
            </w:pPr>
            <w:r w:rsidRPr="00346CBB">
              <w:t xml:space="preserve">6,26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BB46E4A" w14:textId="77777777" w:rsidR="003953D6" w:rsidRPr="00346CBB" w:rsidRDefault="003953D6" w:rsidP="00346CBB">
            <w:pPr>
              <w:jc w:val="right"/>
            </w:pPr>
            <w:r w:rsidRPr="00346CBB">
              <w:t>0,47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3F8072B" w14:textId="77777777" w:rsidR="003953D6" w:rsidRPr="00346CBB" w:rsidRDefault="003953D6" w:rsidP="00346CBB">
            <w:pPr>
              <w:jc w:val="right"/>
            </w:pPr>
            <w:r w:rsidRPr="00346CBB">
              <w:t xml:space="preserve">2,55 </w:t>
            </w:r>
          </w:p>
        </w:tc>
      </w:tr>
      <w:tr w:rsidR="00A4769D" w:rsidRPr="00346CBB" w14:paraId="5225EEA7"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EEF63C9" w14:textId="77777777" w:rsidR="003953D6" w:rsidRPr="00346CBB" w:rsidRDefault="003953D6" w:rsidP="00346CBB">
            <w:pPr>
              <w:pStyle w:val="TabellHode-rad"/>
            </w:pPr>
            <w:r w:rsidRPr="00346CBB">
              <w:t>2029</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0D3ED04" w14:textId="77777777" w:rsidR="003953D6" w:rsidRPr="00346CBB" w:rsidRDefault="003953D6" w:rsidP="00346CBB">
            <w:pPr>
              <w:jc w:val="right"/>
            </w:pPr>
            <w:r w:rsidRPr="00346CBB">
              <w:t>1 797 352</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D386182" w14:textId="77777777" w:rsidR="003953D6" w:rsidRPr="00346CBB" w:rsidRDefault="003953D6" w:rsidP="00346CBB">
            <w:pPr>
              <w:jc w:val="right"/>
            </w:pPr>
            <w:r w:rsidRPr="00346CBB">
              <w:t xml:space="preserve">1,40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70194C3" w14:textId="77777777" w:rsidR="003953D6" w:rsidRPr="00346CBB" w:rsidRDefault="003953D6" w:rsidP="00346CBB">
            <w:pPr>
              <w:jc w:val="right"/>
            </w:pPr>
            <w:r w:rsidRPr="00346CBB">
              <w:t xml:space="preserve">7,75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2B4EEA7" w14:textId="77777777" w:rsidR="003953D6" w:rsidRPr="00346CBB" w:rsidRDefault="003953D6" w:rsidP="00346CBB">
            <w:pPr>
              <w:jc w:val="right"/>
            </w:pPr>
            <w:r w:rsidRPr="00346CBB">
              <w:t xml:space="preserve">0,47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2347980" w14:textId="77777777" w:rsidR="003953D6" w:rsidRPr="00346CBB" w:rsidRDefault="003953D6" w:rsidP="00346CBB">
            <w:pPr>
              <w:jc w:val="right"/>
            </w:pPr>
            <w:r w:rsidRPr="00346CBB">
              <w:t xml:space="preserve">3,03 </w:t>
            </w:r>
          </w:p>
        </w:tc>
      </w:tr>
    </w:tbl>
    <w:p w14:paraId="14415DA1" w14:textId="77777777" w:rsidR="003953D6" w:rsidRPr="00346CBB" w:rsidRDefault="003953D6" w:rsidP="00C9271A">
      <w:pPr>
        <w:jc w:val="right"/>
        <w:rPr>
          <w:rStyle w:val="halvfet"/>
        </w:rPr>
      </w:pPr>
    </w:p>
    <w:p w14:paraId="2AB19E9D" w14:textId="77777777" w:rsidR="003953D6" w:rsidRPr="00346CBB" w:rsidRDefault="003953D6" w:rsidP="00346CBB">
      <w:pPr>
        <w:pStyle w:val="avsnitt-undertittel"/>
        <w:rPr>
          <w:rStyle w:val="halvfet"/>
        </w:rPr>
      </w:pPr>
      <w:r w:rsidRPr="00346CBB">
        <w:lastRenderedPageBreak/>
        <w:t>Tabell 4. Forventet behovsvekst for psykisk helsevern. 2025–2029.</w:t>
      </w:r>
    </w:p>
    <w:tbl>
      <w:tblPr>
        <w:tblW w:w="5000" w:type="pct"/>
        <w:tblCellMar>
          <w:left w:w="0" w:type="dxa"/>
          <w:right w:w="0" w:type="dxa"/>
        </w:tblCellMar>
        <w:tblLook w:val="0000" w:firstRow="0" w:lastRow="0" w:firstColumn="0" w:lastColumn="0" w:noHBand="0" w:noVBand="0"/>
      </w:tblPr>
      <w:tblGrid>
        <w:gridCol w:w="666"/>
        <w:gridCol w:w="1259"/>
        <w:gridCol w:w="1258"/>
        <w:gridCol w:w="1258"/>
        <w:gridCol w:w="1258"/>
        <w:gridCol w:w="1258"/>
        <w:gridCol w:w="1257"/>
      </w:tblGrid>
      <w:tr w:rsidR="00A4769D" w:rsidRPr="00346CBB" w14:paraId="45B23757" w14:textId="77777777" w:rsidTr="00C9271A">
        <w:trPr>
          <w:trHeight w:val="300"/>
          <w:tblHeader/>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B1EBE8E" w14:textId="77777777" w:rsidR="003953D6" w:rsidRPr="00346CBB" w:rsidRDefault="003953D6" w:rsidP="00C9271A">
            <w:pPr>
              <w:jc w:val="right"/>
            </w:pPr>
          </w:p>
        </w:tc>
        <w:tc>
          <w:tcPr>
            <w:tcW w:w="2297" w:type="pct"/>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5813F66" w14:textId="77777777" w:rsidR="003953D6" w:rsidRPr="00346CBB" w:rsidRDefault="003953D6" w:rsidP="00C9271A">
            <w:pPr>
              <w:pStyle w:val="TabellHode-kolonne"/>
              <w:jc w:val="center"/>
            </w:pPr>
            <w:r w:rsidRPr="00346CBB">
              <w:rPr>
                <w:rStyle w:val="halvfet"/>
              </w:rPr>
              <w:t>Psykisk helsevern for voksne</w:t>
            </w:r>
          </w:p>
        </w:tc>
        <w:tc>
          <w:tcPr>
            <w:tcW w:w="2298" w:type="pct"/>
            <w:gridSpan w:val="3"/>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A6A28F6" w14:textId="77777777" w:rsidR="003953D6" w:rsidRPr="00346CBB" w:rsidRDefault="003953D6" w:rsidP="00C9271A">
            <w:pPr>
              <w:pStyle w:val="TabellHode-kolonne"/>
              <w:jc w:val="center"/>
            </w:pPr>
            <w:r w:rsidRPr="00346CBB">
              <w:rPr>
                <w:rStyle w:val="halvfet"/>
              </w:rPr>
              <w:t>Psykisk helsevern for barn og unge</w:t>
            </w:r>
          </w:p>
        </w:tc>
      </w:tr>
      <w:tr w:rsidR="00A4769D" w:rsidRPr="00346CBB" w14:paraId="7D127CE0" w14:textId="77777777" w:rsidTr="00C9271A">
        <w:trPr>
          <w:trHeight w:val="300"/>
          <w:tblHeader/>
        </w:trPr>
        <w:tc>
          <w:tcPr>
            <w:tcW w:w="40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101D381" w14:textId="77777777" w:rsidR="003953D6" w:rsidRPr="00346CBB" w:rsidRDefault="003953D6" w:rsidP="00346CBB">
            <w:pPr>
              <w:pStyle w:val="TabellHode-kolonne"/>
            </w:pPr>
            <w:r w:rsidRPr="00346CBB">
              <w:t>År</w:t>
            </w:r>
          </w:p>
        </w:tc>
        <w:tc>
          <w:tcPr>
            <w:tcW w:w="766"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E1BDFF8" w14:textId="77777777" w:rsidR="003953D6" w:rsidRPr="00346CBB" w:rsidRDefault="003953D6" w:rsidP="00C9271A">
            <w:pPr>
              <w:pStyle w:val="TabellHode-kolonne"/>
              <w:jc w:val="right"/>
            </w:pPr>
            <w:r w:rsidRPr="00346CBB">
              <w:t>Oppholdsdøgn inkl. poliklinikk</w:t>
            </w:r>
          </w:p>
        </w:tc>
        <w:tc>
          <w:tcPr>
            <w:tcW w:w="766"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E6BFA59" w14:textId="2DBFB1B2" w:rsidR="003953D6" w:rsidRPr="00346CBB" w:rsidRDefault="003953D6" w:rsidP="00C9271A">
            <w:pPr>
              <w:pStyle w:val="TabellHode-kolonne"/>
              <w:jc w:val="right"/>
            </w:pPr>
            <w:r w:rsidRPr="00346CBB">
              <w:t>Årlig behovsendring (pst.)</w:t>
            </w:r>
          </w:p>
        </w:tc>
        <w:tc>
          <w:tcPr>
            <w:tcW w:w="766"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F6FE638" w14:textId="77777777" w:rsidR="003953D6" w:rsidRPr="00346CBB" w:rsidRDefault="003953D6" w:rsidP="00C9271A">
            <w:pPr>
              <w:pStyle w:val="TabellHode-kolonne"/>
              <w:jc w:val="right"/>
            </w:pPr>
            <w:r w:rsidRPr="00346CBB">
              <w:t>Endring fra 2024 (pst.)</w:t>
            </w:r>
          </w:p>
        </w:tc>
        <w:tc>
          <w:tcPr>
            <w:tcW w:w="766"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2DFF3E6" w14:textId="77777777" w:rsidR="003953D6" w:rsidRPr="00346CBB" w:rsidRDefault="003953D6" w:rsidP="00C9271A">
            <w:pPr>
              <w:pStyle w:val="TabellHode-kolonne"/>
              <w:jc w:val="right"/>
            </w:pPr>
            <w:r w:rsidRPr="00346CBB">
              <w:t xml:space="preserve">Oppholdsdøgn inkl. poliklinikk </w:t>
            </w:r>
          </w:p>
        </w:tc>
        <w:tc>
          <w:tcPr>
            <w:tcW w:w="766"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49C7447" w14:textId="2E10C39F" w:rsidR="003953D6" w:rsidRPr="00346CBB" w:rsidRDefault="003953D6" w:rsidP="00C9271A">
            <w:pPr>
              <w:pStyle w:val="TabellHode-kolonne"/>
              <w:jc w:val="right"/>
            </w:pPr>
            <w:r w:rsidRPr="00346CBB">
              <w:t>Årlig behovsendring (pst.)</w:t>
            </w:r>
          </w:p>
        </w:tc>
        <w:tc>
          <w:tcPr>
            <w:tcW w:w="766"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125AAB3" w14:textId="77777777" w:rsidR="003953D6" w:rsidRPr="00346CBB" w:rsidRDefault="003953D6" w:rsidP="00C9271A">
            <w:pPr>
              <w:pStyle w:val="TabellHode-kolonne"/>
              <w:jc w:val="right"/>
            </w:pPr>
            <w:r w:rsidRPr="00346CBB">
              <w:t>Endring fra 2024 (pst.)</w:t>
            </w:r>
          </w:p>
        </w:tc>
      </w:tr>
      <w:tr w:rsidR="00A4769D" w:rsidRPr="00346CBB" w14:paraId="584C6A64" w14:textId="77777777" w:rsidTr="00346CBB">
        <w:trPr>
          <w:trHeight w:val="300"/>
        </w:trPr>
        <w:tc>
          <w:tcPr>
            <w:tcW w:w="40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4D9423" w14:textId="77777777" w:rsidR="003953D6" w:rsidRPr="00346CBB" w:rsidRDefault="003953D6" w:rsidP="00346CBB">
            <w:pPr>
              <w:pStyle w:val="TabellHode-rad"/>
            </w:pPr>
            <w:r w:rsidRPr="00346CBB">
              <w:t>2024</w:t>
            </w:r>
          </w:p>
        </w:tc>
        <w:tc>
          <w:tcPr>
            <w:tcW w:w="766"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038D8CF" w14:textId="77777777" w:rsidR="003953D6" w:rsidRPr="00346CBB" w:rsidRDefault="003953D6" w:rsidP="00346CBB">
            <w:pPr>
              <w:jc w:val="right"/>
            </w:pPr>
            <w:r w:rsidRPr="00346CBB">
              <w:t>1 403 084</w:t>
            </w:r>
          </w:p>
        </w:tc>
        <w:tc>
          <w:tcPr>
            <w:tcW w:w="766"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FE24BB9" w14:textId="77777777" w:rsidR="003953D6" w:rsidRPr="00346CBB" w:rsidRDefault="003953D6" w:rsidP="00346CBB">
            <w:pPr>
              <w:jc w:val="right"/>
            </w:pPr>
            <w:r w:rsidRPr="00346CBB">
              <w:t xml:space="preserve"> </w:t>
            </w:r>
          </w:p>
        </w:tc>
        <w:tc>
          <w:tcPr>
            <w:tcW w:w="766"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77FDFD6" w14:textId="77777777" w:rsidR="003953D6" w:rsidRPr="00346CBB" w:rsidRDefault="003953D6" w:rsidP="00346CBB">
            <w:pPr>
              <w:jc w:val="right"/>
            </w:pPr>
            <w:r w:rsidRPr="00346CBB">
              <w:t xml:space="preserve"> </w:t>
            </w:r>
          </w:p>
        </w:tc>
        <w:tc>
          <w:tcPr>
            <w:tcW w:w="766"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FBAD03C" w14:textId="77777777" w:rsidR="003953D6" w:rsidRPr="00346CBB" w:rsidRDefault="003953D6" w:rsidP="00346CBB">
            <w:pPr>
              <w:jc w:val="right"/>
            </w:pPr>
            <w:r w:rsidRPr="00346CBB">
              <w:t>249 327</w:t>
            </w:r>
          </w:p>
        </w:tc>
        <w:tc>
          <w:tcPr>
            <w:tcW w:w="766"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CD3702D" w14:textId="77777777" w:rsidR="003953D6" w:rsidRPr="00346CBB" w:rsidRDefault="003953D6" w:rsidP="00346CBB">
            <w:pPr>
              <w:jc w:val="right"/>
            </w:pPr>
            <w:r w:rsidRPr="00346CBB">
              <w:t xml:space="preserve"> </w:t>
            </w:r>
          </w:p>
        </w:tc>
        <w:tc>
          <w:tcPr>
            <w:tcW w:w="766"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6835B24" w14:textId="77777777" w:rsidR="003953D6" w:rsidRPr="00346CBB" w:rsidRDefault="003953D6" w:rsidP="00346CBB">
            <w:pPr>
              <w:jc w:val="right"/>
            </w:pPr>
            <w:r w:rsidRPr="00346CBB">
              <w:t xml:space="preserve"> </w:t>
            </w:r>
          </w:p>
        </w:tc>
      </w:tr>
      <w:tr w:rsidR="00A4769D" w:rsidRPr="00346CBB" w14:paraId="69EAFC2C" w14:textId="77777777" w:rsidTr="00346CBB">
        <w:trPr>
          <w:trHeight w:val="300"/>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9A50E7" w14:textId="77777777" w:rsidR="003953D6" w:rsidRPr="00346CBB" w:rsidRDefault="003953D6" w:rsidP="00346CBB">
            <w:pPr>
              <w:pStyle w:val="TabellHode-rad"/>
            </w:pPr>
            <w:r w:rsidRPr="00346CBB">
              <w:t>2025</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1E67D6" w14:textId="77777777" w:rsidR="003953D6" w:rsidRPr="00346CBB" w:rsidRDefault="003953D6" w:rsidP="00346CBB">
            <w:pPr>
              <w:jc w:val="right"/>
            </w:pPr>
            <w:r w:rsidRPr="00346CBB">
              <w:t>1 413 296</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82663E" w14:textId="77777777" w:rsidR="003953D6" w:rsidRPr="00346CBB" w:rsidRDefault="003953D6" w:rsidP="00346CBB">
            <w:pPr>
              <w:jc w:val="right"/>
            </w:pPr>
            <w:r w:rsidRPr="00346CBB">
              <w:t xml:space="preserve">0,73 </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9928C5" w14:textId="77777777" w:rsidR="003953D6" w:rsidRPr="00346CBB" w:rsidRDefault="003953D6" w:rsidP="00346CBB">
            <w:pPr>
              <w:jc w:val="right"/>
            </w:pPr>
            <w:r w:rsidRPr="00346CBB">
              <w:t xml:space="preserve">0,73 </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BDFC03" w14:textId="77777777" w:rsidR="003953D6" w:rsidRPr="00346CBB" w:rsidRDefault="003953D6" w:rsidP="00346CBB">
            <w:pPr>
              <w:jc w:val="right"/>
            </w:pPr>
            <w:r w:rsidRPr="00346CBB">
              <w:t>250 115</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79CF0A" w14:textId="77777777" w:rsidR="003953D6" w:rsidRPr="00346CBB" w:rsidRDefault="003953D6" w:rsidP="00346CBB">
            <w:pPr>
              <w:jc w:val="right"/>
            </w:pPr>
            <w:r w:rsidRPr="00346CBB">
              <w:t xml:space="preserve">0,32 </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088535" w14:textId="77777777" w:rsidR="003953D6" w:rsidRPr="00346CBB" w:rsidRDefault="003953D6" w:rsidP="00346CBB">
            <w:pPr>
              <w:jc w:val="right"/>
            </w:pPr>
            <w:r w:rsidRPr="00346CBB">
              <w:t xml:space="preserve">0,32 </w:t>
            </w:r>
          </w:p>
        </w:tc>
      </w:tr>
      <w:tr w:rsidR="00A4769D" w:rsidRPr="00346CBB" w14:paraId="37F137B3" w14:textId="77777777" w:rsidTr="00346CBB">
        <w:trPr>
          <w:trHeight w:val="300"/>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D90D7B" w14:textId="77777777" w:rsidR="003953D6" w:rsidRPr="00346CBB" w:rsidRDefault="003953D6" w:rsidP="00346CBB">
            <w:pPr>
              <w:pStyle w:val="TabellHode-rad"/>
            </w:pPr>
            <w:r w:rsidRPr="00346CBB">
              <w:t>2026</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E71E4B" w14:textId="77777777" w:rsidR="003953D6" w:rsidRPr="00346CBB" w:rsidRDefault="003953D6" w:rsidP="00346CBB">
            <w:pPr>
              <w:jc w:val="right"/>
            </w:pPr>
            <w:r w:rsidRPr="00346CBB">
              <w:t>1 426 139</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8211C3" w14:textId="77777777" w:rsidR="003953D6" w:rsidRPr="00346CBB" w:rsidRDefault="003953D6" w:rsidP="00346CBB">
            <w:pPr>
              <w:jc w:val="right"/>
            </w:pPr>
            <w:r w:rsidRPr="00346CBB">
              <w:t xml:space="preserve">0,91 </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F0630B" w14:textId="77777777" w:rsidR="003953D6" w:rsidRPr="00346CBB" w:rsidRDefault="003953D6" w:rsidP="00346CBB">
            <w:pPr>
              <w:jc w:val="right"/>
            </w:pPr>
            <w:r w:rsidRPr="00346CBB">
              <w:t xml:space="preserve">1,64 </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9148AD7" w14:textId="77777777" w:rsidR="003953D6" w:rsidRPr="00346CBB" w:rsidRDefault="003953D6" w:rsidP="00346CBB">
            <w:pPr>
              <w:jc w:val="right"/>
            </w:pPr>
            <w:r w:rsidRPr="00346CBB">
              <w:t>249 803</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1F3F08" w14:textId="77777777" w:rsidR="003953D6" w:rsidRPr="00346CBB" w:rsidRDefault="003953D6" w:rsidP="00346CBB">
            <w:pPr>
              <w:jc w:val="right"/>
            </w:pPr>
            <w:r w:rsidRPr="00346CBB">
              <w:t xml:space="preserve">-0,12 </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C20973" w14:textId="77777777" w:rsidR="003953D6" w:rsidRPr="00346CBB" w:rsidRDefault="003953D6" w:rsidP="00346CBB">
            <w:pPr>
              <w:jc w:val="right"/>
            </w:pPr>
            <w:r w:rsidRPr="00346CBB">
              <w:t xml:space="preserve">0,19 </w:t>
            </w:r>
          </w:p>
        </w:tc>
      </w:tr>
      <w:tr w:rsidR="00A4769D" w:rsidRPr="00346CBB" w14:paraId="0B1DC402" w14:textId="77777777" w:rsidTr="00346CBB">
        <w:trPr>
          <w:trHeight w:val="300"/>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F2AD56" w14:textId="77777777" w:rsidR="003953D6" w:rsidRPr="00346CBB" w:rsidRDefault="003953D6" w:rsidP="00346CBB">
            <w:pPr>
              <w:pStyle w:val="TabellHode-rad"/>
            </w:pPr>
            <w:r w:rsidRPr="00346CBB">
              <w:t>2027</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097E1" w14:textId="77777777" w:rsidR="003953D6" w:rsidRPr="00346CBB" w:rsidRDefault="003953D6" w:rsidP="00346CBB">
            <w:pPr>
              <w:jc w:val="right"/>
            </w:pPr>
            <w:r w:rsidRPr="00346CBB">
              <w:t>1 432 123</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FF7233" w14:textId="77777777" w:rsidR="003953D6" w:rsidRPr="00346CBB" w:rsidRDefault="003953D6" w:rsidP="00346CBB">
            <w:pPr>
              <w:jc w:val="right"/>
            </w:pPr>
            <w:r w:rsidRPr="00346CBB">
              <w:t xml:space="preserve">0,42 </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CCD1BD" w14:textId="77777777" w:rsidR="003953D6" w:rsidRPr="00346CBB" w:rsidRDefault="003953D6" w:rsidP="00346CBB">
            <w:pPr>
              <w:jc w:val="right"/>
            </w:pPr>
            <w:r w:rsidRPr="00346CBB">
              <w:t xml:space="preserve">2,07 </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9716E0" w14:textId="77777777" w:rsidR="003953D6" w:rsidRPr="00346CBB" w:rsidRDefault="003953D6" w:rsidP="00346CBB">
            <w:pPr>
              <w:jc w:val="right"/>
            </w:pPr>
            <w:r w:rsidRPr="00346CBB">
              <w:t>248 767</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5579B3" w14:textId="77777777" w:rsidR="003953D6" w:rsidRPr="00346CBB" w:rsidRDefault="003953D6" w:rsidP="00346CBB">
            <w:pPr>
              <w:jc w:val="right"/>
            </w:pPr>
            <w:r w:rsidRPr="00346CBB">
              <w:t xml:space="preserve">-0,41 </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2A9833" w14:textId="77777777" w:rsidR="003953D6" w:rsidRPr="00346CBB" w:rsidRDefault="003953D6" w:rsidP="00346CBB">
            <w:pPr>
              <w:jc w:val="right"/>
            </w:pPr>
            <w:r w:rsidRPr="00346CBB">
              <w:t xml:space="preserve">-0,22 </w:t>
            </w:r>
          </w:p>
        </w:tc>
      </w:tr>
      <w:tr w:rsidR="00A4769D" w:rsidRPr="00346CBB" w14:paraId="185324C0" w14:textId="77777777" w:rsidTr="00346CBB">
        <w:trPr>
          <w:trHeight w:val="300"/>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F52E49" w14:textId="77777777" w:rsidR="003953D6" w:rsidRPr="00346CBB" w:rsidRDefault="003953D6" w:rsidP="00346CBB">
            <w:pPr>
              <w:pStyle w:val="TabellHode-rad"/>
            </w:pPr>
            <w:r w:rsidRPr="00346CBB">
              <w:t>2028</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FD6AC7" w14:textId="77777777" w:rsidR="003953D6" w:rsidRPr="00346CBB" w:rsidRDefault="003953D6" w:rsidP="00346CBB">
            <w:pPr>
              <w:jc w:val="right"/>
            </w:pPr>
            <w:r w:rsidRPr="00346CBB">
              <w:t>1 437 505</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F64057" w14:textId="77777777" w:rsidR="003953D6" w:rsidRPr="00346CBB" w:rsidRDefault="003953D6" w:rsidP="00346CBB">
            <w:pPr>
              <w:jc w:val="right"/>
            </w:pPr>
            <w:r w:rsidRPr="00346CBB">
              <w:t xml:space="preserve">0,38 </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0F2099" w14:textId="77777777" w:rsidR="003953D6" w:rsidRPr="00346CBB" w:rsidRDefault="003953D6" w:rsidP="00346CBB">
            <w:pPr>
              <w:jc w:val="right"/>
            </w:pPr>
            <w:r w:rsidRPr="00346CBB">
              <w:t xml:space="preserve">2,45 </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626300" w14:textId="77777777" w:rsidR="003953D6" w:rsidRPr="00346CBB" w:rsidRDefault="003953D6" w:rsidP="00346CBB">
            <w:pPr>
              <w:jc w:val="right"/>
            </w:pPr>
            <w:r w:rsidRPr="00346CBB">
              <w:t>247 154</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7CD38A" w14:textId="77777777" w:rsidR="003953D6" w:rsidRPr="00346CBB" w:rsidRDefault="003953D6" w:rsidP="00346CBB">
            <w:pPr>
              <w:jc w:val="right"/>
            </w:pPr>
            <w:r w:rsidRPr="00346CBB">
              <w:t xml:space="preserve">-0,65 </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CC1520" w14:textId="77777777" w:rsidR="003953D6" w:rsidRPr="00346CBB" w:rsidRDefault="003953D6" w:rsidP="00346CBB">
            <w:pPr>
              <w:jc w:val="right"/>
            </w:pPr>
            <w:r w:rsidRPr="00346CBB">
              <w:t xml:space="preserve">-0,87 </w:t>
            </w:r>
          </w:p>
        </w:tc>
      </w:tr>
      <w:tr w:rsidR="00A4769D" w:rsidRPr="00346CBB" w14:paraId="20333AFB" w14:textId="77777777" w:rsidTr="00346CBB">
        <w:trPr>
          <w:trHeight w:val="300"/>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B58F19" w14:textId="77777777" w:rsidR="003953D6" w:rsidRPr="00346CBB" w:rsidRDefault="003953D6" w:rsidP="00346CBB">
            <w:pPr>
              <w:pStyle w:val="TabellHode-rad"/>
            </w:pPr>
            <w:r w:rsidRPr="00346CBB">
              <w:t>2029</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3F9882" w14:textId="77777777" w:rsidR="003953D6" w:rsidRPr="00346CBB" w:rsidRDefault="003953D6" w:rsidP="00346CBB">
            <w:pPr>
              <w:jc w:val="right"/>
            </w:pPr>
            <w:r w:rsidRPr="00346CBB">
              <w:t>1 442 973</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CA98AE" w14:textId="77777777" w:rsidR="003953D6" w:rsidRPr="00346CBB" w:rsidRDefault="003953D6" w:rsidP="00346CBB">
            <w:pPr>
              <w:jc w:val="right"/>
            </w:pPr>
            <w:r w:rsidRPr="00346CBB">
              <w:t xml:space="preserve">0,38 </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5022F5" w14:textId="77777777" w:rsidR="003953D6" w:rsidRPr="00346CBB" w:rsidRDefault="003953D6" w:rsidP="00346CBB">
            <w:pPr>
              <w:jc w:val="right"/>
            </w:pPr>
            <w:r w:rsidRPr="00346CBB">
              <w:t xml:space="preserve">2,84 </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59B904" w14:textId="77777777" w:rsidR="003953D6" w:rsidRPr="00346CBB" w:rsidRDefault="003953D6" w:rsidP="00346CBB">
            <w:pPr>
              <w:jc w:val="right"/>
            </w:pPr>
            <w:r w:rsidRPr="00346CBB">
              <w:t>244 718</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1BA825" w14:textId="77777777" w:rsidR="003953D6" w:rsidRPr="00346CBB" w:rsidRDefault="003953D6" w:rsidP="00346CBB">
            <w:pPr>
              <w:jc w:val="right"/>
            </w:pPr>
            <w:r w:rsidRPr="00346CBB">
              <w:t xml:space="preserve">-0,99 </w:t>
            </w:r>
          </w:p>
        </w:tc>
        <w:tc>
          <w:tcPr>
            <w:tcW w:w="7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B0E572D" w14:textId="77777777" w:rsidR="003953D6" w:rsidRPr="00346CBB" w:rsidRDefault="003953D6" w:rsidP="00346CBB">
            <w:pPr>
              <w:jc w:val="right"/>
            </w:pPr>
            <w:r w:rsidRPr="00346CBB">
              <w:t xml:space="preserve">-1,85 </w:t>
            </w:r>
          </w:p>
        </w:tc>
      </w:tr>
    </w:tbl>
    <w:p w14:paraId="686A7CBB" w14:textId="77777777" w:rsidR="003953D6" w:rsidRPr="00346CBB" w:rsidRDefault="003953D6" w:rsidP="00C9271A">
      <w:pPr>
        <w:jc w:val="right"/>
        <w:rPr>
          <w:rStyle w:val="halvfet"/>
        </w:rPr>
      </w:pPr>
    </w:p>
    <w:p w14:paraId="5840120F" w14:textId="77777777" w:rsidR="003953D6" w:rsidRPr="00346CBB" w:rsidRDefault="003953D6" w:rsidP="00346CBB">
      <w:pPr>
        <w:pStyle w:val="avsnitt-undertittel"/>
        <w:rPr>
          <w:rStyle w:val="halvfet"/>
        </w:rPr>
      </w:pPr>
      <w:r w:rsidRPr="00346CBB">
        <w:t>Tabell 5. Forventet behovsvekst for TSB. 2025–2029.</w:t>
      </w:r>
    </w:p>
    <w:tbl>
      <w:tblPr>
        <w:tblW w:w="5000" w:type="pct"/>
        <w:tblCellMar>
          <w:left w:w="0" w:type="dxa"/>
          <w:right w:w="0" w:type="dxa"/>
        </w:tblCellMar>
        <w:tblLook w:val="0000" w:firstRow="0" w:lastRow="0" w:firstColumn="0" w:lastColumn="0" w:noHBand="0" w:noVBand="0"/>
      </w:tblPr>
      <w:tblGrid>
        <w:gridCol w:w="665"/>
        <w:gridCol w:w="1510"/>
        <w:gridCol w:w="1510"/>
        <w:gridCol w:w="1511"/>
        <w:gridCol w:w="1510"/>
        <w:gridCol w:w="1508"/>
      </w:tblGrid>
      <w:tr w:rsidR="00A4769D" w:rsidRPr="00346CBB" w14:paraId="3E3ACA5B" w14:textId="77777777" w:rsidTr="00C9271A">
        <w:trPr>
          <w:trHeight w:val="396"/>
          <w:tblHeader/>
        </w:trPr>
        <w:tc>
          <w:tcPr>
            <w:tcW w:w="40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D01BA84" w14:textId="77777777" w:rsidR="003953D6" w:rsidRPr="00346CBB" w:rsidRDefault="003953D6" w:rsidP="00346CBB">
            <w:pPr>
              <w:pStyle w:val="TabellHode-kolonne"/>
            </w:pPr>
            <w:r w:rsidRPr="00346CBB">
              <w:t>År</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365D3777" w14:textId="77777777" w:rsidR="003953D6" w:rsidRPr="00346CBB" w:rsidRDefault="003953D6" w:rsidP="00C9271A">
            <w:pPr>
              <w:pStyle w:val="TabellHode-kolonne"/>
              <w:jc w:val="right"/>
            </w:pPr>
            <w:r w:rsidRPr="00346CBB">
              <w:t>Oppholdsdøgn inkl. poliklinikk</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31259E15" w14:textId="542D68F4" w:rsidR="003953D6" w:rsidRPr="00346CBB" w:rsidRDefault="003953D6" w:rsidP="00C9271A">
            <w:pPr>
              <w:pStyle w:val="TabellHode-kolonne"/>
              <w:jc w:val="right"/>
            </w:pPr>
            <w:r w:rsidRPr="00346CBB">
              <w:t>Årlig behovsendring (pst.)</w:t>
            </w:r>
          </w:p>
        </w:tc>
        <w:tc>
          <w:tcPr>
            <w:tcW w:w="92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B2E5AE8" w14:textId="77777777" w:rsidR="003953D6" w:rsidRPr="00346CBB" w:rsidRDefault="003953D6" w:rsidP="00C9271A">
            <w:pPr>
              <w:pStyle w:val="TabellHode-kolonne"/>
              <w:jc w:val="right"/>
            </w:pPr>
            <w:r w:rsidRPr="00346CBB">
              <w:t>Endring fra 2024 (pst.)</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C623081" w14:textId="77777777" w:rsidR="003953D6" w:rsidRPr="00346CBB" w:rsidRDefault="003953D6" w:rsidP="00C9271A">
            <w:pPr>
              <w:pStyle w:val="TabellHode-kolonne"/>
              <w:jc w:val="right"/>
            </w:pPr>
            <w:r w:rsidRPr="00346CBB">
              <w:t>Årlig befolkningsendring (pst.)</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DEB7D83" w14:textId="77777777" w:rsidR="003953D6" w:rsidRPr="00346CBB" w:rsidRDefault="003953D6" w:rsidP="00C9271A">
            <w:pPr>
              <w:pStyle w:val="TabellHode-kolonne"/>
              <w:jc w:val="right"/>
            </w:pPr>
            <w:r w:rsidRPr="00346CBB">
              <w:t>Endring fra 2024 (pst.)</w:t>
            </w:r>
          </w:p>
        </w:tc>
      </w:tr>
      <w:tr w:rsidR="00A4769D" w:rsidRPr="00346CBB" w14:paraId="77071AED" w14:textId="77777777" w:rsidTr="00346CBB">
        <w:trPr>
          <w:trHeight w:val="396"/>
        </w:trPr>
        <w:tc>
          <w:tcPr>
            <w:tcW w:w="40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071CEA3" w14:textId="77777777" w:rsidR="003953D6" w:rsidRPr="00346CBB" w:rsidRDefault="003953D6" w:rsidP="00346CBB">
            <w:pPr>
              <w:pStyle w:val="TabellHode-rad"/>
            </w:pPr>
            <w:r w:rsidRPr="00346CBB">
              <w:t>2024</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9112B4A" w14:textId="77777777" w:rsidR="003953D6" w:rsidRPr="00346CBB" w:rsidRDefault="003953D6" w:rsidP="00346CBB">
            <w:pPr>
              <w:jc w:val="right"/>
            </w:pPr>
            <w:r w:rsidRPr="00346CBB">
              <w:t>705 712</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2B69B44" w14:textId="77777777" w:rsidR="003953D6" w:rsidRPr="00346CBB" w:rsidRDefault="003953D6" w:rsidP="00346CBB">
            <w:pPr>
              <w:pStyle w:val="NoParagraphStyle"/>
            </w:pPr>
          </w:p>
        </w:tc>
        <w:tc>
          <w:tcPr>
            <w:tcW w:w="92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26F29F7" w14:textId="77777777" w:rsidR="003953D6" w:rsidRPr="00346CBB" w:rsidRDefault="003953D6" w:rsidP="00346CBB">
            <w:pPr>
              <w:pStyle w:val="NoParagraphStyle"/>
            </w:pP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DA9AD4A" w14:textId="77777777" w:rsidR="003953D6" w:rsidRPr="00346CBB" w:rsidRDefault="003953D6" w:rsidP="00346CBB">
            <w:pPr>
              <w:pStyle w:val="NoParagraphStyle"/>
            </w:pP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169E872" w14:textId="77777777" w:rsidR="003953D6" w:rsidRPr="00346CBB" w:rsidRDefault="003953D6" w:rsidP="00C9271A">
            <w:pPr>
              <w:jc w:val="right"/>
            </w:pPr>
          </w:p>
        </w:tc>
      </w:tr>
      <w:tr w:rsidR="00A4769D" w:rsidRPr="00346CBB" w14:paraId="0BEF6FCF"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6A0FB2B" w14:textId="77777777" w:rsidR="003953D6" w:rsidRPr="00346CBB" w:rsidRDefault="003953D6" w:rsidP="00346CBB">
            <w:pPr>
              <w:pStyle w:val="TabellHode-rad"/>
            </w:pPr>
            <w:r w:rsidRPr="00346CBB">
              <w:t>2025</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8D0913D" w14:textId="77777777" w:rsidR="003953D6" w:rsidRPr="00346CBB" w:rsidRDefault="003953D6" w:rsidP="00346CBB">
            <w:pPr>
              <w:jc w:val="right"/>
            </w:pPr>
            <w:r w:rsidRPr="00346CBB">
              <w:t>710 053</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460AB3A" w14:textId="77777777" w:rsidR="003953D6" w:rsidRPr="00346CBB" w:rsidRDefault="003953D6" w:rsidP="00346CBB">
            <w:pPr>
              <w:jc w:val="right"/>
            </w:pPr>
            <w:r w:rsidRPr="00346CBB">
              <w:t xml:space="preserve">0,62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B95904A" w14:textId="77777777" w:rsidR="003953D6" w:rsidRPr="00346CBB" w:rsidRDefault="003953D6" w:rsidP="00346CBB">
            <w:pPr>
              <w:jc w:val="right"/>
            </w:pPr>
            <w:r w:rsidRPr="00346CBB">
              <w:t xml:space="preserve">0,62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3CD0D8D" w14:textId="77777777" w:rsidR="003953D6" w:rsidRPr="00346CBB" w:rsidRDefault="003953D6" w:rsidP="00346CBB">
            <w:pPr>
              <w:jc w:val="right"/>
            </w:pPr>
            <w:r w:rsidRPr="00346CBB">
              <w:t xml:space="preserve">0,80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C8D8335" w14:textId="77777777" w:rsidR="003953D6" w:rsidRPr="00346CBB" w:rsidRDefault="003953D6" w:rsidP="00346CBB">
            <w:pPr>
              <w:jc w:val="right"/>
            </w:pPr>
            <w:r w:rsidRPr="00346CBB">
              <w:t xml:space="preserve">0,80 </w:t>
            </w:r>
          </w:p>
        </w:tc>
      </w:tr>
      <w:tr w:rsidR="00A4769D" w:rsidRPr="00346CBB" w14:paraId="46C4D48E"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BA10CDF" w14:textId="77777777" w:rsidR="003953D6" w:rsidRPr="00346CBB" w:rsidRDefault="003953D6" w:rsidP="00346CBB">
            <w:pPr>
              <w:pStyle w:val="TabellHode-rad"/>
            </w:pPr>
            <w:r w:rsidRPr="00346CBB">
              <w:t>2026</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C77BB73" w14:textId="77777777" w:rsidR="003953D6" w:rsidRPr="00346CBB" w:rsidRDefault="003953D6" w:rsidP="00346CBB">
            <w:pPr>
              <w:jc w:val="right"/>
            </w:pPr>
            <w:r w:rsidRPr="00346CBB">
              <w:t>715 680</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85F0F1B" w14:textId="77777777" w:rsidR="003953D6" w:rsidRPr="00346CBB" w:rsidRDefault="003953D6" w:rsidP="00346CBB">
            <w:pPr>
              <w:jc w:val="right"/>
            </w:pPr>
            <w:r w:rsidRPr="00346CBB">
              <w:t xml:space="preserve">0,79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1D3610B" w14:textId="77777777" w:rsidR="003953D6" w:rsidRPr="00346CBB" w:rsidRDefault="003953D6" w:rsidP="00346CBB">
            <w:pPr>
              <w:jc w:val="right"/>
            </w:pPr>
            <w:r w:rsidRPr="00346CBB">
              <w:t xml:space="preserve">1,41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53E9B7E" w14:textId="77777777" w:rsidR="003953D6" w:rsidRPr="00346CBB" w:rsidRDefault="003953D6" w:rsidP="00346CBB">
            <w:pPr>
              <w:jc w:val="right"/>
            </w:pPr>
            <w:r w:rsidRPr="00346CBB">
              <w:t xml:space="preserve">0,79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DE008F7" w14:textId="77777777" w:rsidR="003953D6" w:rsidRPr="00346CBB" w:rsidRDefault="003953D6" w:rsidP="00346CBB">
            <w:pPr>
              <w:jc w:val="right"/>
            </w:pPr>
            <w:r w:rsidRPr="00346CBB">
              <w:t xml:space="preserve">1,59 </w:t>
            </w:r>
          </w:p>
        </w:tc>
      </w:tr>
      <w:tr w:rsidR="00A4769D" w:rsidRPr="00346CBB" w14:paraId="2B632908"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81B29ED" w14:textId="77777777" w:rsidR="003953D6" w:rsidRPr="00346CBB" w:rsidRDefault="003953D6" w:rsidP="00346CBB">
            <w:pPr>
              <w:pStyle w:val="TabellHode-rad"/>
            </w:pPr>
            <w:r w:rsidRPr="00346CBB">
              <w:lastRenderedPageBreak/>
              <w:t>2027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5241083" w14:textId="77777777" w:rsidR="003953D6" w:rsidRPr="00346CBB" w:rsidRDefault="003953D6" w:rsidP="00346CBB">
            <w:pPr>
              <w:jc w:val="right"/>
            </w:pPr>
            <w:r w:rsidRPr="00346CBB">
              <w:t>717 799</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39A39E6" w14:textId="77777777" w:rsidR="003953D6" w:rsidRPr="00346CBB" w:rsidRDefault="003953D6" w:rsidP="00346CBB">
            <w:pPr>
              <w:jc w:val="right"/>
            </w:pPr>
            <w:r w:rsidRPr="00346CBB">
              <w:t xml:space="preserve">0,30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EABEAE4" w14:textId="77777777" w:rsidR="003953D6" w:rsidRPr="00346CBB" w:rsidRDefault="003953D6" w:rsidP="00346CBB">
            <w:pPr>
              <w:jc w:val="right"/>
            </w:pPr>
            <w:r w:rsidRPr="00346CBB">
              <w:t xml:space="preserve">1,71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45F31D3" w14:textId="77777777" w:rsidR="003953D6" w:rsidRPr="00346CBB" w:rsidRDefault="003953D6" w:rsidP="00346CBB">
            <w:pPr>
              <w:jc w:val="right"/>
            </w:pPr>
            <w:r w:rsidRPr="00346CBB">
              <w:t xml:space="preserve">0,48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3075560" w14:textId="77777777" w:rsidR="003953D6" w:rsidRPr="00346CBB" w:rsidRDefault="003953D6" w:rsidP="00346CBB">
            <w:pPr>
              <w:jc w:val="right"/>
            </w:pPr>
            <w:r w:rsidRPr="00346CBB">
              <w:t xml:space="preserve">2,07 </w:t>
            </w:r>
          </w:p>
        </w:tc>
      </w:tr>
      <w:tr w:rsidR="00A4769D" w:rsidRPr="00346CBB" w14:paraId="6FFC15CE"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629D3A1" w14:textId="77777777" w:rsidR="003953D6" w:rsidRPr="00346CBB" w:rsidRDefault="003953D6" w:rsidP="00346CBB">
            <w:pPr>
              <w:pStyle w:val="TabellHode-rad"/>
            </w:pPr>
            <w:r w:rsidRPr="00346CBB">
              <w:t>2028</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DA8720C" w14:textId="77777777" w:rsidR="003953D6" w:rsidRPr="00346CBB" w:rsidRDefault="003953D6" w:rsidP="00346CBB">
            <w:pPr>
              <w:jc w:val="right"/>
            </w:pPr>
            <w:r w:rsidRPr="00346CBB">
              <w:t>719 689</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22C16CB" w14:textId="77777777" w:rsidR="003953D6" w:rsidRPr="00346CBB" w:rsidRDefault="003953D6" w:rsidP="00346CBB">
            <w:pPr>
              <w:jc w:val="right"/>
            </w:pPr>
            <w:r w:rsidRPr="00346CBB">
              <w:t xml:space="preserve">0,26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0733AD2" w14:textId="77777777" w:rsidR="003953D6" w:rsidRPr="00346CBB" w:rsidRDefault="003953D6" w:rsidP="00346CBB">
            <w:pPr>
              <w:jc w:val="right"/>
            </w:pPr>
            <w:r w:rsidRPr="00346CBB">
              <w:t xml:space="preserve">1,98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FA4524C" w14:textId="77777777" w:rsidR="003953D6" w:rsidRPr="00346CBB" w:rsidRDefault="003953D6" w:rsidP="00346CBB">
            <w:pPr>
              <w:jc w:val="right"/>
            </w:pPr>
            <w:r w:rsidRPr="00346CBB">
              <w:t xml:space="preserve">0,47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DF5F670" w14:textId="77777777" w:rsidR="003953D6" w:rsidRPr="00346CBB" w:rsidRDefault="003953D6" w:rsidP="00346CBB">
            <w:pPr>
              <w:jc w:val="right"/>
            </w:pPr>
            <w:r w:rsidRPr="00346CBB">
              <w:t xml:space="preserve">2,55 </w:t>
            </w:r>
          </w:p>
        </w:tc>
      </w:tr>
      <w:tr w:rsidR="00A4769D" w:rsidRPr="00346CBB" w14:paraId="06763D75"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4DD67FD" w14:textId="77777777" w:rsidR="003953D6" w:rsidRPr="00346CBB" w:rsidRDefault="003953D6" w:rsidP="00346CBB">
            <w:pPr>
              <w:pStyle w:val="TabellHode-rad"/>
            </w:pPr>
            <w:r w:rsidRPr="00346CBB">
              <w:t>2029</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CEB1AF8" w14:textId="77777777" w:rsidR="003953D6" w:rsidRPr="00346CBB" w:rsidRDefault="003953D6" w:rsidP="00346CBB">
            <w:pPr>
              <w:jc w:val="right"/>
            </w:pPr>
            <w:r w:rsidRPr="00346CBB">
              <w:t>721 400</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2766F90" w14:textId="77777777" w:rsidR="003953D6" w:rsidRPr="00346CBB" w:rsidRDefault="003953D6" w:rsidP="00346CBB">
            <w:pPr>
              <w:jc w:val="right"/>
            </w:pPr>
            <w:r w:rsidRPr="00346CBB">
              <w:t xml:space="preserve">0,24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4A2CE7E" w14:textId="77777777" w:rsidR="003953D6" w:rsidRPr="00346CBB" w:rsidRDefault="003953D6" w:rsidP="00346CBB">
            <w:pPr>
              <w:jc w:val="right"/>
            </w:pPr>
            <w:r w:rsidRPr="00346CBB">
              <w:t xml:space="preserve">2,22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4D86FD3" w14:textId="77777777" w:rsidR="003953D6" w:rsidRPr="00346CBB" w:rsidRDefault="003953D6" w:rsidP="00346CBB">
            <w:pPr>
              <w:jc w:val="right"/>
            </w:pPr>
            <w:r w:rsidRPr="00346CBB">
              <w:t xml:space="preserve">0,47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E46A008" w14:textId="77777777" w:rsidR="003953D6" w:rsidRPr="00346CBB" w:rsidRDefault="003953D6" w:rsidP="00346CBB">
            <w:pPr>
              <w:jc w:val="right"/>
            </w:pPr>
            <w:r w:rsidRPr="00346CBB">
              <w:t xml:space="preserve">3,03 </w:t>
            </w:r>
          </w:p>
        </w:tc>
      </w:tr>
    </w:tbl>
    <w:p w14:paraId="01207039" w14:textId="77777777" w:rsidR="003953D6" w:rsidRPr="00346CBB" w:rsidRDefault="003953D6" w:rsidP="00C9271A">
      <w:pPr>
        <w:jc w:val="right"/>
      </w:pPr>
    </w:p>
    <w:p w14:paraId="547DEF75" w14:textId="77777777" w:rsidR="003953D6" w:rsidRPr="00346CBB" w:rsidRDefault="003953D6" w:rsidP="00346CBB">
      <w:pPr>
        <w:pStyle w:val="UnOverskrift2"/>
        <w:rPr>
          <w:rStyle w:val="kursiv"/>
        </w:rPr>
      </w:pPr>
      <w:r w:rsidRPr="00346CBB">
        <w:t>Demografisk betinget behovsvekst på regionalt nivå</w:t>
      </w:r>
    </w:p>
    <w:p w14:paraId="7E58308C" w14:textId="77777777" w:rsidR="003953D6" w:rsidRPr="00346CBB" w:rsidRDefault="003953D6" w:rsidP="00346CBB">
      <w:r w:rsidRPr="00346CBB">
        <w:t>Det er regionale variasjoner i den demografisk betingede behovsveksten for spesialisthelsetjenesten samlet på 1,38 prosent for 2026. Behovsveksten for 2026 varierer fra 1,15 prosent i Helse Midt-Norge til 1,49 prosent i Helse Sør-Øst. Tabell 6 viser forventet regional behovsvekst per år for årene fra 2025 til 2029.</w:t>
      </w:r>
    </w:p>
    <w:p w14:paraId="184B5662" w14:textId="77777777" w:rsidR="003953D6" w:rsidRPr="00346CBB" w:rsidRDefault="003953D6" w:rsidP="00346CBB">
      <w:pPr>
        <w:pStyle w:val="avsnitt-undertittel"/>
        <w:rPr>
          <w:rStyle w:val="halvfet"/>
        </w:rPr>
      </w:pPr>
      <w:r w:rsidRPr="00346CBB">
        <w:t>Tabell 6. Regional variasjon i forventet behovsvekst for spesialisthelsetjenesten samlet. 2025–2029. Prosent.</w:t>
      </w:r>
    </w:p>
    <w:tbl>
      <w:tblPr>
        <w:tblW w:w="5000" w:type="pct"/>
        <w:tblCellMar>
          <w:left w:w="0" w:type="dxa"/>
          <w:right w:w="0" w:type="dxa"/>
        </w:tblCellMar>
        <w:tblLook w:val="0000" w:firstRow="0" w:lastRow="0" w:firstColumn="0" w:lastColumn="0" w:noHBand="0" w:noVBand="0"/>
      </w:tblPr>
      <w:tblGrid>
        <w:gridCol w:w="665"/>
        <w:gridCol w:w="1449"/>
        <w:gridCol w:w="1451"/>
        <w:gridCol w:w="1751"/>
        <w:gridCol w:w="1451"/>
        <w:gridCol w:w="1447"/>
      </w:tblGrid>
      <w:tr w:rsidR="00A4769D" w:rsidRPr="00346CBB" w14:paraId="44583719" w14:textId="77777777" w:rsidTr="00C9271A">
        <w:trPr>
          <w:trHeight w:val="396"/>
          <w:tblHeader/>
        </w:trPr>
        <w:tc>
          <w:tcPr>
            <w:tcW w:w="40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1D3DBA41" w14:textId="77777777" w:rsidR="003953D6" w:rsidRPr="00346CBB" w:rsidRDefault="003953D6" w:rsidP="00346CBB">
            <w:pPr>
              <w:pStyle w:val="TabellHode-kolonne"/>
            </w:pPr>
            <w:r w:rsidRPr="00346CBB">
              <w:t>År</w:t>
            </w:r>
          </w:p>
        </w:tc>
        <w:tc>
          <w:tcPr>
            <w:tcW w:w="882"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41F227B" w14:textId="77777777" w:rsidR="003953D6" w:rsidRPr="00346CBB" w:rsidRDefault="003953D6" w:rsidP="00C9271A">
            <w:pPr>
              <w:pStyle w:val="TabellHode-kolonne"/>
              <w:jc w:val="right"/>
            </w:pPr>
            <w:r w:rsidRPr="00346CBB">
              <w:t>Helse Sør-Øst</w:t>
            </w:r>
          </w:p>
        </w:tc>
        <w:tc>
          <w:tcPr>
            <w:tcW w:w="883"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97AC4D8" w14:textId="77777777" w:rsidR="003953D6" w:rsidRPr="00346CBB" w:rsidRDefault="003953D6" w:rsidP="00C9271A">
            <w:pPr>
              <w:pStyle w:val="TabellHode-kolonne"/>
              <w:jc w:val="right"/>
            </w:pPr>
            <w:r w:rsidRPr="00346CBB">
              <w:t>Helse Vest</w:t>
            </w:r>
          </w:p>
        </w:tc>
        <w:tc>
          <w:tcPr>
            <w:tcW w:w="1066"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5DE4520" w14:textId="77777777" w:rsidR="003953D6" w:rsidRPr="00346CBB" w:rsidRDefault="003953D6" w:rsidP="00C9271A">
            <w:pPr>
              <w:pStyle w:val="TabellHode-kolonne"/>
              <w:jc w:val="right"/>
            </w:pPr>
            <w:r w:rsidRPr="00346CBB">
              <w:t>Helse Midt-Norge</w:t>
            </w:r>
          </w:p>
        </w:tc>
        <w:tc>
          <w:tcPr>
            <w:tcW w:w="883"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B0E8803" w14:textId="77777777" w:rsidR="003953D6" w:rsidRPr="00346CBB" w:rsidRDefault="003953D6" w:rsidP="00C9271A">
            <w:pPr>
              <w:pStyle w:val="TabellHode-kolonne"/>
              <w:jc w:val="right"/>
            </w:pPr>
            <w:r w:rsidRPr="00346CBB">
              <w:t>Helse Nord</w:t>
            </w:r>
          </w:p>
        </w:tc>
        <w:tc>
          <w:tcPr>
            <w:tcW w:w="882"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7849516" w14:textId="77777777" w:rsidR="003953D6" w:rsidRPr="00346CBB" w:rsidRDefault="003953D6" w:rsidP="00C9271A">
            <w:pPr>
              <w:pStyle w:val="TabellHode-kolonne"/>
              <w:jc w:val="right"/>
            </w:pPr>
            <w:r w:rsidRPr="00346CBB">
              <w:t>Landet samlet</w:t>
            </w:r>
          </w:p>
        </w:tc>
      </w:tr>
      <w:tr w:rsidR="00A4769D" w:rsidRPr="00346CBB" w14:paraId="27ADDE07" w14:textId="77777777" w:rsidTr="00346CBB">
        <w:trPr>
          <w:trHeight w:val="396"/>
        </w:trPr>
        <w:tc>
          <w:tcPr>
            <w:tcW w:w="40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7468637" w14:textId="77777777" w:rsidR="003953D6" w:rsidRPr="00346CBB" w:rsidRDefault="003953D6" w:rsidP="00346CBB">
            <w:pPr>
              <w:pStyle w:val="TabellHode-rad"/>
            </w:pPr>
            <w:r w:rsidRPr="00346CBB">
              <w:t>2025</w:t>
            </w:r>
          </w:p>
        </w:tc>
        <w:tc>
          <w:tcPr>
            <w:tcW w:w="882"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7978E13" w14:textId="77777777" w:rsidR="003953D6" w:rsidRPr="00346CBB" w:rsidRDefault="003953D6" w:rsidP="00346CBB">
            <w:pPr>
              <w:jc w:val="right"/>
            </w:pPr>
            <w:r w:rsidRPr="00346CBB">
              <w:t xml:space="preserve">1,56 </w:t>
            </w:r>
          </w:p>
        </w:tc>
        <w:tc>
          <w:tcPr>
            <w:tcW w:w="883"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C323B2E" w14:textId="77777777" w:rsidR="003953D6" w:rsidRPr="00346CBB" w:rsidRDefault="003953D6" w:rsidP="00346CBB">
            <w:pPr>
              <w:jc w:val="right"/>
            </w:pPr>
            <w:r w:rsidRPr="00346CBB">
              <w:t xml:space="preserve">1,53 </w:t>
            </w:r>
          </w:p>
        </w:tc>
        <w:tc>
          <w:tcPr>
            <w:tcW w:w="1066"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E152A1B" w14:textId="77777777" w:rsidR="003953D6" w:rsidRPr="00346CBB" w:rsidRDefault="003953D6" w:rsidP="00346CBB">
            <w:pPr>
              <w:jc w:val="right"/>
            </w:pPr>
            <w:r w:rsidRPr="00346CBB">
              <w:t xml:space="preserve">1,53 </w:t>
            </w:r>
          </w:p>
        </w:tc>
        <w:tc>
          <w:tcPr>
            <w:tcW w:w="883"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CFD11D8" w14:textId="77777777" w:rsidR="003953D6" w:rsidRPr="00346CBB" w:rsidRDefault="003953D6" w:rsidP="00346CBB">
            <w:pPr>
              <w:jc w:val="right"/>
            </w:pPr>
            <w:r w:rsidRPr="00346CBB">
              <w:t xml:space="preserve">1,18 </w:t>
            </w:r>
          </w:p>
        </w:tc>
        <w:tc>
          <w:tcPr>
            <w:tcW w:w="882"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3A2629D" w14:textId="77777777" w:rsidR="003953D6" w:rsidRPr="00346CBB" w:rsidRDefault="003953D6" w:rsidP="00346CBB">
            <w:pPr>
              <w:jc w:val="right"/>
            </w:pPr>
            <w:r w:rsidRPr="00346CBB">
              <w:t xml:space="preserve">1,51 </w:t>
            </w:r>
          </w:p>
        </w:tc>
      </w:tr>
      <w:tr w:rsidR="00A4769D" w:rsidRPr="00346CBB" w14:paraId="390DD263"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42B86D6" w14:textId="77777777" w:rsidR="003953D6" w:rsidRPr="00346CBB" w:rsidRDefault="003953D6" w:rsidP="00346CBB">
            <w:pPr>
              <w:pStyle w:val="TabellHode-rad"/>
            </w:pPr>
            <w:r w:rsidRPr="00346CBB">
              <w:t>2026</w:t>
            </w:r>
          </w:p>
        </w:tc>
        <w:tc>
          <w:tcPr>
            <w:tcW w:w="88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4E0A6D8" w14:textId="77777777" w:rsidR="003953D6" w:rsidRPr="00346CBB" w:rsidRDefault="003953D6" w:rsidP="00346CBB">
            <w:pPr>
              <w:jc w:val="right"/>
            </w:pPr>
            <w:r w:rsidRPr="00346CBB">
              <w:t xml:space="preserve">1,49 </w:t>
            </w:r>
          </w:p>
        </w:tc>
        <w:tc>
          <w:tcPr>
            <w:tcW w:w="88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96D83E9" w14:textId="77777777" w:rsidR="003953D6" w:rsidRPr="00346CBB" w:rsidRDefault="003953D6" w:rsidP="00346CBB">
            <w:pPr>
              <w:jc w:val="right"/>
            </w:pPr>
            <w:r w:rsidRPr="00346CBB">
              <w:t xml:space="preserve">1,19 </w:t>
            </w:r>
          </w:p>
        </w:tc>
        <w:tc>
          <w:tcPr>
            <w:tcW w:w="10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96A5A82" w14:textId="77777777" w:rsidR="003953D6" w:rsidRPr="00346CBB" w:rsidRDefault="003953D6" w:rsidP="00346CBB">
            <w:pPr>
              <w:jc w:val="right"/>
            </w:pPr>
            <w:r w:rsidRPr="00346CBB">
              <w:t xml:space="preserve">1,15 </w:t>
            </w:r>
          </w:p>
        </w:tc>
        <w:tc>
          <w:tcPr>
            <w:tcW w:w="88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01F1766" w14:textId="77777777" w:rsidR="003953D6" w:rsidRPr="00346CBB" w:rsidRDefault="003953D6" w:rsidP="00346CBB">
            <w:pPr>
              <w:jc w:val="right"/>
            </w:pPr>
            <w:r w:rsidRPr="00346CBB">
              <w:t xml:space="preserve">1,41 </w:t>
            </w:r>
          </w:p>
        </w:tc>
        <w:tc>
          <w:tcPr>
            <w:tcW w:w="88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3D18CA8" w14:textId="77777777" w:rsidR="003953D6" w:rsidRPr="00346CBB" w:rsidRDefault="003953D6" w:rsidP="00346CBB">
            <w:pPr>
              <w:jc w:val="right"/>
            </w:pPr>
            <w:r w:rsidRPr="00346CBB">
              <w:t xml:space="preserve">1,38 </w:t>
            </w:r>
          </w:p>
        </w:tc>
      </w:tr>
      <w:tr w:rsidR="00A4769D" w:rsidRPr="00346CBB" w14:paraId="761DFFB0"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24CF322" w14:textId="77777777" w:rsidR="003953D6" w:rsidRPr="00346CBB" w:rsidRDefault="003953D6" w:rsidP="00346CBB">
            <w:pPr>
              <w:pStyle w:val="TabellHode-rad"/>
            </w:pPr>
            <w:r w:rsidRPr="00346CBB">
              <w:t>2027</w:t>
            </w:r>
          </w:p>
        </w:tc>
        <w:tc>
          <w:tcPr>
            <w:tcW w:w="88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D185105" w14:textId="77777777" w:rsidR="003953D6" w:rsidRPr="00346CBB" w:rsidRDefault="003953D6" w:rsidP="00346CBB">
            <w:pPr>
              <w:jc w:val="right"/>
            </w:pPr>
            <w:r w:rsidRPr="00346CBB">
              <w:t xml:space="preserve">1,26 </w:t>
            </w:r>
          </w:p>
        </w:tc>
        <w:tc>
          <w:tcPr>
            <w:tcW w:w="88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8E8F558" w14:textId="77777777" w:rsidR="003953D6" w:rsidRPr="00346CBB" w:rsidRDefault="003953D6" w:rsidP="00346CBB">
            <w:pPr>
              <w:jc w:val="right"/>
            </w:pPr>
            <w:r w:rsidRPr="00346CBB">
              <w:t xml:space="preserve">1,07 </w:t>
            </w:r>
          </w:p>
        </w:tc>
        <w:tc>
          <w:tcPr>
            <w:tcW w:w="10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C192A94" w14:textId="77777777" w:rsidR="003953D6" w:rsidRPr="00346CBB" w:rsidRDefault="003953D6" w:rsidP="00346CBB">
            <w:pPr>
              <w:jc w:val="right"/>
            </w:pPr>
            <w:r w:rsidRPr="00346CBB">
              <w:t xml:space="preserve">1,02 </w:t>
            </w:r>
          </w:p>
        </w:tc>
        <w:tc>
          <w:tcPr>
            <w:tcW w:w="88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C834209" w14:textId="77777777" w:rsidR="003953D6" w:rsidRPr="00346CBB" w:rsidRDefault="003953D6" w:rsidP="00346CBB">
            <w:pPr>
              <w:jc w:val="right"/>
            </w:pPr>
            <w:r w:rsidRPr="00346CBB">
              <w:t xml:space="preserve">0,77 </w:t>
            </w:r>
          </w:p>
        </w:tc>
        <w:tc>
          <w:tcPr>
            <w:tcW w:w="88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2893E0B" w14:textId="77777777" w:rsidR="003953D6" w:rsidRPr="00346CBB" w:rsidRDefault="003953D6" w:rsidP="00346CBB">
            <w:pPr>
              <w:jc w:val="right"/>
            </w:pPr>
            <w:r w:rsidRPr="00346CBB">
              <w:t xml:space="preserve">1,14 </w:t>
            </w:r>
          </w:p>
        </w:tc>
      </w:tr>
      <w:tr w:rsidR="00A4769D" w:rsidRPr="00346CBB" w14:paraId="7E1B75D6"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E6FF04" w14:textId="77777777" w:rsidR="003953D6" w:rsidRPr="00346CBB" w:rsidRDefault="003953D6" w:rsidP="00346CBB">
            <w:pPr>
              <w:pStyle w:val="TabellHode-rad"/>
            </w:pPr>
            <w:r w:rsidRPr="00346CBB">
              <w:t>2028</w:t>
            </w:r>
          </w:p>
        </w:tc>
        <w:tc>
          <w:tcPr>
            <w:tcW w:w="88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3D234DC" w14:textId="77777777" w:rsidR="003953D6" w:rsidRPr="00346CBB" w:rsidRDefault="003953D6" w:rsidP="00346CBB">
            <w:pPr>
              <w:jc w:val="right"/>
            </w:pPr>
            <w:r w:rsidRPr="00346CBB">
              <w:t xml:space="preserve">1,27 </w:t>
            </w:r>
          </w:p>
        </w:tc>
        <w:tc>
          <w:tcPr>
            <w:tcW w:w="88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242D83A" w14:textId="77777777" w:rsidR="003953D6" w:rsidRPr="00346CBB" w:rsidRDefault="003953D6" w:rsidP="00346CBB">
            <w:pPr>
              <w:jc w:val="right"/>
            </w:pPr>
            <w:r w:rsidRPr="00346CBB">
              <w:t xml:space="preserve">1,11 </w:t>
            </w:r>
          </w:p>
        </w:tc>
        <w:tc>
          <w:tcPr>
            <w:tcW w:w="10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96E1019" w14:textId="77777777" w:rsidR="003953D6" w:rsidRPr="00346CBB" w:rsidRDefault="003953D6" w:rsidP="00346CBB">
            <w:pPr>
              <w:jc w:val="right"/>
            </w:pPr>
            <w:r w:rsidRPr="00346CBB">
              <w:t xml:space="preserve">1,05 </w:t>
            </w:r>
          </w:p>
        </w:tc>
        <w:tc>
          <w:tcPr>
            <w:tcW w:w="88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E6C5F8E" w14:textId="77777777" w:rsidR="003953D6" w:rsidRPr="00346CBB" w:rsidRDefault="003953D6" w:rsidP="00346CBB">
            <w:pPr>
              <w:jc w:val="right"/>
            </w:pPr>
            <w:r w:rsidRPr="00346CBB">
              <w:t xml:space="preserve">0,75 </w:t>
            </w:r>
          </w:p>
        </w:tc>
        <w:tc>
          <w:tcPr>
            <w:tcW w:w="88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E9AA793" w14:textId="77777777" w:rsidR="003953D6" w:rsidRPr="00346CBB" w:rsidRDefault="003953D6" w:rsidP="00346CBB">
            <w:pPr>
              <w:jc w:val="right"/>
            </w:pPr>
            <w:r w:rsidRPr="00346CBB">
              <w:t xml:space="preserve">1,15 </w:t>
            </w:r>
          </w:p>
        </w:tc>
      </w:tr>
      <w:tr w:rsidR="00A4769D" w:rsidRPr="00346CBB" w14:paraId="3FBEC68A"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E847EDC" w14:textId="77777777" w:rsidR="003953D6" w:rsidRPr="00346CBB" w:rsidRDefault="003953D6" w:rsidP="00346CBB">
            <w:pPr>
              <w:pStyle w:val="TabellHode-rad"/>
            </w:pPr>
            <w:r w:rsidRPr="00346CBB">
              <w:t>2029</w:t>
            </w:r>
          </w:p>
        </w:tc>
        <w:tc>
          <w:tcPr>
            <w:tcW w:w="88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C03C252" w14:textId="77777777" w:rsidR="003953D6" w:rsidRPr="00346CBB" w:rsidRDefault="003953D6" w:rsidP="00346CBB">
            <w:pPr>
              <w:jc w:val="right"/>
            </w:pPr>
            <w:r w:rsidRPr="00346CBB">
              <w:t xml:space="preserve">1,23 </w:t>
            </w:r>
          </w:p>
        </w:tc>
        <w:tc>
          <w:tcPr>
            <w:tcW w:w="88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429C20" w14:textId="77777777" w:rsidR="003953D6" w:rsidRPr="00346CBB" w:rsidRDefault="003953D6" w:rsidP="00346CBB">
            <w:pPr>
              <w:jc w:val="right"/>
            </w:pPr>
            <w:r w:rsidRPr="00346CBB">
              <w:t xml:space="preserve">1,08 </w:t>
            </w:r>
          </w:p>
        </w:tc>
        <w:tc>
          <w:tcPr>
            <w:tcW w:w="106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16C7DBF" w14:textId="77777777" w:rsidR="003953D6" w:rsidRPr="00346CBB" w:rsidRDefault="003953D6" w:rsidP="00346CBB">
            <w:pPr>
              <w:jc w:val="right"/>
            </w:pPr>
            <w:r w:rsidRPr="00346CBB">
              <w:t xml:space="preserve">1,06 </w:t>
            </w:r>
          </w:p>
        </w:tc>
        <w:tc>
          <w:tcPr>
            <w:tcW w:w="88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A20E79F" w14:textId="77777777" w:rsidR="003953D6" w:rsidRPr="00346CBB" w:rsidRDefault="003953D6" w:rsidP="00346CBB">
            <w:pPr>
              <w:jc w:val="right"/>
            </w:pPr>
            <w:r w:rsidRPr="00346CBB">
              <w:t xml:space="preserve">0,63 </w:t>
            </w:r>
          </w:p>
        </w:tc>
        <w:tc>
          <w:tcPr>
            <w:tcW w:w="88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B62936E" w14:textId="77777777" w:rsidR="003953D6" w:rsidRPr="00346CBB" w:rsidRDefault="003953D6" w:rsidP="00346CBB">
            <w:pPr>
              <w:jc w:val="right"/>
            </w:pPr>
            <w:r w:rsidRPr="00346CBB">
              <w:t xml:space="preserve">1,12 </w:t>
            </w:r>
          </w:p>
        </w:tc>
      </w:tr>
    </w:tbl>
    <w:p w14:paraId="14D38569" w14:textId="77777777" w:rsidR="003953D6" w:rsidRPr="00346CBB" w:rsidRDefault="003953D6" w:rsidP="00C9271A">
      <w:pPr>
        <w:jc w:val="right"/>
      </w:pPr>
    </w:p>
    <w:p w14:paraId="11B1C87E" w14:textId="77777777" w:rsidR="003953D6" w:rsidRPr="00346CBB" w:rsidRDefault="003953D6" w:rsidP="00C9271A">
      <w:pPr>
        <w:jc w:val="right"/>
      </w:pPr>
      <w:r w:rsidRPr="00346CBB">
        <w:t>For 2026 forventes den demografisk betingede veksten for somatisk spesialisthelsetjeneste å bli 1,56 prosent for landet samlet. Bak dette varierer den regionale veksten fra 1,33 prosent i Helse Midt-Norge til 1,68 prosent i Helse Sør-Øst.</w:t>
      </w:r>
    </w:p>
    <w:p w14:paraId="6C6537DA" w14:textId="77777777" w:rsidR="003953D6" w:rsidRPr="00346CBB" w:rsidRDefault="003953D6" w:rsidP="00346CBB">
      <w:r w:rsidRPr="00346CBB">
        <w:t>Den nasjonale forventede veksten i psykisk helsevern for voksne er på 0,91 prosent for 2026, og varierer fra 0,64 prosent i Helse Midt-Norge til vekst på 1,07 prosent i Helse Sør-Øst.</w:t>
      </w:r>
    </w:p>
    <w:p w14:paraId="021C9B3D" w14:textId="77777777" w:rsidR="003953D6" w:rsidRPr="00346CBB" w:rsidRDefault="003953D6" w:rsidP="00346CBB">
      <w:r w:rsidRPr="00346CBB">
        <w:t>For psykisk helsevern for barn og unge er det forventet en nedgang i behovet på 0,12 prosent for landet samlet i 2026. Det beregnes en nedgang på 0,37 prosent for Helse Nord, mens behovet forventes å være tilnærmet uendret i Helse Vest og Helse Midt-Norge.</w:t>
      </w:r>
    </w:p>
    <w:p w14:paraId="1E7C1C26" w14:textId="77777777" w:rsidR="003953D6" w:rsidRPr="00346CBB" w:rsidRDefault="003953D6" w:rsidP="00346CBB">
      <w:r w:rsidRPr="00346CBB">
        <w:t>For TSB er den forventede behovsveksten på 0,79 prosent for landet samlet i 2026. Behovsveksten varier fra 0,46 prosent i Helse Vest og Helse Midt-Norge til 0,95 prosent i Helse Sør-Øst.</w:t>
      </w:r>
    </w:p>
    <w:p w14:paraId="1A509EFF" w14:textId="77777777" w:rsidR="003953D6" w:rsidRPr="00346CBB" w:rsidRDefault="003953D6" w:rsidP="00346CBB">
      <w:pPr>
        <w:pStyle w:val="avsnitt-undertittel"/>
        <w:rPr>
          <w:rStyle w:val="halvfet"/>
        </w:rPr>
      </w:pPr>
      <w:r w:rsidRPr="00346CBB">
        <w:t>Tabell 7. Regional variasjon i forventet behovsvekst for året 2026 innenfor tjenesteområdene somatikk, psykisk helsevern og TSB. Prosent.</w:t>
      </w:r>
    </w:p>
    <w:tbl>
      <w:tblPr>
        <w:tblW w:w="5000" w:type="pct"/>
        <w:tblCellMar>
          <w:left w:w="0" w:type="dxa"/>
          <w:right w:w="0" w:type="dxa"/>
        </w:tblCellMar>
        <w:tblLook w:val="0000" w:firstRow="0" w:lastRow="0" w:firstColumn="0" w:lastColumn="0" w:noHBand="0" w:noVBand="0"/>
      </w:tblPr>
      <w:tblGrid>
        <w:gridCol w:w="2294"/>
        <w:gridCol w:w="1185"/>
        <w:gridCol w:w="1184"/>
        <w:gridCol w:w="1184"/>
        <w:gridCol w:w="1184"/>
        <w:gridCol w:w="1183"/>
      </w:tblGrid>
      <w:tr w:rsidR="00A4769D" w:rsidRPr="00346CBB" w14:paraId="4D785CA8" w14:textId="77777777" w:rsidTr="00C9271A">
        <w:trPr>
          <w:trHeight w:val="300"/>
          <w:tblHeader/>
        </w:trPr>
        <w:tc>
          <w:tcPr>
            <w:tcW w:w="1396"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1F0682B" w14:textId="77777777" w:rsidR="003953D6" w:rsidRPr="00346CBB" w:rsidRDefault="003953D6" w:rsidP="00346CBB">
            <w:pPr>
              <w:pStyle w:val="TabellHode-kolonne"/>
            </w:pPr>
            <w:r w:rsidRPr="00346CBB">
              <w:t>År 2026</w:t>
            </w:r>
          </w:p>
        </w:tc>
        <w:tc>
          <w:tcPr>
            <w:tcW w:w="72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ED8F0B2" w14:textId="77777777" w:rsidR="003953D6" w:rsidRPr="00346CBB" w:rsidRDefault="003953D6" w:rsidP="00C9271A">
            <w:pPr>
              <w:pStyle w:val="TabellHode-kolonne"/>
              <w:jc w:val="right"/>
            </w:pPr>
            <w:r w:rsidRPr="00346CBB">
              <w:t>Helse Sør-Øst</w:t>
            </w:r>
          </w:p>
        </w:tc>
        <w:tc>
          <w:tcPr>
            <w:tcW w:w="72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396A38D" w14:textId="77777777" w:rsidR="003953D6" w:rsidRPr="00346CBB" w:rsidRDefault="003953D6" w:rsidP="00C9271A">
            <w:pPr>
              <w:pStyle w:val="TabellHode-kolonne"/>
              <w:jc w:val="right"/>
            </w:pPr>
            <w:r w:rsidRPr="00346CBB">
              <w:t>Helse Vest</w:t>
            </w:r>
          </w:p>
        </w:tc>
        <w:tc>
          <w:tcPr>
            <w:tcW w:w="72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50D0541" w14:textId="77777777" w:rsidR="003953D6" w:rsidRPr="00346CBB" w:rsidRDefault="003953D6" w:rsidP="00C9271A">
            <w:pPr>
              <w:pStyle w:val="TabellHode-kolonne"/>
              <w:jc w:val="right"/>
            </w:pPr>
            <w:r w:rsidRPr="00346CBB">
              <w:t>Helse Midt-Norge</w:t>
            </w:r>
          </w:p>
        </w:tc>
        <w:tc>
          <w:tcPr>
            <w:tcW w:w="72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F8F6ED3" w14:textId="77777777" w:rsidR="003953D6" w:rsidRPr="00346CBB" w:rsidRDefault="003953D6" w:rsidP="00C9271A">
            <w:pPr>
              <w:pStyle w:val="TabellHode-kolonne"/>
              <w:jc w:val="right"/>
            </w:pPr>
            <w:r w:rsidRPr="00346CBB">
              <w:t>Helse Nord</w:t>
            </w:r>
          </w:p>
        </w:tc>
        <w:tc>
          <w:tcPr>
            <w:tcW w:w="72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C9B50D1" w14:textId="77777777" w:rsidR="003953D6" w:rsidRPr="00346CBB" w:rsidRDefault="003953D6" w:rsidP="00C9271A">
            <w:pPr>
              <w:pStyle w:val="TabellHode-kolonne"/>
              <w:jc w:val="right"/>
            </w:pPr>
            <w:r w:rsidRPr="00346CBB">
              <w:t>Landet samlet</w:t>
            </w:r>
          </w:p>
        </w:tc>
      </w:tr>
      <w:tr w:rsidR="00A4769D" w:rsidRPr="00346CBB" w14:paraId="506C6A01" w14:textId="77777777" w:rsidTr="00346CBB">
        <w:trPr>
          <w:trHeight w:val="300"/>
        </w:trPr>
        <w:tc>
          <w:tcPr>
            <w:tcW w:w="1396"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D87871A" w14:textId="77777777" w:rsidR="003953D6" w:rsidRPr="00346CBB" w:rsidRDefault="003953D6" w:rsidP="00346CBB">
            <w:pPr>
              <w:pStyle w:val="TabellHode-rad"/>
            </w:pPr>
            <w:r w:rsidRPr="00346CBB">
              <w:t>Somatikk</w:t>
            </w:r>
          </w:p>
        </w:tc>
        <w:tc>
          <w:tcPr>
            <w:tcW w:w="72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56C3C3" w14:textId="77777777" w:rsidR="003953D6" w:rsidRPr="00346CBB" w:rsidRDefault="003953D6" w:rsidP="00346CBB">
            <w:pPr>
              <w:jc w:val="right"/>
            </w:pPr>
            <w:r w:rsidRPr="00346CBB">
              <w:t xml:space="preserve">1,68 </w:t>
            </w:r>
          </w:p>
        </w:tc>
        <w:tc>
          <w:tcPr>
            <w:tcW w:w="72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A10F71" w14:textId="77777777" w:rsidR="003953D6" w:rsidRPr="00346CBB" w:rsidRDefault="003953D6" w:rsidP="00346CBB">
            <w:pPr>
              <w:jc w:val="right"/>
            </w:pPr>
            <w:r w:rsidRPr="00346CBB">
              <w:t xml:space="preserve">1,36 </w:t>
            </w:r>
          </w:p>
        </w:tc>
        <w:tc>
          <w:tcPr>
            <w:tcW w:w="72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DA48C7" w14:textId="77777777" w:rsidR="003953D6" w:rsidRPr="00346CBB" w:rsidRDefault="003953D6" w:rsidP="00346CBB">
            <w:pPr>
              <w:jc w:val="right"/>
            </w:pPr>
            <w:r w:rsidRPr="00346CBB">
              <w:t xml:space="preserve">1,33 </w:t>
            </w:r>
          </w:p>
        </w:tc>
        <w:tc>
          <w:tcPr>
            <w:tcW w:w="72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26D541" w14:textId="77777777" w:rsidR="003953D6" w:rsidRPr="00346CBB" w:rsidRDefault="003953D6" w:rsidP="00346CBB">
            <w:pPr>
              <w:jc w:val="right"/>
            </w:pPr>
            <w:r w:rsidRPr="00346CBB">
              <w:t xml:space="preserve">1,64 </w:t>
            </w:r>
          </w:p>
        </w:tc>
        <w:tc>
          <w:tcPr>
            <w:tcW w:w="72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D00C16" w14:textId="77777777" w:rsidR="003953D6" w:rsidRPr="00346CBB" w:rsidRDefault="003953D6" w:rsidP="00346CBB">
            <w:pPr>
              <w:jc w:val="right"/>
            </w:pPr>
            <w:r w:rsidRPr="00346CBB">
              <w:t xml:space="preserve">1,56 </w:t>
            </w:r>
          </w:p>
        </w:tc>
      </w:tr>
      <w:tr w:rsidR="00A4769D" w:rsidRPr="00346CBB" w14:paraId="38EEC155" w14:textId="77777777" w:rsidTr="00346CBB">
        <w:trPr>
          <w:trHeight w:val="300"/>
        </w:trPr>
        <w:tc>
          <w:tcPr>
            <w:tcW w:w="139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A2B832D" w14:textId="77777777" w:rsidR="003953D6" w:rsidRPr="00346CBB" w:rsidRDefault="003953D6" w:rsidP="00346CBB">
            <w:pPr>
              <w:pStyle w:val="TabellHode-rad"/>
            </w:pPr>
            <w:r w:rsidRPr="00346CBB">
              <w:t>Psykisk helsevern for voksne</w:t>
            </w:r>
          </w:p>
        </w:tc>
        <w:tc>
          <w:tcPr>
            <w:tcW w:w="7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5434E2" w14:textId="77777777" w:rsidR="003953D6" w:rsidRPr="00346CBB" w:rsidRDefault="003953D6" w:rsidP="00346CBB">
            <w:pPr>
              <w:jc w:val="right"/>
            </w:pPr>
            <w:r w:rsidRPr="00346CBB">
              <w:t xml:space="preserve">1,07 </w:t>
            </w:r>
          </w:p>
        </w:tc>
        <w:tc>
          <w:tcPr>
            <w:tcW w:w="7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7D8C49" w14:textId="77777777" w:rsidR="003953D6" w:rsidRPr="00346CBB" w:rsidRDefault="003953D6" w:rsidP="00346CBB">
            <w:pPr>
              <w:jc w:val="right"/>
            </w:pPr>
            <w:r w:rsidRPr="00346CBB">
              <w:t xml:space="preserve">0,72 </w:t>
            </w:r>
          </w:p>
        </w:tc>
        <w:tc>
          <w:tcPr>
            <w:tcW w:w="7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7B7940" w14:textId="77777777" w:rsidR="003953D6" w:rsidRPr="00346CBB" w:rsidRDefault="003953D6" w:rsidP="00346CBB">
            <w:pPr>
              <w:jc w:val="right"/>
            </w:pPr>
            <w:r w:rsidRPr="00346CBB">
              <w:t xml:space="preserve">0,64 </w:t>
            </w:r>
          </w:p>
        </w:tc>
        <w:tc>
          <w:tcPr>
            <w:tcW w:w="7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E776F2" w14:textId="77777777" w:rsidR="003953D6" w:rsidRPr="00346CBB" w:rsidRDefault="003953D6" w:rsidP="00346CBB">
            <w:pPr>
              <w:jc w:val="right"/>
            </w:pPr>
            <w:r w:rsidRPr="00346CBB">
              <w:t xml:space="preserve">0,74 </w:t>
            </w:r>
          </w:p>
        </w:tc>
        <w:tc>
          <w:tcPr>
            <w:tcW w:w="7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CB14ED" w14:textId="77777777" w:rsidR="003953D6" w:rsidRPr="00346CBB" w:rsidRDefault="003953D6" w:rsidP="00346CBB">
            <w:pPr>
              <w:jc w:val="right"/>
            </w:pPr>
            <w:r w:rsidRPr="00346CBB">
              <w:t xml:space="preserve">0,91 </w:t>
            </w:r>
          </w:p>
        </w:tc>
      </w:tr>
      <w:tr w:rsidR="00A4769D" w:rsidRPr="00346CBB" w14:paraId="624E0D2E" w14:textId="77777777" w:rsidTr="00346CBB">
        <w:trPr>
          <w:trHeight w:val="300"/>
        </w:trPr>
        <w:tc>
          <w:tcPr>
            <w:tcW w:w="139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A7BAFD3" w14:textId="77777777" w:rsidR="003953D6" w:rsidRPr="00346CBB" w:rsidRDefault="003953D6" w:rsidP="00346CBB">
            <w:pPr>
              <w:pStyle w:val="TabellHode-rad"/>
            </w:pPr>
            <w:r w:rsidRPr="00346CBB">
              <w:t>Psykisk helsevern for barn og unge</w:t>
            </w:r>
          </w:p>
        </w:tc>
        <w:tc>
          <w:tcPr>
            <w:tcW w:w="7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14F23E" w14:textId="77777777" w:rsidR="003953D6" w:rsidRPr="00346CBB" w:rsidRDefault="003953D6" w:rsidP="00346CBB">
            <w:pPr>
              <w:jc w:val="right"/>
            </w:pPr>
            <w:r w:rsidRPr="00346CBB">
              <w:t xml:space="preserve">-0,15 </w:t>
            </w:r>
          </w:p>
        </w:tc>
        <w:tc>
          <w:tcPr>
            <w:tcW w:w="7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9DFE07" w14:textId="77777777" w:rsidR="003953D6" w:rsidRPr="00346CBB" w:rsidRDefault="003953D6" w:rsidP="00346CBB">
            <w:pPr>
              <w:jc w:val="right"/>
            </w:pPr>
            <w:r w:rsidRPr="00346CBB">
              <w:t xml:space="preserve">0,02 </w:t>
            </w:r>
          </w:p>
        </w:tc>
        <w:tc>
          <w:tcPr>
            <w:tcW w:w="7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2733A7" w14:textId="77777777" w:rsidR="003953D6" w:rsidRPr="00346CBB" w:rsidRDefault="003953D6" w:rsidP="00346CBB">
            <w:pPr>
              <w:jc w:val="right"/>
            </w:pPr>
            <w:r w:rsidRPr="00346CBB">
              <w:t xml:space="preserve">-0,03 </w:t>
            </w:r>
          </w:p>
        </w:tc>
        <w:tc>
          <w:tcPr>
            <w:tcW w:w="7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F550BA" w14:textId="77777777" w:rsidR="003953D6" w:rsidRPr="00346CBB" w:rsidRDefault="003953D6" w:rsidP="00346CBB">
            <w:pPr>
              <w:jc w:val="right"/>
            </w:pPr>
            <w:r w:rsidRPr="00346CBB">
              <w:t xml:space="preserve">-0,37 </w:t>
            </w:r>
          </w:p>
        </w:tc>
        <w:tc>
          <w:tcPr>
            <w:tcW w:w="7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26DF38" w14:textId="77777777" w:rsidR="003953D6" w:rsidRPr="00346CBB" w:rsidRDefault="003953D6" w:rsidP="00346CBB">
            <w:pPr>
              <w:jc w:val="right"/>
            </w:pPr>
            <w:r w:rsidRPr="00346CBB">
              <w:t xml:space="preserve">-0,12 </w:t>
            </w:r>
          </w:p>
        </w:tc>
      </w:tr>
      <w:tr w:rsidR="00A4769D" w:rsidRPr="00346CBB" w14:paraId="327A3EA1" w14:textId="77777777" w:rsidTr="00346CBB">
        <w:trPr>
          <w:trHeight w:val="300"/>
        </w:trPr>
        <w:tc>
          <w:tcPr>
            <w:tcW w:w="139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75C937F" w14:textId="77777777" w:rsidR="003953D6" w:rsidRPr="00346CBB" w:rsidRDefault="003953D6" w:rsidP="00346CBB">
            <w:pPr>
              <w:pStyle w:val="TabellHode-rad"/>
            </w:pPr>
            <w:r w:rsidRPr="00346CBB">
              <w:t>TSB</w:t>
            </w:r>
          </w:p>
        </w:tc>
        <w:tc>
          <w:tcPr>
            <w:tcW w:w="7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935DA7" w14:textId="77777777" w:rsidR="003953D6" w:rsidRPr="00346CBB" w:rsidRDefault="003953D6" w:rsidP="00346CBB">
            <w:pPr>
              <w:jc w:val="right"/>
            </w:pPr>
            <w:r w:rsidRPr="00346CBB">
              <w:t xml:space="preserve">0,95 </w:t>
            </w:r>
          </w:p>
        </w:tc>
        <w:tc>
          <w:tcPr>
            <w:tcW w:w="7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7CCCCC" w14:textId="77777777" w:rsidR="003953D6" w:rsidRPr="00346CBB" w:rsidRDefault="003953D6" w:rsidP="00346CBB">
            <w:pPr>
              <w:jc w:val="right"/>
            </w:pPr>
            <w:r w:rsidRPr="00346CBB">
              <w:t xml:space="preserve">0,46 </w:t>
            </w:r>
          </w:p>
        </w:tc>
        <w:tc>
          <w:tcPr>
            <w:tcW w:w="7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C994FD" w14:textId="77777777" w:rsidR="003953D6" w:rsidRPr="00346CBB" w:rsidRDefault="003953D6" w:rsidP="00346CBB">
            <w:pPr>
              <w:jc w:val="right"/>
            </w:pPr>
            <w:r w:rsidRPr="00346CBB">
              <w:t xml:space="preserve">0,46 </w:t>
            </w:r>
          </w:p>
        </w:tc>
        <w:tc>
          <w:tcPr>
            <w:tcW w:w="7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F657072" w14:textId="77777777" w:rsidR="003953D6" w:rsidRPr="00346CBB" w:rsidRDefault="003953D6" w:rsidP="00346CBB">
            <w:pPr>
              <w:jc w:val="right"/>
            </w:pPr>
            <w:r w:rsidRPr="00346CBB">
              <w:t xml:space="preserve">0,73 </w:t>
            </w:r>
          </w:p>
        </w:tc>
        <w:tc>
          <w:tcPr>
            <w:tcW w:w="7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97AAA5" w14:textId="77777777" w:rsidR="003953D6" w:rsidRPr="00346CBB" w:rsidRDefault="003953D6" w:rsidP="00346CBB">
            <w:pPr>
              <w:jc w:val="right"/>
            </w:pPr>
            <w:r w:rsidRPr="00346CBB">
              <w:t xml:space="preserve">0,79 </w:t>
            </w:r>
          </w:p>
        </w:tc>
      </w:tr>
      <w:tr w:rsidR="00A4769D" w:rsidRPr="00346CBB" w14:paraId="7BE33428" w14:textId="77777777" w:rsidTr="00346CBB">
        <w:trPr>
          <w:trHeight w:val="300"/>
        </w:trPr>
        <w:tc>
          <w:tcPr>
            <w:tcW w:w="1396"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6C1734B" w14:textId="77777777" w:rsidR="003953D6" w:rsidRPr="00346CBB" w:rsidRDefault="003953D6" w:rsidP="00346CBB">
            <w:pPr>
              <w:pStyle w:val="TabellHode-rad"/>
            </w:pPr>
            <w:r w:rsidRPr="00346CBB">
              <w:lastRenderedPageBreak/>
              <w:t>Spesialisthelsetjenesten samlet</w:t>
            </w:r>
          </w:p>
        </w:tc>
        <w:tc>
          <w:tcPr>
            <w:tcW w:w="7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70CA32" w14:textId="77777777" w:rsidR="003953D6" w:rsidRPr="00346CBB" w:rsidRDefault="003953D6" w:rsidP="00346CBB">
            <w:pPr>
              <w:jc w:val="right"/>
            </w:pPr>
            <w:r w:rsidRPr="00346CBB">
              <w:t xml:space="preserve">1,49 </w:t>
            </w:r>
          </w:p>
        </w:tc>
        <w:tc>
          <w:tcPr>
            <w:tcW w:w="7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099601" w14:textId="77777777" w:rsidR="003953D6" w:rsidRPr="00346CBB" w:rsidRDefault="003953D6" w:rsidP="00346CBB">
            <w:pPr>
              <w:jc w:val="right"/>
            </w:pPr>
            <w:r w:rsidRPr="00346CBB">
              <w:t xml:space="preserve">1,19 </w:t>
            </w:r>
          </w:p>
        </w:tc>
        <w:tc>
          <w:tcPr>
            <w:tcW w:w="7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CC582E" w14:textId="77777777" w:rsidR="003953D6" w:rsidRPr="00346CBB" w:rsidRDefault="003953D6" w:rsidP="00346CBB">
            <w:pPr>
              <w:jc w:val="right"/>
            </w:pPr>
            <w:r w:rsidRPr="00346CBB">
              <w:t xml:space="preserve">1,15 </w:t>
            </w:r>
          </w:p>
        </w:tc>
        <w:tc>
          <w:tcPr>
            <w:tcW w:w="72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5F9432" w14:textId="77777777" w:rsidR="003953D6" w:rsidRPr="00346CBB" w:rsidRDefault="003953D6" w:rsidP="00346CBB">
            <w:pPr>
              <w:jc w:val="right"/>
            </w:pPr>
            <w:r w:rsidRPr="00346CBB">
              <w:t xml:space="preserve">1,41 </w:t>
            </w:r>
          </w:p>
        </w:tc>
        <w:tc>
          <w:tcPr>
            <w:tcW w:w="7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C529D8" w14:textId="77777777" w:rsidR="003953D6" w:rsidRPr="00346CBB" w:rsidRDefault="003953D6" w:rsidP="00346CBB">
            <w:pPr>
              <w:jc w:val="right"/>
            </w:pPr>
            <w:r w:rsidRPr="00346CBB">
              <w:t xml:space="preserve">1,38 </w:t>
            </w:r>
          </w:p>
        </w:tc>
      </w:tr>
    </w:tbl>
    <w:p w14:paraId="5654E9ED" w14:textId="77777777" w:rsidR="003953D6" w:rsidRPr="00346CBB" w:rsidRDefault="003953D6" w:rsidP="00C9271A">
      <w:pPr>
        <w:jc w:val="right"/>
        <w:rPr>
          <w:rStyle w:val="halvfet"/>
        </w:rPr>
      </w:pPr>
    </w:p>
    <w:p w14:paraId="129F0BA2" w14:textId="77777777" w:rsidR="003953D6" w:rsidRPr="00346CBB" w:rsidRDefault="003953D6" w:rsidP="00346CBB">
      <w:pPr>
        <w:pStyle w:val="avsnitt-undertittel"/>
        <w:rPr>
          <w:rStyle w:val="halvfet"/>
        </w:rPr>
      </w:pPr>
      <w:r w:rsidRPr="00346CBB">
        <w:t>Tabell 8. Regionale befolkningstall. 2024–2029.</w:t>
      </w:r>
    </w:p>
    <w:tbl>
      <w:tblPr>
        <w:tblW w:w="5000" w:type="pct"/>
        <w:tblCellMar>
          <w:left w:w="0" w:type="dxa"/>
          <w:right w:w="0" w:type="dxa"/>
        </w:tblCellMar>
        <w:tblLook w:val="0000" w:firstRow="0" w:lastRow="0" w:firstColumn="0" w:lastColumn="0" w:noHBand="0" w:noVBand="0"/>
      </w:tblPr>
      <w:tblGrid>
        <w:gridCol w:w="665"/>
        <w:gridCol w:w="1510"/>
        <w:gridCol w:w="1510"/>
        <w:gridCol w:w="1511"/>
        <w:gridCol w:w="1510"/>
        <w:gridCol w:w="1508"/>
      </w:tblGrid>
      <w:tr w:rsidR="00A4769D" w:rsidRPr="00346CBB" w14:paraId="649EAD8A" w14:textId="77777777" w:rsidTr="00C9271A">
        <w:trPr>
          <w:trHeight w:val="396"/>
          <w:tblHeader/>
        </w:trPr>
        <w:tc>
          <w:tcPr>
            <w:tcW w:w="40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A8DF3DB" w14:textId="77777777" w:rsidR="003953D6" w:rsidRPr="00346CBB" w:rsidRDefault="003953D6" w:rsidP="00C9271A">
            <w:pPr>
              <w:jc w:val="right"/>
            </w:pP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32D106A1" w14:textId="77777777" w:rsidR="003953D6" w:rsidRPr="00346CBB" w:rsidRDefault="003953D6" w:rsidP="00C9271A">
            <w:pPr>
              <w:pStyle w:val="TabellHode-kolonne"/>
              <w:jc w:val="right"/>
            </w:pPr>
            <w:r w:rsidRPr="00346CBB">
              <w:t>Helse Sør-Øst</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7F821E3" w14:textId="77777777" w:rsidR="003953D6" w:rsidRPr="00346CBB" w:rsidRDefault="003953D6" w:rsidP="00C9271A">
            <w:pPr>
              <w:pStyle w:val="TabellHode-kolonne"/>
              <w:jc w:val="right"/>
            </w:pPr>
            <w:r w:rsidRPr="00346CBB">
              <w:t>Helse Vest</w:t>
            </w:r>
          </w:p>
        </w:tc>
        <w:tc>
          <w:tcPr>
            <w:tcW w:w="92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538BB50" w14:textId="77777777" w:rsidR="003953D6" w:rsidRPr="00346CBB" w:rsidRDefault="003953D6" w:rsidP="00C9271A">
            <w:pPr>
              <w:pStyle w:val="TabellHode-kolonne"/>
              <w:jc w:val="right"/>
            </w:pPr>
            <w:r w:rsidRPr="00346CBB">
              <w:t xml:space="preserve">Helse </w:t>
            </w:r>
            <w:r w:rsidRPr="00346CBB">
              <w:br/>
              <w:t>Midt-Norge</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C76A83C" w14:textId="77777777" w:rsidR="003953D6" w:rsidRPr="00346CBB" w:rsidRDefault="003953D6" w:rsidP="00C9271A">
            <w:pPr>
              <w:pStyle w:val="TabellHode-kolonne"/>
              <w:jc w:val="right"/>
            </w:pPr>
            <w:r w:rsidRPr="00346CBB">
              <w:t>Helse Nord</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3F20B3CE" w14:textId="77777777" w:rsidR="003953D6" w:rsidRPr="00346CBB" w:rsidRDefault="003953D6" w:rsidP="00C9271A">
            <w:pPr>
              <w:pStyle w:val="TabellHode-kolonne"/>
              <w:jc w:val="right"/>
            </w:pPr>
            <w:r w:rsidRPr="00346CBB">
              <w:t>Landet samlet</w:t>
            </w:r>
          </w:p>
        </w:tc>
      </w:tr>
      <w:tr w:rsidR="00A4769D" w:rsidRPr="00346CBB" w14:paraId="2ECAD235" w14:textId="77777777" w:rsidTr="00346CBB">
        <w:trPr>
          <w:trHeight w:val="396"/>
        </w:trPr>
        <w:tc>
          <w:tcPr>
            <w:tcW w:w="40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67480D1" w14:textId="77777777" w:rsidR="003953D6" w:rsidRPr="00346CBB" w:rsidRDefault="003953D6" w:rsidP="00346CBB">
            <w:pPr>
              <w:pStyle w:val="TabellHode-rad"/>
            </w:pPr>
            <w:r w:rsidRPr="00346CBB">
              <w:t>2024</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E7EAB2B" w14:textId="77777777" w:rsidR="003953D6" w:rsidRPr="00346CBB" w:rsidRDefault="003953D6" w:rsidP="00346CBB">
            <w:pPr>
              <w:jc w:val="right"/>
            </w:pPr>
            <w:r w:rsidRPr="00346CBB">
              <w:t>3 158 163</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C7950E9" w14:textId="77777777" w:rsidR="003953D6" w:rsidRPr="00346CBB" w:rsidRDefault="003953D6" w:rsidP="00346CBB">
            <w:pPr>
              <w:jc w:val="right"/>
            </w:pPr>
            <w:r w:rsidRPr="00346CBB">
              <w:t>1 150 716</w:t>
            </w:r>
          </w:p>
        </w:tc>
        <w:tc>
          <w:tcPr>
            <w:tcW w:w="92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521CEA3" w14:textId="77777777" w:rsidR="003953D6" w:rsidRPr="00346CBB" w:rsidRDefault="003953D6" w:rsidP="00346CBB">
            <w:pPr>
              <w:jc w:val="right"/>
            </w:pPr>
            <w:r w:rsidRPr="00346CBB">
              <w:t>753 580</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D0134CE" w14:textId="77777777" w:rsidR="003953D6" w:rsidRPr="00346CBB" w:rsidRDefault="003953D6" w:rsidP="00346CBB">
            <w:pPr>
              <w:jc w:val="right"/>
            </w:pPr>
            <w:r w:rsidRPr="00346CBB">
              <w:t>487 744</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253AAC4" w14:textId="77777777" w:rsidR="003953D6" w:rsidRPr="00346CBB" w:rsidRDefault="003953D6" w:rsidP="00346CBB">
            <w:pPr>
              <w:jc w:val="right"/>
            </w:pPr>
            <w:r w:rsidRPr="00346CBB">
              <w:t>5 550 203</w:t>
            </w:r>
          </w:p>
        </w:tc>
      </w:tr>
      <w:tr w:rsidR="00A4769D" w:rsidRPr="00346CBB" w14:paraId="50300737"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5EF0D27" w14:textId="77777777" w:rsidR="003953D6" w:rsidRPr="00346CBB" w:rsidRDefault="003953D6" w:rsidP="00346CBB">
            <w:pPr>
              <w:pStyle w:val="TabellHode-rad"/>
            </w:pPr>
            <w:r w:rsidRPr="00346CBB">
              <w:t>2025</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ED8591A" w14:textId="77777777" w:rsidR="003953D6" w:rsidRPr="00346CBB" w:rsidRDefault="003953D6" w:rsidP="00346CBB">
            <w:pPr>
              <w:jc w:val="right"/>
            </w:pPr>
            <w:r w:rsidRPr="00346CBB">
              <w:t>3 186 303</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CDEFC4F" w14:textId="77777777" w:rsidR="003953D6" w:rsidRPr="00346CBB" w:rsidRDefault="003953D6" w:rsidP="00346CBB">
            <w:pPr>
              <w:jc w:val="right"/>
            </w:pPr>
            <w:r w:rsidRPr="00346CBB">
              <w:t>1 159 706</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1822F93" w14:textId="77777777" w:rsidR="003953D6" w:rsidRPr="00346CBB" w:rsidRDefault="003953D6" w:rsidP="00346CBB">
            <w:pPr>
              <w:jc w:val="right"/>
            </w:pPr>
            <w:r w:rsidRPr="00346CBB">
              <w:t>759 228</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A68022E" w14:textId="77777777" w:rsidR="003953D6" w:rsidRPr="00346CBB" w:rsidRDefault="003953D6" w:rsidP="00346CBB">
            <w:pPr>
              <w:jc w:val="right"/>
            </w:pPr>
            <w:r w:rsidRPr="00346CBB">
              <w:t>489 103</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3286824" w14:textId="77777777" w:rsidR="003953D6" w:rsidRPr="00346CBB" w:rsidRDefault="003953D6" w:rsidP="00346CBB">
            <w:pPr>
              <w:jc w:val="right"/>
            </w:pPr>
            <w:r w:rsidRPr="00346CBB">
              <w:t>5 594 340</w:t>
            </w:r>
          </w:p>
        </w:tc>
      </w:tr>
      <w:tr w:rsidR="00A4769D" w:rsidRPr="00346CBB" w14:paraId="04C1F761"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D91B686" w14:textId="77777777" w:rsidR="003953D6" w:rsidRPr="00346CBB" w:rsidRDefault="003953D6" w:rsidP="00346CBB">
            <w:pPr>
              <w:pStyle w:val="TabellHode-rad"/>
            </w:pPr>
            <w:r w:rsidRPr="00346CBB">
              <w:t>2026</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A1421F3" w14:textId="77777777" w:rsidR="003953D6" w:rsidRPr="00346CBB" w:rsidRDefault="003953D6" w:rsidP="00346CBB">
            <w:pPr>
              <w:jc w:val="right"/>
            </w:pPr>
            <w:r w:rsidRPr="00346CBB">
              <w:t>3 215 674</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1673701" w14:textId="77777777" w:rsidR="003953D6" w:rsidRPr="00346CBB" w:rsidRDefault="003953D6" w:rsidP="00346CBB">
            <w:pPr>
              <w:jc w:val="right"/>
            </w:pPr>
            <w:r w:rsidRPr="00346CBB">
              <w:t>1 166 129</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FB5DF07" w14:textId="77777777" w:rsidR="003953D6" w:rsidRPr="00346CBB" w:rsidRDefault="003953D6" w:rsidP="00346CBB">
            <w:pPr>
              <w:jc w:val="right"/>
            </w:pPr>
            <w:r w:rsidRPr="00346CBB">
              <w:t>763 332</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F39FC30" w14:textId="77777777" w:rsidR="003953D6" w:rsidRPr="00346CBB" w:rsidRDefault="003953D6" w:rsidP="00346CBB">
            <w:pPr>
              <w:jc w:val="right"/>
            </w:pPr>
            <w:r w:rsidRPr="00346CBB">
              <w:t>493 131</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E8CA5D0" w14:textId="77777777" w:rsidR="003953D6" w:rsidRPr="00346CBB" w:rsidRDefault="003953D6" w:rsidP="00346CBB">
            <w:pPr>
              <w:jc w:val="right"/>
            </w:pPr>
            <w:r w:rsidRPr="00346CBB">
              <w:t>5 638 266</w:t>
            </w:r>
          </w:p>
        </w:tc>
      </w:tr>
      <w:tr w:rsidR="00A4769D" w:rsidRPr="00346CBB" w14:paraId="1B2EF4DC"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03BFD69" w14:textId="77777777" w:rsidR="003953D6" w:rsidRPr="00346CBB" w:rsidRDefault="003953D6" w:rsidP="00346CBB">
            <w:pPr>
              <w:pStyle w:val="TabellHode-rad"/>
            </w:pPr>
            <w:r w:rsidRPr="00346CBB">
              <w:t>2027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8756F53" w14:textId="77777777" w:rsidR="003953D6" w:rsidRPr="00346CBB" w:rsidRDefault="003953D6" w:rsidP="00346CBB">
            <w:pPr>
              <w:jc w:val="right"/>
            </w:pPr>
            <w:r w:rsidRPr="00346CBB">
              <w:t>3 235 064</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C3C9640" w14:textId="77777777" w:rsidR="003953D6" w:rsidRPr="00346CBB" w:rsidRDefault="003953D6" w:rsidP="00346CBB">
            <w:pPr>
              <w:jc w:val="right"/>
            </w:pPr>
            <w:r w:rsidRPr="00346CBB">
              <w:t>1 170 300</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B5CD997" w14:textId="77777777" w:rsidR="003953D6" w:rsidRPr="00346CBB" w:rsidRDefault="003953D6" w:rsidP="00346CBB">
            <w:pPr>
              <w:jc w:val="right"/>
            </w:pPr>
            <w:r w:rsidRPr="00346CBB">
              <w:t>766 037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4141C26" w14:textId="77777777" w:rsidR="003953D6" w:rsidRPr="00346CBB" w:rsidRDefault="003953D6" w:rsidP="00346CBB">
            <w:pPr>
              <w:jc w:val="right"/>
            </w:pPr>
            <w:r w:rsidRPr="00346CBB">
              <w:t>493 835</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2888A51" w14:textId="77777777" w:rsidR="003953D6" w:rsidRPr="00346CBB" w:rsidRDefault="003953D6" w:rsidP="00346CBB">
            <w:pPr>
              <w:jc w:val="right"/>
            </w:pPr>
            <w:r w:rsidRPr="00346CBB">
              <w:t>5 665 236</w:t>
            </w:r>
          </w:p>
        </w:tc>
      </w:tr>
      <w:tr w:rsidR="00A4769D" w:rsidRPr="00346CBB" w14:paraId="376C3EE1"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3744E92" w14:textId="77777777" w:rsidR="003953D6" w:rsidRPr="00346CBB" w:rsidRDefault="003953D6" w:rsidP="00346CBB">
            <w:pPr>
              <w:pStyle w:val="TabellHode-rad"/>
            </w:pPr>
            <w:r w:rsidRPr="00346CBB">
              <w:t>2028</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FF72F26" w14:textId="77777777" w:rsidR="003953D6" w:rsidRPr="00346CBB" w:rsidRDefault="003953D6" w:rsidP="00346CBB">
            <w:pPr>
              <w:jc w:val="right"/>
            </w:pPr>
            <w:r w:rsidRPr="00346CBB">
              <w:t>3 254 292</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8D8A53C" w14:textId="77777777" w:rsidR="003953D6" w:rsidRPr="00346CBB" w:rsidRDefault="003953D6" w:rsidP="00346CBB">
            <w:pPr>
              <w:jc w:val="right"/>
            </w:pPr>
            <w:r w:rsidRPr="00346CBB">
              <w:t>1 174 332</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A47E63C" w14:textId="77777777" w:rsidR="003953D6" w:rsidRPr="00346CBB" w:rsidRDefault="003953D6" w:rsidP="00346CBB">
            <w:pPr>
              <w:jc w:val="right"/>
            </w:pPr>
            <w:r w:rsidRPr="00346CBB">
              <w:t>768 764</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35853CF" w14:textId="77777777" w:rsidR="003953D6" w:rsidRPr="00346CBB" w:rsidRDefault="003953D6" w:rsidP="00346CBB">
            <w:pPr>
              <w:jc w:val="right"/>
            </w:pPr>
            <w:r w:rsidRPr="00346CBB">
              <w:t>494 394</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E93CEAA" w14:textId="77777777" w:rsidR="003953D6" w:rsidRPr="00346CBB" w:rsidRDefault="003953D6" w:rsidP="00346CBB">
            <w:pPr>
              <w:jc w:val="right"/>
            </w:pPr>
            <w:r w:rsidRPr="00346CBB">
              <w:t>5 691 782</w:t>
            </w:r>
          </w:p>
        </w:tc>
      </w:tr>
      <w:tr w:rsidR="00A4769D" w:rsidRPr="00346CBB" w14:paraId="549E6446"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EB4FF9A" w14:textId="77777777" w:rsidR="003953D6" w:rsidRPr="00346CBB" w:rsidRDefault="003953D6" w:rsidP="00346CBB">
            <w:pPr>
              <w:pStyle w:val="TabellHode-rad"/>
            </w:pPr>
            <w:r w:rsidRPr="00346CBB">
              <w:t>2029</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0BE83D3" w14:textId="77777777" w:rsidR="003953D6" w:rsidRPr="00346CBB" w:rsidRDefault="003953D6" w:rsidP="00346CBB">
            <w:pPr>
              <w:jc w:val="right"/>
            </w:pPr>
            <w:r w:rsidRPr="00346CBB">
              <w:t>3 273 528</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D3F710" w14:textId="77777777" w:rsidR="003953D6" w:rsidRPr="00346CBB" w:rsidRDefault="003953D6" w:rsidP="00346CBB">
            <w:pPr>
              <w:jc w:val="right"/>
            </w:pPr>
            <w:r w:rsidRPr="00346CBB">
              <w:t>1 178 290</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9BA109C" w14:textId="77777777" w:rsidR="003953D6" w:rsidRPr="00346CBB" w:rsidRDefault="003953D6" w:rsidP="00346CBB">
            <w:pPr>
              <w:jc w:val="right"/>
            </w:pPr>
            <w:r w:rsidRPr="00346CBB">
              <w:t>771 880</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21BE473" w14:textId="77777777" w:rsidR="003953D6" w:rsidRPr="00346CBB" w:rsidRDefault="003953D6" w:rsidP="00346CBB">
            <w:pPr>
              <w:jc w:val="right"/>
            </w:pPr>
            <w:r w:rsidRPr="00346CBB">
              <w:t>494 837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317D6F5" w14:textId="77777777" w:rsidR="003953D6" w:rsidRPr="00346CBB" w:rsidRDefault="003953D6" w:rsidP="00346CBB">
            <w:pPr>
              <w:jc w:val="right"/>
            </w:pPr>
            <w:r w:rsidRPr="00346CBB">
              <w:t>5 718 535</w:t>
            </w:r>
          </w:p>
        </w:tc>
      </w:tr>
      <w:tr w:rsidR="00A4769D" w:rsidRPr="00346CBB" w14:paraId="76271FCF"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B79A127" w14:textId="77777777" w:rsidR="003953D6" w:rsidRPr="00346CBB" w:rsidRDefault="003953D6" w:rsidP="00C9271A">
            <w:pPr>
              <w:jc w:val="right"/>
            </w:pPr>
          </w:p>
        </w:tc>
        <w:tc>
          <w:tcPr>
            <w:tcW w:w="4595" w:type="pct"/>
            <w:gridSpan w:val="5"/>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4283932" w14:textId="77777777" w:rsidR="003953D6" w:rsidRPr="00346CBB" w:rsidRDefault="003953D6" w:rsidP="00346CBB">
            <w:pPr>
              <w:jc w:val="right"/>
            </w:pPr>
            <w:r w:rsidRPr="00346CBB">
              <w:rPr>
                <w:rStyle w:val="kursiv"/>
              </w:rPr>
              <w:t>Regional befolkningsvekst (fra året før). Prosent.</w:t>
            </w:r>
          </w:p>
        </w:tc>
      </w:tr>
      <w:tr w:rsidR="00A4769D" w:rsidRPr="00346CBB" w14:paraId="22721BD6"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5FC3093" w14:textId="77777777" w:rsidR="003953D6" w:rsidRPr="00346CBB" w:rsidRDefault="003953D6" w:rsidP="00346CBB">
            <w:pPr>
              <w:pStyle w:val="TabellHode-rad"/>
            </w:pPr>
            <w:r w:rsidRPr="00346CBB">
              <w:t>2025</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6E0524A" w14:textId="77777777" w:rsidR="003953D6" w:rsidRPr="00346CBB" w:rsidRDefault="003953D6" w:rsidP="00346CBB">
            <w:pPr>
              <w:jc w:val="right"/>
            </w:pPr>
            <w:r w:rsidRPr="00346CBB">
              <w:t xml:space="preserve">0,89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6C1C763" w14:textId="77777777" w:rsidR="003953D6" w:rsidRPr="00346CBB" w:rsidRDefault="003953D6" w:rsidP="00346CBB">
            <w:pPr>
              <w:jc w:val="right"/>
            </w:pPr>
            <w:r w:rsidRPr="00346CBB">
              <w:t xml:space="preserve">0,78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30AE705" w14:textId="77777777" w:rsidR="003953D6" w:rsidRPr="00346CBB" w:rsidRDefault="003953D6" w:rsidP="00346CBB">
            <w:pPr>
              <w:jc w:val="right"/>
            </w:pPr>
            <w:r w:rsidRPr="00346CBB">
              <w:t xml:space="preserve">0,75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44DA4A7" w14:textId="77777777" w:rsidR="003953D6" w:rsidRPr="00346CBB" w:rsidRDefault="003953D6" w:rsidP="00346CBB">
            <w:pPr>
              <w:jc w:val="right"/>
            </w:pPr>
            <w:r w:rsidRPr="00346CBB">
              <w:t xml:space="preserve">0,28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1B25BA2" w14:textId="77777777" w:rsidR="003953D6" w:rsidRPr="00346CBB" w:rsidRDefault="003953D6" w:rsidP="00346CBB">
            <w:pPr>
              <w:jc w:val="right"/>
            </w:pPr>
            <w:r w:rsidRPr="00346CBB">
              <w:t xml:space="preserve">0,80 </w:t>
            </w:r>
          </w:p>
        </w:tc>
      </w:tr>
      <w:tr w:rsidR="00A4769D" w:rsidRPr="00346CBB" w14:paraId="684BB54D"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EA2AD3F" w14:textId="77777777" w:rsidR="003953D6" w:rsidRPr="00346CBB" w:rsidRDefault="003953D6" w:rsidP="00346CBB">
            <w:pPr>
              <w:pStyle w:val="TabellHode-rad"/>
            </w:pPr>
            <w:r w:rsidRPr="00346CBB">
              <w:t>2026</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1DD0ED3" w14:textId="77777777" w:rsidR="003953D6" w:rsidRPr="00346CBB" w:rsidRDefault="003953D6" w:rsidP="00346CBB">
            <w:pPr>
              <w:jc w:val="right"/>
            </w:pPr>
            <w:r w:rsidRPr="00346CBB">
              <w:t xml:space="preserve">0,92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88E6C52" w14:textId="77777777" w:rsidR="003953D6" w:rsidRPr="00346CBB" w:rsidRDefault="003953D6" w:rsidP="00346CBB">
            <w:pPr>
              <w:jc w:val="right"/>
            </w:pPr>
            <w:r w:rsidRPr="00346CBB">
              <w:t xml:space="preserve">0,55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ADE846B" w14:textId="77777777" w:rsidR="003953D6" w:rsidRPr="00346CBB" w:rsidRDefault="003953D6" w:rsidP="00346CBB">
            <w:pPr>
              <w:jc w:val="right"/>
            </w:pPr>
            <w:r w:rsidRPr="00346CBB">
              <w:t xml:space="preserve">0,54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58AD5AA" w14:textId="77777777" w:rsidR="003953D6" w:rsidRPr="00346CBB" w:rsidRDefault="003953D6" w:rsidP="00346CBB">
            <w:pPr>
              <w:jc w:val="right"/>
            </w:pPr>
            <w:r w:rsidRPr="00346CBB">
              <w:t xml:space="preserve">0,82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A33979A" w14:textId="77777777" w:rsidR="003953D6" w:rsidRPr="00346CBB" w:rsidRDefault="003953D6" w:rsidP="00346CBB">
            <w:pPr>
              <w:jc w:val="right"/>
            </w:pPr>
            <w:r w:rsidRPr="00346CBB">
              <w:t xml:space="preserve">0,79 </w:t>
            </w:r>
          </w:p>
        </w:tc>
      </w:tr>
      <w:tr w:rsidR="00A4769D" w:rsidRPr="00346CBB" w14:paraId="24B20CE4"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B773A51" w14:textId="77777777" w:rsidR="003953D6" w:rsidRPr="00346CBB" w:rsidRDefault="003953D6" w:rsidP="00346CBB">
            <w:pPr>
              <w:pStyle w:val="TabellHode-rad"/>
            </w:pPr>
            <w:r w:rsidRPr="00346CBB">
              <w:t>2027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8050C1E" w14:textId="77777777" w:rsidR="003953D6" w:rsidRPr="00346CBB" w:rsidRDefault="003953D6" w:rsidP="00346CBB">
            <w:pPr>
              <w:jc w:val="right"/>
            </w:pPr>
            <w:r w:rsidRPr="00346CBB">
              <w:t xml:space="preserve">0,60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4AEBACF" w14:textId="77777777" w:rsidR="003953D6" w:rsidRPr="00346CBB" w:rsidRDefault="003953D6" w:rsidP="00346CBB">
            <w:pPr>
              <w:jc w:val="right"/>
            </w:pPr>
            <w:r w:rsidRPr="00346CBB">
              <w:t xml:space="preserve">0,36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E415DDB" w14:textId="77777777" w:rsidR="003953D6" w:rsidRPr="00346CBB" w:rsidRDefault="003953D6" w:rsidP="00346CBB">
            <w:pPr>
              <w:jc w:val="right"/>
            </w:pPr>
            <w:r w:rsidRPr="00346CBB">
              <w:t xml:space="preserve">0,35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CBA7F6A" w14:textId="77777777" w:rsidR="003953D6" w:rsidRPr="00346CBB" w:rsidRDefault="003953D6" w:rsidP="00346CBB">
            <w:pPr>
              <w:jc w:val="right"/>
            </w:pPr>
            <w:r w:rsidRPr="00346CBB">
              <w:t xml:space="preserve">0,14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9B6CBB7" w14:textId="77777777" w:rsidR="003953D6" w:rsidRPr="00346CBB" w:rsidRDefault="003953D6" w:rsidP="00346CBB">
            <w:pPr>
              <w:jc w:val="right"/>
            </w:pPr>
            <w:r w:rsidRPr="00346CBB">
              <w:t xml:space="preserve">0,48 </w:t>
            </w:r>
          </w:p>
        </w:tc>
      </w:tr>
      <w:tr w:rsidR="00A4769D" w:rsidRPr="00346CBB" w14:paraId="345E245E"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DA53F66" w14:textId="77777777" w:rsidR="003953D6" w:rsidRPr="00346CBB" w:rsidRDefault="003953D6" w:rsidP="00346CBB">
            <w:pPr>
              <w:pStyle w:val="TabellHode-rad"/>
            </w:pPr>
            <w:r w:rsidRPr="00346CBB">
              <w:lastRenderedPageBreak/>
              <w:t>2028</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77E0B37" w14:textId="77777777" w:rsidR="003953D6" w:rsidRPr="00346CBB" w:rsidRDefault="003953D6" w:rsidP="00346CBB">
            <w:pPr>
              <w:jc w:val="right"/>
            </w:pPr>
            <w:r w:rsidRPr="00346CBB">
              <w:t xml:space="preserve">0,59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9810AAF" w14:textId="77777777" w:rsidR="003953D6" w:rsidRPr="00346CBB" w:rsidRDefault="003953D6" w:rsidP="00346CBB">
            <w:pPr>
              <w:jc w:val="right"/>
            </w:pPr>
            <w:r w:rsidRPr="00346CBB">
              <w:t xml:space="preserve">0,34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6839CE9" w14:textId="77777777" w:rsidR="003953D6" w:rsidRPr="00346CBB" w:rsidRDefault="003953D6" w:rsidP="00346CBB">
            <w:pPr>
              <w:jc w:val="right"/>
            </w:pPr>
            <w:r w:rsidRPr="00346CBB">
              <w:t xml:space="preserve">0,36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2277F79" w14:textId="77777777" w:rsidR="003953D6" w:rsidRPr="00346CBB" w:rsidRDefault="003953D6" w:rsidP="00346CBB">
            <w:pPr>
              <w:jc w:val="right"/>
            </w:pPr>
            <w:r w:rsidRPr="00346CBB">
              <w:t xml:space="preserve">0,11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051FCDB" w14:textId="77777777" w:rsidR="003953D6" w:rsidRPr="00346CBB" w:rsidRDefault="003953D6" w:rsidP="00346CBB">
            <w:pPr>
              <w:jc w:val="right"/>
            </w:pPr>
            <w:r w:rsidRPr="00346CBB">
              <w:t xml:space="preserve">0,47 </w:t>
            </w:r>
          </w:p>
        </w:tc>
      </w:tr>
      <w:tr w:rsidR="00A4769D" w:rsidRPr="00346CBB" w14:paraId="4ECE40B6"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AA5F694" w14:textId="77777777" w:rsidR="003953D6" w:rsidRPr="00346CBB" w:rsidRDefault="003953D6" w:rsidP="00346CBB">
            <w:pPr>
              <w:pStyle w:val="TabellHode-rad"/>
            </w:pPr>
            <w:r w:rsidRPr="00346CBB">
              <w:t>2029</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BF149BB" w14:textId="77777777" w:rsidR="003953D6" w:rsidRPr="00346CBB" w:rsidRDefault="003953D6" w:rsidP="00346CBB">
            <w:pPr>
              <w:jc w:val="right"/>
            </w:pPr>
            <w:r w:rsidRPr="00346CBB">
              <w:t xml:space="preserve">0,59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2A66D17" w14:textId="77777777" w:rsidR="003953D6" w:rsidRPr="00346CBB" w:rsidRDefault="003953D6" w:rsidP="00346CBB">
            <w:pPr>
              <w:jc w:val="right"/>
            </w:pPr>
            <w:r w:rsidRPr="00346CBB">
              <w:t xml:space="preserve">0,34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5B3E365" w14:textId="77777777" w:rsidR="003953D6" w:rsidRPr="00346CBB" w:rsidRDefault="003953D6" w:rsidP="00346CBB">
            <w:pPr>
              <w:jc w:val="right"/>
            </w:pPr>
            <w:r w:rsidRPr="00346CBB">
              <w:t xml:space="preserve">0,41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12783F1" w14:textId="77777777" w:rsidR="003953D6" w:rsidRPr="00346CBB" w:rsidRDefault="003953D6" w:rsidP="00346CBB">
            <w:pPr>
              <w:jc w:val="right"/>
            </w:pPr>
            <w:r w:rsidRPr="00346CBB">
              <w:t xml:space="preserve">0,09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3FD7DC2" w14:textId="77777777" w:rsidR="003953D6" w:rsidRPr="00346CBB" w:rsidRDefault="003953D6" w:rsidP="00346CBB">
            <w:pPr>
              <w:jc w:val="right"/>
            </w:pPr>
            <w:r w:rsidRPr="00346CBB">
              <w:t xml:space="preserve">0,47 </w:t>
            </w:r>
          </w:p>
        </w:tc>
      </w:tr>
    </w:tbl>
    <w:p w14:paraId="599559A9" w14:textId="77777777" w:rsidR="003953D6" w:rsidRPr="00346CBB" w:rsidRDefault="003953D6" w:rsidP="00C9271A">
      <w:pPr>
        <w:jc w:val="right"/>
        <w:rPr>
          <w:rStyle w:val="halvfet"/>
        </w:rPr>
      </w:pPr>
    </w:p>
    <w:p w14:paraId="519D968A" w14:textId="77777777" w:rsidR="003953D6" w:rsidRPr="00346CBB" w:rsidRDefault="003953D6" w:rsidP="00346CBB">
      <w:pPr>
        <w:pStyle w:val="avsnitt-undertittel"/>
        <w:rPr>
          <w:rStyle w:val="halvfet"/>
        </w:rPr>
      </w:pPr>
      <w:r w:rsidRPr="00346CBB">
        <w:t>Tabell 9. Regionale befolkningstall 2024-2029, aldersgruppen 0–19 år.</w:t>
      </w:r>
    </w:p>
    <w:tbl>
      <w:tblPr>
        <w:tblW w:w="5000" w:type="pct"/>
        <w:tblCellMar>
          <w:left w:w="0" w:type="dxa"/>
          <w:right w:w="0" w:type="dxa"/>
        </w:tblCellMar>
        <w:tblLook w:val="0000" w:firstRow="0" w:lastRow="0" w:firstColumn="0" w:lastColumn="0" w:noHBand="0" w:noVBand="0"/>
      </w:tblPr>
      <w:tblGrid>
        <w:gridCol w:w="665"/>
        <w:gridCol w:w="1510"/>
        <w:gridCol w:w="1510"/>
        <w:gridCol w:w="1511"/>
        <w:gridCol w:w="1510"/>
        <w:gridCol w:w="1508"/>
      </w:tblGrid>
      <w:tr w:rsidR="00A4769D" w:rsidRPr="00346CBB" w14:paraId="56A46E7D" w14:textId="77777777" w:rsidTr="00C9271A">
        <w:trPr>
          <w:trHeight w:val="396"/>
          <w:tblHeader/>
        </w:trPr>
        <w:tc>
          <w:tcPr>
            <w:tcW w:w="40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5A5066C" w14:textId="77777777" w:rsidR="003953D6" w:rsidRPr="00346CBB" w:rsidRDefault="003953D6" w:rsidP="00C9271A">
            <w:pPr>
              <w:jc w:val="right"/>
            </w:pP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6F4325A" w14:textId="77777777" w:rsidR="003953D6" w:rsidRPr="00346CBB" w:rsidRDefault="003953D6" w:rsidP="00C9271A">
            <w:pPr>
              <w:pStyle w:val="TabellHode-kolonne"/>
              <w:jc w:val="right"/>
            </w:pPr>
            <w:r w:rsidRPr="00346CBB">
              <w:t>Helse Sør-Øst</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13C8DB9" w14:textId="77777777" w:rsidR="003953D6" w:rsidRPr="00346CBB" w:rsidRDefault="003953D6" w:rsidP="00C9271A">
            <w:pPr>
              <w:pStyle w:val="TabellHode-kolonne"/>
              <w:jc w:val="right"/>
            </w:pPr>
            <w:r w:rsidRPr="00346CBB">
              <w:t>Helse Vest</w:t>
            </w:r>
          </w:p>
        </w:tc>
        <w:tc>
          <w:tcPr>
            <w:tcW w:w="920"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B15C2AE" w14:textId="77777777" w:rsidR="003953D6" w:rsidRPr="00346CBB" w:rsidRDefault="003953D6" w:rsidP="00C9271A">
            <w:pPr>
              <w:pStyle w:val="TabellHode-kolonne"/>
              <w:jc w:val="right"/>
            </w:pPr>
            <w:r w:rsidRPr="00346CBB">
              <w:t xml:space="preserve">Helse </w:t>
            </w:r>
            <w:r w:rsidRPr="00346CBB">
              <w:br/>
              <w:t>Midt-Norge</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CDA6A32" w14:textId="77777777" w:rsidR="003953D6" w:rsidRPr="00346CBB" w:rsidRDefault="003953D6" w:rsidP="00C9271A">
            <w:pPr>
              <w:pStyle w:val="TabellHode-kolonne"/>
              <w:jc w:val="right"/>
            </w:pPr>
            <w:r w:rsidRPr="00346CBB">
              <w:t>Helse Nord</w:t>
            </w:r>
          </w:p>
        </w:tc>
        <w:tc>
          <w:tcPr>
            <w:tcW w:w="91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228E9F6" w14:textId="77777777" w:rsidR="003953D6" w:rsidRPr="00346CBB" w:rsidRDefault="003953D6" w:rsidP="00C9271A">
            <w:pPr>
              <w:pStyle w:val="TabellHode-kolonne"/>
              <w:jc w:val="right"/>
            </w:pPr>
            <w:r w:rsidRPr="00346CBB">
              <w:t>Landet samlet</w:t>
            </w:r>
          </w:p>
        </w:tc>
      </w:tr>
      <w:tr w:rsidR="00A4769D" w:rsidRPr="00346CBB" w14:paraId="56F1C15C" w14:textId="77777777" w:rsidTr="00346CBB">
        <w:trPr>
          <w:trHeight w:val="396"/>
        </w:trPr>
        <w:tc>
          <w:tcPr>
            <w:tcW w:w="40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D2F8F5E" w14:textId="77777777" w:rsidR="003953D6" w:rsidRPr="00346CBB" w:rsidRDefault="003953D6" w:rsidP="00346CBB">
            <w:pPr>
              <w:pStyle w:val="TabellHode-rad"/>
            </w:pPr>
            <w:r w:rsidRPr="00346CBB">
              <w:t>2024</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49C00D0" w14:textId="77777777" w:rsidR="003953D6" w:rsidRPr="00346CBB" w:rsidRDefault="003953D6" w:rsidP="00346CBB">
            <w:pPr>
              <w:jc w:val="right"/>
            </w:pPr>
            <w:r w:rsidRPr="00346CBB">
              <w:t>698 218</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FD7E230" w14:textId="77777777" w:rsidR="003953D6" w:rsidRPr="00346CBB" w:rsidRDefault="003953D6" w:rsidP="00346CBB">
            <w:pPr>
              <w:jc w:val="right"/>
            </w:pPr>
            <w:r w:rsidRPr="00346CBB">
              <w:t>274 645</w:t>
            </w:r>
          </w:p>
        </w:tc>
        <w:tc>
          <w:tcPr>
            <w:tcW w:w="920"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80D0EDF" w14:textId="77777777" w:rsidR="003953D6" w:rsidRPr="00346CBB" w:rsidRDefault="003953D6" w:rsidP="00346CBB">
            <w:pPr>
              <w:jc w:val="right"/>
            </w:pPr>
            <w:r w:rsidRPr="00346CBB">
              <w:t>168 507</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8006D22" w14:textId="77777777" w:rsidR="003953D6" w:rsidRPr="00346CBB" w:rsidRDefault="003953D6" w:rsidP="00346CBB">
            <w:pPr>
              <w:jc w:val="right"/>
            </w:pPr>
            <w:r w:rsidRPr="00346CBB">
              <w:t>102 912</w:t>
            </w:r>
          </w:p>
        </w:tc>
        <w:tc>
          <w:tcPr>
            <w:tcW w:w="91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3678F50" w14:textId="77777777" w:rsidR="003953D6" w:rsidRPr="00346CBB" w:rsidRDefault="003953D6" w:rsidP="00346CBB">
            <w:pPr>
              <w:jc w:val="right"/>
            </w:pPr>
            <w:r w:rsidRPr="00346CBB">
              <w:t>1 244 282</w:t>
            </w:r>
          </w:p>
        </w:tc>
      </w:tr>
      <w:tr w:rsidR="00A4769D" w:rsidRPr="00346CBB" w14:paraId="1E990520"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393C356" w14:textId="77777777" w:rsidR="003953D6" w:rsidRPr="00346CBB" w:rsidRDefault="003953D6" w:rsidP="00346CBB">
            <w:pPr>
              <w:pStyle w:val="TabellHode-rad"/>
            </w:pPr>
            <w:r w:rsidRPr="00346CBB">
              <w:t>2025</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6B976B6" w14:textId="77777777" w:rsidR="003953D6" w:rsidRPr="00346CBB" w:rsidRDefault="003953D6" w:rsidP="00346CBB">
            <w:pPr>
              <w:jc w:val="right"/>
            </w:pPr>
            <w:r w:rsidRPr="00346CBB">
              <w:t>698 399</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40BEDFF" w14:textId="77777777" w:rsidR="003953D6" w:rsidRPr="00346CBB" w:rsidRDefault="003953D6" w:rsidP="00346CBB">
            <w:pPr>
              <w:jc w:val="right"/>
            </w:pPr>
            <w:r w:rsidRPr="00346CBB">
              <w:t>273 936</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8B62D39" w14:textId="77777777" w:rsidR="003953D6" w:rsidRPr="00346CBB" w:rsidRDefault="003953D6" w:rsidP="00346CBB">
            <w:pPr>
              <w:jc w:val="right"/>
            </w:pPr>
            <w:r w:rsidRPr="00346CBB">
              <w:t>168 257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FF1B887" w14:textId="77777777" w:rsidR="003953D6" w:rsidRPr="00346CBB" w:rsidRDefault="003953D6" w:rsidP="00346CBB">
            <w:pPr>
              <w:jc w:val="right"/>
            </w:pPr>
            <w:r w:rsidRPr="00346CBB">
              <w:t>102 208</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740DE32" w14:textId="77777777" w:rsidR="003953D6" w:rsidRPr="00346CBB" w:rsidRDefault="003953D6" w:rsidP="00346CBB">
            <w:pPr>
              <w:jc w:val="right"/>
            </w:pPr>
            <w:r w:rsidRPr="00346CBB">
              <w:t>1 242 800</w:t>
            </w:r>
          </w:p>
        </w:tc>
      </w:tr>
      <w:tr w:rsidR="00A4769D" w:rsidRPr="00346CBB" w14:paraId="17335E0E"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F6651BF" w14:textId="77777777" w:rsidR="003953D6" w:rsidRPr="00346CBB" w:rsidRDefault="003953D6" w:rsidP="00346CBB">
            <w:pPr>
              <w:pStyle w:val="TabellHode-rad"/>
            </w:pPr>
            <w:r w:rsidRPr="00346CBB">
              <w:t>2026</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35B0446" w14:textId="77777777" w:rsidR="003953D6" w:rsidRPr="00346CBB" w:rsidRDefault="003953D6" w:rsidP="00346CBB">
            <w:pPr>
              <w:jc w:val="right"/>
            </w:pPr>
            <w:r w:rsidRPr="00346CBB">
              <w:t>696 528</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5BFBCE3" w14:textId="77777777" w:rsidR="003953D6" w:rsidRPr="00346CBB" w:rsidRDefault="003953D6" w:rsidP="00346CBB">
            <w:pPr>
              <w:jc w:val="right"/>
            </w:pPr>
            <w:r w:rsidRPr="00346CBB">
              <w:t>272 280</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BE0091" w14:textId="77777777" w:rsidR="003953D6" w:rsidRPr="00346CBB" w:rsidRDefault="003953D6" w:rsidP="00346CBB">
            <w:pPr>
              <w:jc w:val="right"/>
            </w:pPr>
            <w:r w:rsidRPr="00346CBB">
              <w:t>167 751</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F28AC0B" w14:textId="77777777" w:rsidR="003953D6" w:rsidRPr="00346CBB" w:rsidRDefault="003953D6" w:rsidP="00346CBB">
            <w:pPr>
              <w:jc w:val="right"/>
            </w:pPr>
            <w:r w:rsidRPr="00346CBB">
              <w:t>102 299</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65CF517" w14:textId="77777777" w:rsidR="003953D6" w:rsidRPr="00346CBB" w:rsidRDefault="003953D6" w:rsidP="00346CBB">
            <w:pPr>
              <w:jc w:val="right"/>
            </w:pPr>
            <w:r w:rsidRPr="00346CBB">
              <w:t>1 238 858</w:t>
            </w:r>
          </w:p>
        </w:tc>
      </w:tr>
      <w:tr w:rsidR="00A4769D" w:rsidRPr="00346CBB" w14:paraId="2D0B3C69"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8AC0BBD" w14:textId="77777777" w:rsidR="003953D6" w:rsidRPr="00346CBB" w:rsidRDefault="003953D6" w:rsidP="00346CBB">
            <w:pPr>
              <w:pStyle w:val="TabellHode-rad"/>
            </w:pPr>
            <w:r w:rsidRPr="00346CBB">
              <w:t>2027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B4B2487" w14:textId="77777777" w:rsidR="003953D6" w:rsidRPr="00346CBB" w:rsidRDefault="003953D6" w:rsidP="00346CBB">
            <w:pPr>
              <w:jc w:val="right"/>
            </w:pPr>
            <w:r w:rsidRPr="00346CBB">
              <w:t>693 122</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CC54B33" w14:textId="77777777" w:rsidR="003953D6" w:rsidRPr="00346CBB" w:rsidRDefault="003953D6" w:rsidP="00346CBB">
            <w:pPr>
              <w:jc w:val="right"/>
            </w:pPr>
            <w:r w:rsidRPr="00346CBB">
              <w:t>269 932</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E2BC9D" w14:textId="77777777" w:rsidR="003953D6" w:rsidRPr="00346CBB" w:rsidRDefault="003953D6" w:rsidP="00346CBB">
            <w:pPr>
              <w:jc w:val="right"/>
            </w:pPr>
            <w:r w:rsidRPr="00346CBB">
              <w:t>166 722</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06AD21D" w14:textId="77777777" w:rsidR="003953D6" w:rsidRPr="00346CBB" w:rsidRDefault="003953D6" w:rsidP="00346CBB">
            <w:pPr>
              <w:jc w:val="right"/>
            </w:pPr>
            <w:r w:rsidRPr="00346CBB">
              <w:t>101 662</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D0B7EC6" w14:textId="77777777" w:rsidR="003953D6" w:rsidRPr="00346CBB" w:rsidRDefault="003953D6" w:rsidP="00346CBB">
            <w:pPr>
              <w:jc w:val="right"/>
            </w:pPr>
            <w:r w:rsidRPr="00346CBB">
              <w:t>1 231 438</w:t>
            </w:r>
          </w:p>
        </w:tc>
      </w:tr>
      <w:tr w:rsidR="00A4769D" w:rsidRPr="00346CBB" w14:paraId="5C349633"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31950C1" w14:textId="77777777" w:rsidR="003953D6" w:rsidRPr="00346CBB" w:rsidRDefault="003953D6" w:rsidP="00346CBB">
            <w:pPr>
              <w:pStyle w:val="TabellHode-rad"/>
            </w:pPr>
            <w:r w:rsidRPr="00346CBB">
              <w:t>2028</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D3BAFF7" w14:textId="77777777" w:rsidR="003953D6" w:rsidRPr="00346CBB" w:rsidRDefault="003953D6" w:rsidP="00346CBB">
            <w:pPr>
              <w:jc w:val="right"/>
            </w:pPr>
            <w:r w:rsidRPr="00346CBB">
              <w:t>690 336</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5DA64E2" w14:textId="77777777" w:rsidR="003953D6" w:rsidRPr="00346CBB" w:rsidRDefault="003953D6" w:rsidP="00346CBB">
            <w:pPr>
              <w:jc w:val="right"/>
            </w:pPr>
            <w:r w:rsidRPr="00346CBB">
              <w:t>267 759</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65CF6E2" w14:textId="77777777" w:rsidR="003953D6" w:rsidRPr="00346CBB" w:rsidRDefault="003953D6" w:rsidP="00346CBB">
            <w:pPr>
              <w:jc w:val="right"/>
            </w:pPr>
            <w:r w:rsidRPr="00346CBB">
              <w:t>165 665</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7783290" w14:textId="77777777" w:rsidR="003953D6" w:rsidRPr="00346CBB" w:rsidRDefault="003953D6" w:rsidP="00346CBB">
            <w:pPr>
              <w:jc w:val="right"/>
            </w:pPr>
            <w:r w:rsidRPr="00346CBB">
              <w:t>100 876</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9389EE6" w14:textId="77777777" w:rsidR="003953D6" w:rsidRPr="00346CBB" w:rsidRDefault="003953D6" w:rsidP="00346CBB">
            <w:pPr>
              <w:jc w:val="right"/>
            </w:pPr>
            <w:r w:rsidRPr="00346CBB">
              <w:t>1 224 636</w:t>
            </w:r>
          </w:p>
        </w:tc>
      </w:tr>
      <w:tr w:rsidR="00A4769D" w:rsidRPr="00346CBB" w14:paraId="2DAD9F21"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87308A7" w14:textId="77777777" w:rsidR="003953D6" w:rsidRPr="00346CBB" w:rsidRDefault="003953D6" w:rsidP="00346CBB">
            <w:pPr>
              <w:pStyle w:val="TabellHode-rad"/>
            </w:pPr>
            <w:r w:rsidRPr="00346CBB">
              <w:t>2029</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01FDE9D" w14:textId="77777777" w:rsidR="003953D6" w:rsidRPr="00346CBB" w:rsidRDefault="003953D6" w:rsidP="00346CBB">
            <w:pPr>
              <w:jc w:val="right"/>
            </w:pPr>
            <w:r w:rsidRPr="00346CBB">
              <w:t>686 845</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1ABEEC0" w14:textId="77777777" w:rsidR="003953D6" w:rsidRPr="00346CBB" w:rsidRDefault="003953D6" w:rsidP="00346CBB">
            <w:pPr>
              <w:jc w:val="right"/>
            </w:pPr>
            <w:r w:rsidRPr="00346CBB">
              <w:t>265 192</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BF2FAB1" w14:textId="77777777" w:rsidR="003953D6" w:rsidRPr="00346CBB" w:rsidRDefault="003953D6" w:rsidP="00346CBB">
            <w:pPr>
              <w:jc w:val="right"/>
            </w:pPr>
            <w:r w:rsidRPr="00346CBB">
              <w:t>164 664</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38821F4" w14:textId="77777777" w:rsidR="003953D6" w:rsidRPr="00346CBB" w:rsidRDefault="003953D6" w:rsidP="00346CBB">
            <w:pPr>
              <w:jc w:val="right"/>
            </w:pPr>
            <w:r w:rsidRPr="00346CBB">
              <w:t>100 041</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88B93B0" w14:textId="77777777" w:rsidR="003953D6" w:rsidRPr="00346CBB" w:rsidRDefault="003953D6" w:rsidP="00346CBB">
            <w:pPr>
              <w:jc w:val="right"/>
            </w:pPr>
            <w:r w:rsidRPr="00346CBB">
              <w:t>1 216 742</w:t>
            </w:r>
          </w:p>
        </w:tc>
      </w:tr>
      <w:tr w:rsidR="00A4769D" w:rsidRPr="00346CBB" w14:paraId="6FA2F319"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8BE86CF" w14:textId="77777777" w:rsidR="003953D6" w:rsidRPr="00346CBB" w:rsidRDefault="003953D6" w:rsidP="00C9271A">
            <w:pPr>
              <w:jc w:val="right"/>
            </w:pPr>
          </w:p>
        </w:tc>
        <w:tc>
          <w:tcPr>
            <w:tcW w:w="4595" w:type="pct"/>
            <w:gridSpan w:val="5"/>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0469A87" w14:textId="77777777" w:rsidR="003953D6" w:rsidRPr="00346CBB" w:rsidRDefault="003953D6" w:rsidP="00346CBB">
            <w:pPr>
              <w:jc w:val="right"/>
            </w:pPr>
            <w:r w:rsidRPr="00346CBB">
              <w:rPr>
                <w:rStyle w:val="kursiv"/>
              </w:rPr>
              <w:t>Regional befolkningsvekst 0–19 år. Prosent.</w:t>
            </w:r>
          </w:p>
        </w:tc>
      </w:tr>
      <w:tr w:rsidR="00A4769D" w:rsidRPr="00346CBB" w14:paraId="1D11AE10"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954FFEA" w14:textId="77777777" w:rsidR="003953D6" w:rsidRPr="00346CBB" w:rsidRDefault="003953D6" w:rsidP="00346CBB">
            <w:pPr>
              <w:pStyle w:val="TabellHode-rad"/>
            </w:pPr>
            <w:r w:rsidRPr="00346CBB">
              <w:t>2025</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CEA9B56" w14:textId="77777777" w:rsidR="003953D6" w:rsidRPr="00346CBB" w:rsidRDefault="003953D6" w:rsidP="00346CBB">
            <w:pPr>
              <w:jc w:val="right"/>
            </w:pPr>
            <w:r w:rsidRPr="00346CBB">
              <w:t xml:space="preserve">0,03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F55F83A" w14:textId="77777777" w:rsidR="003953D6" w:rsidRPr="00346CBB" w:rsidRDefault="003953D6" w:rsidP="00346CBB">
            <w:pPr>
              <w:jc w:val="right"/>
            </w:pPr>
            <w:r w:rsidRPr="00346CBB">
              <w:t xml:space="preserve">-0,26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0209592" w14:textId="77777777" w:rsidR="003953D6" w:rsidRPr="00346CBB" w:rsidRDefault="003953D6" w:rsidP="00346CBB">
            <w:pPr>
              <w:jc w:val="right"/>
            </w:pPr>
            <w:r w:rsidRPr="00346CBB">
              <w:t xml:space="preserve">-0,15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D16ED56" w14:textId="77777777" w:rsidR="003953D6" w:rsidRPr="00346CBB" w:rsidRDefault="003953D6" w:rsidP="00346CBB">
            <w:pPr>
              <w:jc w:val="right"/>
            </w:pPr>
            <w:r w:rsidRPr="00346CBB">
              <w:t xml:space="preserve">-0,68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39BDA47" w14:textId="77777777" w:rsidR="003953D6" w:rsidRPr="00346CBB" w:rsidRDefault="003953D6" w:rsidP="00346CBB">
            <w:pPr>
              <w:jc w:val="right"/>
            </w:pPr>
            <w:r w:rsidRPr="00346CBB">
              <w:t xml:space="preserve">-0,12 </w:t>
            </w:r>
          </w:p>
        </w:tc>
      </w:tr>
      <w:tr w:rsidR="00A4769D" w:rsidRPr="00346CBB" w14:paraId="4C4D644F"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A4F4E3D" w14:textId="77777777" w:rsidR="003953D6" w:rsidRPr="00346CBB" w:rsidRDefault="003953D6" w:rsidP="00346CBB">
            <w:pPr>
              <w:pStyle w:val="TabellHode-rad"/>
            </w:pPr>
            <w:r w:rsidRPr="00346CBB">
              <w:t>2026</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F795D5D" w14:textId="77777777" w:rsidR="003953D6" w:rsidRPr="00346CBB" w:rsidRDefault="003953D6" w:rsidP="00346CBB">
            <w:pPr>
              <w:jc w:val="right"/>
            </w:pPr>
            <w:r w:rsidRPr="00346CBB">
              <w:t xml:space="preserve">-0,27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DFFA581" w14:textId="77777777" w:rsidR="003953D6" w:rsidRPr="00346CBB" w:rsidRDefault="003953D6" w:rsidP="00346CBB">
            <w:pPr>
              <w:jc w:val="right"/>
            </w:pPr>
            <w:r w:rsidRPr="00346CBB">
              <w:t xml:space="preserve">-0,60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37D3534" w14:textId="77777777" w:rsidR="003953D6" w:rsidRPr="00346CBB" w:rsidRDefault="003953D6" w:rsidP="00346CBB">
            <w:pPr>
              <w:jc w:val="right"/>
            </w:pPr>
            <w:r w:rsidRPr="00346CBB">
              <w:t xml:space="preserve">-0,30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56F08F2" w14:textId="77777777" w:rsidR="003953D6" w:rsidRPr="00346CBB" w:rsidRDefault="003953D6" w:rsidP="00346CBB">
            <w:pPr>
              <w:jc w:val="right"/>
            </w:pPr>
            <w:r w:rsidRPr="00346CBB">
              <w:t xml:space="preserve">0,09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FB70BD3" w14:textId="77777777" w:rsidR="003953D6" w:rsidRPr="00346CBB" w:rsidRDefault="003953D6" w:rsidP="00346CBB">
            <w:pPr>
              <w:jc w:val="right"/>
            </w:pPr>
            <w:r w:rsidRPr="00346CBB">
              <w:t xml:space="preserve">-0,32 </w:t>
            </w:r>
          </w:p>
        </w:tc>
      </w:tr>
      <w:tr w:rsidR="00A4769D" w:rsidRPr="00346CBB" w14:paraId="4FC73A30"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00E0F8D" w14:textId="77777777" w:rsidR="003953D6" w:rsidRPr="00346CBB" w:rsidRDefault="003953D6" w:rsidP="00346CBB">
            <w:pPr>
              <w:pStyle w:val="TabellHode-rad"/>
            </w:pPr>
            <w:r w:rsidRPr="00346CBB">
              <w:t>2027</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67780CB" w14:textId="77777777" w:rsidR="003953D6" w:rsidRPr="00346CBB" w:rsidRDefault="003953D6" w:rsidP="00346CBB">
            <w:pPr>
              <w:jc w:val="right"/>
            </w:pPr>
            <w:r w:rsidRPr="00346CBB">
              <w:t xml:space="preserve">-0,49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194CD26" w14:textId="77777777" w:rsidR="003953D6" w:rsidRPr="00346CBB" w:rsidRDefault="003953D6" w:rsidP="00346CBB">
            <w:pPr>
              <w:jc w:val="right"/>
            </w:pPr>
            <w:r w:rsidRPr="00346CBB">
              <w:t xml:space="preserve">-0,86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48F3019" w14:textId="77777777" w:rsidR="003953D6" w:rsidRPr="00346CBB" w:rsidRDefault="003953D6" w:rsidP="00346CBB">
            <w:pPr>
              <w:jc w:val="right"/>
            </w:pPr>
            <w:r w:rsidRPr="00346CBB">
              <w:t xml:space="preserve">-0,61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43534AE" w14:textId="77777777" w:rsidR="003953D6" w:rsidRPr="00346CBB" w:rsidRDefault="003953D6" w:rsidP="00346CBB">
            <w:pPr>
              <w:jc w:val="right"/>
            </w:pPr>
            <w:r w:rsidRPr="00346CBB">
              <w:t xml:space="preserve">-0,62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832CBF4" w14:textId="77777777" w:rsidR="003953D6" w:rsidRPr="00346CBB" w:rsidRDefault="003953D6" w:rsidP="00346CBB">
            <w:pPr>
              <w:jc w:val="right"/>
            </w:pPr>
            <w:r w:rsidRPr="00346CBB">
              <w:t xml:space="preserve">-0,60 </w:t>
            </w:r>
          </w:p>
        </w:tc>
      </w:tr>
      <w:tr w:rsidR="00A4769D" w:rsidRPr="00346CBB" w14:paraId="27B0FBDC"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91028AB" w14:textId="77777777" w:rsidR="003953D6" w:rsidRPr="00346CBB" w:rsidRDefault="003953D6" w:rsidP="00346CBB">
            <w:pPr>
              <w:pStyle w:val="TabellHode-rad"/>
            </w:pPr>
            <w:r w:rsidRPr="00346CBB">
              <w:lastRenderedPageBreak/>
              <w:t>2028</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BF4EACE" w14:textId="77777777" w:rsidR="003953D6" w:rsidRPr="00346CBB" w:rsidRDefault="003953D6" w:rsidP="00346CBB">
            <w:pPr>
              <w:jc w:val="right"/>
            </w:pPr>
            <w:r w:rsidRPr="00346CBB">
              <w:t xml:space="preserve">-0,40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DE0D401" w14:textId="77777777" w:rsidR="003953D6" w:rsidRPr="00346CBB" w:rsidRDefault="003953D6" w:rsidP="00346CBB">
            <w:pPr>
              <w:jc w:val="right"/>
            </w:pPr>
            <w:r w:rsidRPr="00346CBB">
              <w:t xml:space="preserve">-0,81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531E4E2" w14:textId="77777777" w:rsidR="003953D6" w:rsidRPr="00346CBB" w:rsidRDefault="003953D6" w:rsidP="00346CBB">
            <w:pPr>
              <w:jc w:val="right"/>
            </w:pPr>
            <w:r w:rsidRPr="00346CBB">
              <w:t xml:space="preserve">-0,63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62686A0" w14:textId="77777777" w:rsidR="003953D6" w:rsidRPr="00346CBB" w:rsidRDefault="003953D6" w:rsidP="00346CBB">
            <w:pPr>
              <w:jc w:val="right"/>
            </w:pPr>
            <w:r w:rsidRPr="00346CBB">
              <w:t xml:space="preserve">-0,77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F075768" w14:textId="77777777" w:rsidR="003953D6" w:rsidRPr="00346CBB" w:rsidRDefault="003953D6" w:rsidP="00346CBB">
            <w:pPr>
              <w:jc w:val="right"/>
            </w:pPr>
            <w:r w:rsidRPr="00346CBB">
              <w:t xml:space="preserve">-0,55 </w:t>
            </w:r>
          </w:p>
        </w:tc>
      </w:tr>
      <w:tr w:rsidR="00A4769D" w:rsidRPr="00346CBB" w14:paraId="412D0B99" w14:textId="77777777" w:rsidTr="00346CBB">
        <w:trPr>
          <w:trHeight w:val="396"/>
        </w:trPr>
        <w:tc>
          <w:tcPr>
            <w:tcW w:w="40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BBB00E9" w14:textId="77777777" w:rsidR="003953D6" w:rsidRPr="00346CBB" w:rsidRDefault="003953D6" w:rsidP="00346CBB">
            <w:pPr>
              <w:pStyle w:val="TabellHode-rad"/>
            </w:pPr>
            <w:r w:rsidRPr="00346CBB">
              <w:t>2029</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01ECA40" w14:textId="77777777" w:rsidR="003953D6" w:rsidRPr="00346CBB" w:rsidRDefault="003953D6" w:rsidP="00346CBB">
            <w:pPr>
              <w:jc w:val="right"/>
            </w:pPr>
            <w:r w:rsidRPr="00346CBB">
              <w:t xml:space="preserve">-0,51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841F0C3" w14:textId="77777777" w:rsidR="003953D6" w:rsidRPr="00346CBB" w:rsidRDefault="003953D6" w:rsidP="00346CBB">
            <w:pPr>
              <w:jc w:val="right"/>
            </w:pPr>
            <w:r w:rsidRPr="00346CBB">
              <w:t xml:space="preserve">-0,96 </w:t>
            </w:r>
          </w:p>
        </w:tc>
        <w:tc>
          <w:tcPr>
            <w:tcW w:w="920"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4BE37D1" w14:textId="77777777" w:rsidR="003953D6" w:rsidRPr="00346CBB" w:rsidRDefault="003953D6" w:rsidP="00346CBB">
            <w:pPr>
              <w:jc w:val="right"/>
            </w:pPr>
            <w:r w:rsidRPr="00346CBB">
              <w:t xml:space="preserve">-0,60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07011A4" w14:textId="77777777" w:rsidR="003953D6" w:rsidRPr="00346CBB" w:rsidRDefault="003953D6" w:rsidP="00346CBB">
            <w:pPr>
              <w:jc w:val="right"/>
            </w:pPr>
            <w:r w:rsidRPr="00346CBB">
              <w:t xml:space="preserve">-0,83 </w:t>
            </w:r>
          </w:p>
        </w:tc>
        <w:tc>
          <w:tcPr>
            <w:tcW w:w="91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6616358" w14:textId="77777777" w:rsidR="003953D6" w:rsidRPr="00346CBB" w:rsidRDefault="003953D6" w:rsidP="00346CBB">
            <w:pPr>
              <w:jc w:val="right"/>
            </w:pPr>
            <w:r w:rsidRPr="00346CBB">
              <w:t xml:space="preserve">-0,64 </w:t>
            </w:r>
          </w:p>
        </w:tc>
      </w:tr>
    </w:tbl>
    <w:p w14:paraId="7822CFB6" w14:textId="77777777" w:rsidR="003953D6" w:rsidRPr="00346CBB" w:rsidRDefault="003953D6" w:rsidP="00C9271A">
      <w:pPr>
        <w:jc w:val="right"/>
      </w:pPr>
    </w:p>
    <w:p w14:paraId="6A875EDE" w14:textId="77777777" w:rsidR="003953D6" w:rsidRPr="00346CBB" w:rsidRDefault="003953D6" w:rsidP="00346CBB"/>
    <w:p w14:paraId="664F5E43" w14:textId="77777777" w:rsidR="003953D6" w:rsidRPr="00346CBB" w:rsidRDefault="003953D6" w:rsidP="00346CBB">
      <w:pPr>
        <w:pStyle w:val="UnOverskrift1"/>
        <w:rPr>
          <w:rStyle w:val="halvfet"/>
        </w:rPr>
      </w:pPr>
      <w:r w:rsidRPr="00346CBB">
        <w:rPr>
          <w:rStyle w:val="halvfet"/>
        </w:rPr>
        <w:t>Vedlegg 4</w:t>
      </w:r>
      <w:r w:rsidRPr="00346CBB">
        <w:t xml:space="preserve"> </w:t>
      </w:r>
      <w:r w:rsidRPr="00346CBB">
        <w:br/>
        <w:t>Utvikling i resultat, driftsresultat og driftsresultat før avskrivninger per regionale helseforetak og landet 2015–B2025</w:t>
      </w:r>
    </w:p>
    <w:p w14:paraId="0DE01499" w14:textId="77777777" w:rsidR="003953D6" w:rsidRPr="00346CBB" w:rsidRDefault="003953D6" w:rsidP="00346CBB"/>
    <w:tbl>
      <w:tblPr>
        <w:tblW w:w="5000" w:type="pct"/>
        <w:tblCellMar>
          <w:left w:w="0" w:type="dxa"/>
          <w:right w:w="0" w:type="dxa"/>
        </w:tblCellMar>
        <w:tblLook w:val="0000" w:firstRow="0" w:lastRow="0" w:firstColumn="0" w:lastColumn="0" w:noHBand="0" w:noVBand="0"/>
      </w:tblPr>
      <w:tblGrid>
        <w:gridCol w:w="1026"/>
        <w:gridCol w:w="1026"/>
        <w:gridCol w:w="1027"/>
        <w:gridCol w:w="1027"/>
        <w:gridCol w:w="1027"/>
        <w:gridCol w:w="1027"/>
        <w:gridCol w:w="1027"/>
        <w:gridCol w:w="1027"/>
      </w:tblGrid>
      <w:tr w:rsidR="00A4769D" w:rsidRPr="00346CBB" w14:paraId="4022320B" w14:textId="77777777" w:rsidTr="00C9271A">
        <w:trPr>
          <w:trHeight w:val="60"/>
          <w:tblHeader/>
        </w:trPr>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882E668" w14:textId="77777777" w:rsidR="003953D6" w:rsidRPr="00346CBB" w:rsidRDefault="003953D6" w:rsidP="00C9271A">
            <w:pPr>
              <w:pStyle w:val="TabellHode-kolonne"/>
            </w:pPr>
            <w:r w:rsidRPr="00346CBB">
              <w:t>Helse Sør-Øst</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0CDFFCC" w14:textId="77777777" w:rsidR="003953D6" w:rsidRPr="00346CBB" w:rsidRDefault="003953D6" w:rsidP="00C9271A">
            <w:pPr>
              <w:pStyle w:val="TabellHode-kolonne"/>
              <w:jc w:val="right"/>
            </w:pPr>
            <w:r w:rsidRPr="00346CBB">
              <w:t>Resultat</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9DAEAAE" w14:textId="77777777" w:rsidR="003953D6" w:rsidRPr="00346CBB" w:rsidRDefault="003953D6" w:rsidP="00C9271A">
            <w:pPr>
              <w:pStyle w:val="TabellHode-kolonne"/>
              <w:jc w:val="right"/>
            </w:pPr>
            <w:r w:rsidRPr="00346CBB">
              <w:t>Netto finans</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E6A108B" w14:textId="6D202956" w:rsidR="003953D6" w:rsidRPr="00346CBB" w:rsidRDefault="003953D6" w:rsidP="00C9271A">
            <w:pPr>
              <w:pStyle w:val="TabellHode-kolonne"/>
              <w:jc w:val="right"/>
            </w:pPr>
            <w:r w:rsidRPr="00346CBB">
              <w:t>Driftsresultat</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6098920" w14:textId="77777777" w:rsidR="003953D6" w:rsidRPr="00346CBB" w:rsidRDefault="003953D6" w:rsidP="00C9271A">
            <w:pPr>
              <w:pStyle w:val="TabellHode-kolonne"/>
              <w:jc w:val="right"/>
            </w:pPr>
            <w:r w:rsidRPr="00346CBB">
              <w:t>Avskrivninger</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6DE684A" w14:textId="05DEBA23" w:rsidR="003953D6" w:rsidRPr="00346CBB" w:rsidRDefault="003953D6" w:rsidP="00C9271A">
            <w:pPr>
              <w:pStyle w:val="TabellHode-kolonne"/>
              <w:jc w:val="right"/>
            </w:pPr>
            <w:r w:rsidRPr="00346CBB">
              <w:t>Driftsresultat før avskrivninger i løpende priser</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D53CCA7" w14:textId="6C411743" w:rsidR="003953D6" w:rsidRPr="00346CBB" w:rsidRDefault="003953D6" w:rsidP="00C9271A">
            <w:pPr>
              <w:pStyle w:val="TabellHode-kolonne"/>
              <w:jc w:val="right"/>
            </w:pPr>
            <w:r w:rsidRPr="00346CBB">
              <w:t>Omsetning</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2DF007B" w14:textId="18265F1A" w:rsidR="003953D6" w:rsidRPr="00346CBB" w:rsidRDefault="003953D6" w:rsidP="00C9271A">
            <w:pPr>
              <w:pStyle w:val="TabellHode-kolonne"/>
              <w:jc w:val="right"/>
            </w:pPr>
            <w:r w:rsidRPr="00346CBB">
              <w:t>Driftsresultat før avskrivninger i pst. av omsetning</w:t>
            </w:r>
          </w:p>
        </w:tc>
      </w:tr>
      <w:tr w:rsidR="00A4769D" w:rsidRPr="00346CBB" w14:paraId="78CC51C7" w14:textId="77777777" w:rsidTr="00346CBB">
        <w:trPr>
          <w:trHeight w:val="60"/>
        </w:trPr>
        <w:tc>
          <w:tcPr>
            <w:tcW w:w="62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E6B526" w14:textId="77777777" w:rsidR="003953D6" w:rsidRPr="00346CBB" w:rsidRDefault="003953D6" w:rsidP="00346CBB">
            <w:pPr>
              <w:pStyle w:val="TabellHode-rad"/>
            </w:pPr>
            <w:r w:rsidRPr="00346CBB">
              <w:t>2014</w:t>
            </w:r>
          </w:p>
        </w:tc>
        <w:tc>
          <w:tcPr>
            <w:tcW w:w="62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C06BE3" w14:textId="77777777" w:rsidR="003953D6" w:rsidRPr="00346CBB" w:rsidRDefault="003953D6" w:rsidP="00346CBB">
            <w:pPr>
              <w:jc w:val="right"/>
            </w:pPr>
            <w:r w:rsidRPr="00346CBB">
              <w:t>816</w:t>
            </w:r>
          </w:p>
        </w:tc>
        <w:tc>
          <w:tcPr>
            <w:tcW w:w="62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F7D1B0" w14:textId="77777777" w:rsidR="003953D6" w:rsidRPr="00346CBB" w:rsidRDefault="003953D6" w:rsidP="00346CBB">
            <w:pPr>
              <w:jc w:val="right"/>
            </w:pPr>
            <w:r w:rsidRPr="00346CBB">
              <w:t>-4</w:t>
            </w:r>
          </w:p>
        </w:tc>
        <w:tc>
          <w:tcPr>
            <w:tcW w:w="62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3407E8" w14:textId="77777777" w:rsidR="003953D6" w:rsidRPr="00346CBB" w:rsidRDefault="003953D6" w:rsidP="00346CBB">
            <w:pPr>
              <w:jc w:val="right"/>
            </w:pPr>
            <w:r w:rsidRPr="00346CBB">
              <w:t>820</w:t>
            </w:r>
          </w:p>
        </w:tc>
        <w:tc>
          <w:tcPr>
            <w:tcW w:w="62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20273F" w14:textId="77777777" w:rsidR="003953D6" w:rsidRPr="00346CBB" w:rsidRDefault="003953D6" w:rsidP="00346CBB">
            <w:pPr>
              <w:jc w:val="right"/>
            </w:pPr>
            <w:r w:rsidRPr="00346CBB">
              <w:t>3 412</w:t>
            </w:r>
          </w:p>
        </w:tc>
        <w:tc>
          <w:tcPr>
            <w:tcW w:w="62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8E7F2A" w14:textId="77777777" w:rsidR="003953D6" w:rsidRPr="00346CBB" w:rsidRDefault="003953D6" w:rsidP="00346CBB">
            <w:pPr>
              <w:jc w:val="right"/>
            </w:pPr>
            <w:r w:rsidRPr="00346CBB">
              <w:t>4 231</w:t>
            </w:r>
          </w:p>
        </w:tc>
        <w:tc>
          <w:tcPr>
            <w:tcW w:w="62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B161F2" w14:textId="77777777" w:rsidR="003953D6" w:rsidRPr="00346CBB" w:rsidRDefault="003953D6" w:rsidP="00346CBB">
            <w:pPr>
              <w:jc w:val="right"/>
            </w:pPr>
            <w:r w:rsidRPr="00346CBB">
              <w:t>69 500</w:t>
            </w:r>
          </w:p>
        </w:tc>
        <w:tc>
          <w:tcPr>
            <w:tcW w:w="62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076C23" w14:textId="77777777" w:rsidR="003953D6" w:rsidRPr="00346CBB" w:rsidRDefault="003953D6" w:rsidP="00346CBB">
            <w:pPr>
              <w:jc w:val="right"/>
            </w:pPr>
            <w:r w:rsidRPr="00346CBB">
              <w:t>6,1 %</w:t>
            </w:r>
          </w:p>
        </w:tc>
      </w:tr>
      <w:tr w:rsidR="00A4769D" w:rsidRPr="00346CBB" w14:paraId="42FD0D58"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6A420B" w14:textId="77777777" w:rsidR="003953D6" w:rsidRPr="00346CBB" w:rsidRDefault="003953D6" w:rsidP="00346CBB">
            <w:pPr>
              <w:pStyle w:val="TabellHode-rad"/>
            </w:pPr>
            <w:r w:rsidRPr="00346CBB">
              <w:t>2015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474787C" w14:textId="77777777" w:rsidR="003953D6" w:rsidRPr="00346CBB" w:rsidRDefault="003953D6" w:rsidP="00346CBB">
            <w:pPr>
              <w:jc w:val="right"/>
            </w:pPr>
            <w:r w:rsidRPr="00346CBB">
              <w:t>1 046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3F1ABE" w14:textId="77777777" w:rsidR="003953D6" w:rsidRPr="00346CBB" w:rsidRDefault="003953D6" w:rsidP="00346CBB">
            <w:pPr>
              <w:jc w:val="right"/>
            </w:pPr>
            <w:r w:rsidRPr="00346CBB">
              <w:t>-28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F1C1DE" w14:textId="77777777" w:rsidR="003953D6" w:rsidRPr="00346CBB" w:rsidRDefault="003953D6" w:rsidP="00346CBB">
            <w:pPr>
              <w:jc w:val="right"/>
            </w:pPr>
            <w:r w:rsidRPr="00346CBB">
              <w:t>1 074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A72921" w14:textId="77777777" w:rsidR="003953D6" w:rsidRPr="00346CBB" w:rsidRDefault="003953D6" w:rsidP="00346CBB">
            <w:pPr>
              <w:jc w:val="right"/>
            </w:pPr>
            <w:r w:rsidRPr="00346CBB">
              <w:t>3 238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E1BBC4" w14:textId="77777777" w:rsidR="003953D6" w:rsidRPr="00346CBB" w:rsidRDefault="003953D6" w:rsidP="00346CBB">
            <w:pPr>
              <w:jc w:val="right"/>
            </w:pPr>
            <w:r w:rsidRPr="00346CBB">
              <w:t>4 312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ED33CE" w14:textId="77777777" w:rsidR="003953D6" w:rsidRPr="00346CBB" w:rsidRDefault="003953D6" w:rsidP="00346CBB">
            <w:pPr>
              <w:jc w:val="right"/>
            </w:pPr>
            <w:r w:rsidRPr="00346CBB">
              <w:t>78 925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E94B5D" w14:textId="77777777" w:rsidR="003953D6" w:rsidRPr="00346CBB" w:rsidRDefault="003953D6" w:rsidP="00346CBB">
            <w:pPr>
              <w:jc w:val="right"/>
            </w:pPr>
            <w:r w:rsidRPr="00346CBB">
              <w:t>5,5 %</w:t>
            </w:r>
          </w:p>
        </w:tc>
      </w:tr>
      <w:tr w:rsidR="00A4769D" w:rsidRPr="00346CBB" w14:paraId="40AC5F40"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F5CBA7" w14:textId="77777777" w:rsidR="003953D6" w:rsidRPr="00346CBB" w:rsidRDefault="003953D6" w:rsidP="00346CBB">
            <w:pPr>
              <w:pStyle w:val="TabellHode-rad"/>
            </w:pPr>
            <w:r w:rsidRPr="00346CBB">
              <w:t>2016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92819C" w14:textId="77777777" w:rsidR="003953D6" w:rsidRPr="00346CBB" w:rsidRDefault="003953D6" w:rsidP="00346CBB">
            <w:pPr>
              <w:jc w:val="right"/>
            </w:pPr>
            <w:r w:rsidRPr="00346CBB">
              <w:t>1 343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832380" w14:textId="77777777" w:rsidR="003953D6" w:rsidRPr="00346CBB" w:rsidRDefault="003953D6" w:rsidP="00346CBB">
            <w:pPr>
              <w:jc w:val="right"/>
            </w:pPr>
            <w:r w:rsidRPr="00346CBB">
              <w:t>-39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F5C52F" w14:textId="77777777" w:rsidR="003953D6" w:rsidRPr="00346CBB" w:rsidRDefault="003953D6" w:rsidP="00346CBB">
            <w:pPr>
              <w:jc w:val="right"/>
            </w:pPr>
            <w:r w:rsidRPr="00346CBB">
              <w:t>1 382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9A7432" w14:textId="77777777" w:rsidR="003953D6" w:rsidRPr="00346CBB" w:rsidRDefault="003953D6" w:rsidP="00346CBB">
            <w:pPr>
              <w:jc w:val="right"/>
            </w:pPr>
            <w:r w:rsidRPr="00346CBB">
              <w:t>3 665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6846A7" w14:textId="77777777" w:rsidR="003953D6" w:rsidRPr="00346CBB" w:rsidRDefault="003953D6" w:rsidP="00346CBB">
            <w:pPr>
              <w:jc w:val="right"/>
            </w:pPr>
            <w:r w:rsidRPr="00346CBB">
              <w:t>5 047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6B601D" w14:textId="77777777" w:rsidR="003953D6" w:rsidRPr="00346CBB" w:rsidRDefault="003953D6" w:rsidP="00346CBB">
            <w:pPr>
              <w:jc w:val="right"/>
            </w:pPr>
            <w:r w:rsidRPr="00346CBB">
              <w:t>79 425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532481" w14:textId="77777777" w:rsidR="003953D6" w:rsidRPr="00346CBB" w:rsidRDefault="003953D6" w:rsidP="00346CBB">
            <w:pPr>
              <w:jc w:val="right"/>
            </w:pPr>
            <w:r w:rsidRPr="00346CBB">
              <w:t>6,4 %</w:t>
            </w:r>
          </w:p>
        </w:tc>
      </w:tr>
      <w:tr w:rsidR="00A4769D" w:rsidRPr="00346CBB" w14:paraId="1AF49EC3"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CEF3CA" w14:textId="77777777" w:rsidR="003953D6" w:rsidRPr="00346CBB" w:rsidRDefault="003953D6" w:rsidP="00346CBB">
            <w:pPr>
              <w:pStyle w:val="TabellHode-rad"/>
            </w:pPr>
            <w:r w:rsidRPr="00346CBB">
              <w:t>2017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6B688C" w14:textId="77777777" w:rsidR="003953D6" w:rsidRPr="00346CBB" w:rsidRDefault="003953D6" w:rsidP="00346CBB">
            <w:pPr>
              <w:jc w:val="right"/>
            </w:pPr>
            <w:r w:rsidRPr="00346CBB">
              <w:t>1 016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968660" w14:textId="77777777" w:rsidR="003953D6" w:rsidRPr="00346CBB" w:rsidRDefault="003953D6" w:rsidP="00346CBB">
            <w:pPr>
              <w:jc w:val="right"/>
            </w:pPr>
            <w:r w:rsidRPr="00346CBB">
              <w:t>-84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ADB73D" w14:textId="77777777" w:rsidR="003953D6" w:rsidRPr="00346CBB" w:rsidRDefault="003953D6" w:rsidP="00346CBB">
            <w:pPr>
              <w:jc w:val="right"/>
            </w:pPr>
            <w:r w:rsidRPr="00346CBB">
              <w:t>1 100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5B7901" w14:textId="77777777" w:rsidR="003953D6" w:rsidRPr="00346CBB" w:rsidRDefault="003953D6" w:rsidP="00346CBB">
            <w:pPr>
              <w:jc w:val="right"/>
            </w:pPr>
            <w:r w:rsidRPr="00346CBB">
              <w:t>4 034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3DD22D" w14:textId="77777777" w:rsidR="003953D6" w:rsidRPr="00346CBB" w:rsidRDefault="003953D6" w:rsidP="00346CBB">
            <w:pPr>
              <w:jc w:val="right"/>
            </w:pPr>
            <w:r w:rsidRPr="00346CBB">
              <w:t>5 134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B4CA06" w14:textId="77777777" w:rsidR="003953D6" w:rsidRPr="00346CBB" w:rsidRDefault="003953D6" w:rsidP="00346CBB">
            <w:pPr>
              <w:jc w:val="right"/>
            </w:pPr>
            <w:r w:rsidRPr="00346CBB">
              <w:t>79 097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B716DB" w14:textId="77777777" w:rsidR="003953D6" w:rsidRPr="00346CBB" w:rsidRDefault="003953D6" w:rsidP="00346CBB">
            <w:pPr>
              <w:jc w:val="right"/>
            </w:pPr>
            <w:r w:rsidRPr="00346CBB">
              <w:t>6,5 %</w:t>
            </w:r>
          </w:p>
        </w:tc>
      </w:tr>
      <w:tr w:rsidR="00A4769D" w:rsidRPr="00346CBB" w14:paraId="4220300C"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7B5217" w14:textId="77777777" w:rsidR="003953D6" w:rsidRPr="00346CBB" w:rsidRDefault="003953D6" w:rsidP="00346CBB">
            <w:pPr>
              <w:pStyle w:val="TabellHode-rad"/>
            </w:pPr>
            <w:r w:rsidRPr="00346CBB">
              <w:lastRenderedPageBreak/>
              <w:t>2018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091F7C" w14:textId="77777777" w:rsidR="003953D6" w:rsidRPr="00346CBB" w:rsidRDefault="003953D6" w:rsidP="00346CBB">
            <w:pPr>
              <w:jc w:val="right"/>
            </w:pPr>
            <w:r w:rsidRPr="00346CBB">
              <w:t>1 768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09BDCD" w14:textId="77777777" w:rsidR="003953D6" w:rsidRPr="00346CBB" w:rsidRDefault="003953D6" w:rsidP="00346CBB">
            <w:pPr>
              <w:jc w:val="right"/>
            </w:pPr>
            <w:r w:rsidRPr="00346CBB">
              <w:t>-7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C32E93" w14:textId="77777777" w:rsidR="003953D6" w:rsidRPr="00346CBB" w:rsidRDefault="003953D6" w:rsidP="00346CBB">
            <w:pPr>
              <w:jc w:val="right"/>
            </w:pPr>
            <w:r w:rsidRPr="00346CBB">
              <w:t>1 775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DE93B8" w14:textId="77777777" w:rsidR="003953D6" w:rsidRPr="00346CBB" w:rsidRDefault="003953D6" w:rsidP="00346CBB">
            <w:pPr>
              <w:jc w:val="right"/>
            </w:pPr>
            <w:r w:rsidRPr="00346CBB">
              <w:t>3 961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D5DD47" w14:textId="77777777" w:rsidR="003953D6" w:rsidRPr="00346CBB" w:rsidRDefault="003953D6" w:rsidP="00346CBB">
            <w:pPr>
              <w:jc w:val="right"/>
            </w:pPr>
            <w:r w:rsidRPr="00346CBB">
              <w:t>5 736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96A1B0" w14:textId="77777777" w:rsidR="003953D6" w:rsidRPr="00346CBB" w:rsidRDefault="003953D6" w:rsidP="00346CBB">
            <w:pPr>
              <w:jc w:val="right"/>
            </w:pPr>
            <w:r w:rsidRPr="00346CBB">
              <w:t>81 755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C5E649" w14:textId="77777777" w:rsidR="003953D6" w:rsidRPr="00346CBB" w:rsidRDefault="003953D6" w:rsidP="00346CBB">
            <w:pPr>
              <w:jc w:val="right"/>
            </w:pPr>
            <w:r w:rsidRPr="00346CBB">
              <w:t>7,0 %</w:t>
            </w:r>
          </w:p>
        </w:tc>
      </w:tr>
      <w:tr w:rsidR="00A4769D" w:rsidRPr="00346CBB" w14:paraId="5D6E21A4"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E018AB" w14:textId="77777777" w:rsidR="003953D6" w:rsidRPr="00346CBB" w:rsidRDefault="003953D6" w:rsidP="00346CBB">
            <w:pPr>
              <w:pStyle w:val="TabellHode-rad"/>
            </w:pPr>
            <w:r w:rsidRPr="00346CBB">
              <w:t>2019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1F4FEF" w14:textId="77777777" w:rsidR="003953D6" w:rsidRPr="00346CBB" w:rsidRDefault="003953D6" w:rsidP="00346CBB">
            <w:pPr>
              <w:jc w:val="right"/>
            </w:pPr>
            <w:r w:rsidRPr="00346CBB">
              <w:t>2 009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4A4850" w14:textId="77777777" w:rsidR="003953D6" w:rsidRPr="00346CBB" w:rsidRDefault="003953D6" w:rsidP="00346CBB">
            <w:pPr>
              <w:jc w:val="right"/>
            </w:pPr>
            <w:r w:rsidRPr="00346CBB">
              <w:t>91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C4D94B" w14:textId="77777777" w:rsidR="003953D6" w:rsidRPr="00346CBB" w:rsidRDefault="003953D6" w:rsidP="00346CBB">
            <w:pPr>
              <w:jc w:val="right"/>
            </w:pPr>
            <w:r w:rsidRPr="00346CBB">
              <w:t>1 918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D0B684" w14:textId="77777777" w:rsidR="003953D6" w:rsidRPr="00346CBB" w:rsidRDefault="003953D6" w:rsidP="00346CBB">
            <w:pPr>
              <w:jc w:val="right"/>
            </w:pPr>
            <w:r w:rsidRPr="00346CBB">
              <w:t>3 942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F69621" w14:textId="77777777" w:rsidR="003953D6" w:rsidRPr="00346CBB" w:rsidRDefault="003953D6" w:rsidP="00346CBB">
            <w:pPr>
              <w:jc w:val="right"/>
            </w:pPr>
            <w:r w:rsidRPr="00346CBB">
              <w:t>5 859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EA6852" w14:textId="77777777" w:rsidR="003953D6" w:rsidRPr="00346CBB" w:rsidRDefault="003953D6" w:rsidP="00346CBB">
            <w:pPr>
              <w:jc w:val="right"/>
            </w:pPr>
            <w:r w:rsidRPr="00346CBB">
              <w:t>86 765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7B10733" w14:textId="77777777" w:rsidR="003953D6" w:rsidRPr="00346CBB" w:rsidRDefault="003953D6" w:rsidP="00346CBB">
            <w:pPr>
              <w:jc w:val="right"/>
            </w:pPr>
            <w:r w:rsidRPr="00346CBB">
              <w:t>6,8 %</w:t>
            </w:r>
          </w:p>
        </w:tc>
      </w:tr>
      <w:tr w:rsidR="00A4769D" w:rsidRPr="00346CBB" w14:paraId="787E6767"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0D82FE" w14:textId="77777777" w:rsidR="003953D6" w:rsidRPr="00346CBB" w:rsidRDefault="003953D6" w:rsidP="00346CBB">
            <w:pPr>
              <w:pStyle w:val="TabellHode-rad"/>
            </w:pPr>
            <w:r w:rsidRPr="00346CBB">
              <w:t>2020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673220" w14:textId="77777777" w:rsidR="003953D6" w:rsidRPr="00346CBB" w:rsidRDefault="003953D6" w:rsidP="00346CBB">
            <w:pPr>
              <w:jc w:val="right"/>
            </w:pPr>
            <w:r w:rsidRPr="00346CBB">
              <w:t>2 593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FAC606" w14:textId="77777777" w:rsidR="003953D6" w:rsidRPr="00346CBB" w:rsidRDefault="003953D6" w:rsidP="00346CBB">
            <w:pPr>
              <w:jc w:val="right"/>
            </w:pPr>
            <w:r w:rsidRPr="00346CBB">
              <w:t>-8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8BAA33" w14:textId="77777777" w:rsidR="003953D6" w:rsidRPr="00346CBB" w:rsidRDefault="003953D6" w:rsidP="00346CBB">
            <w:pPr>
              <w:jc w:val="right"/>
            </w:pPr>
            <w:r w:rsidRPr="00346CBB">
              <w:t>2 601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0D2E16" w14:textId="77777777" w:rsidR="003953D6" w:rsidRPr="00346CBB" w:rsidRDefault="003953D6" w:rsidP="00346CBB">
            <w:pPr>
              <w:jc w:val="right"/>
            </w:pPr>
            <w:r w:rsidRPr="00346CBB">
              <w:t>4 075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DC761" w14:textId="77777777" w:rsidR="003953D6" w:rsidRPr="00346CBB" w:rsidRDefault="003953D6" w:rsidP="00346CBB">
            <w:pPr>
              <w:jc w:val="right"/>
            </w:pPr>
            <w:r w:rsidRPr="00346CBB">
              <w:t>6 675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C68F5C" w14:textId="77777777" w:rsidR="003953D6" w:rsidRPr="00346CBB" w:rsidRDefault="003953D6" w:rsidP="00346CBB">
            <w:pPr>
              <w:jc w:val="right"/>
            </w:pPr>
            <w:r w:rsidRPr="00346CBB">
              <w:t>88 513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767BF6" w14:textId="77777777" w:rsidR="003953D6" w:rsidRPr="00346CBB" w:rsidRDefault="003953D6" w:rsidP="00346CBB">
            <w:pPr>
              <w:jc w:val="right"/>
            </w:pPr>
            <w:r w:rsidRPr="00346CBB">
              <w:t>7,5 %</w:t>
            </w:r>
          </w:p>
        </w:tc>
      </w:tr>
      <w:tr w:rsidR="00A4769D" w:rsidRPr="00346CBB" w14:paraId="54CDFC3A"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51CEDC" w14:textId="77777777" w:rsidR="003953D6" w:rsidRPr="00346CBB" w:rsidRDefault="003953D6" w:rsidP="00346CBB">
            <w:pPr>
              <w:pStyle w:val="TabellHode-rad"/>
            </w:pPr>
            <w:r w:rsidRPr="00346CBB">
              <w:t>2021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798BE3" w14:textId="77777777" w:rsidR="003953D6" w:rsidRPr="00346CBB" w:rsidRDefault="003953D6" w:rsidP="00346CBB">
            <w:pPr>
              <w:jc w:val="right"/>
            </w:pPr>
            <w:r w:rsidRPr="00346CBB">
              <w:t>2 004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F8659F" w14:textId="77777777" w:rsidR="003953D6" w:rsidRPr="00346CBB" w:rsidRDefault="003953D6" w:rsidP="00346CBB">
            <w:pPr>
              <w:jc w:val="right"/>
            </w:pPr>
            <w:r w:rsidRPr="00346CBB">
              <w:t>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5F5CCD" w14:textId="77777777" w:rsidR="003953D6" w:rsidRPr="00346CBB" w:rsidRDefault="003953D6" w:rsidP="00346CBB">
            <w:pPr>
              <w:jc w:val="right"/>
            </w:pPr>
            <w:r w:rsidRPr="00346CBB">
              <w:t>2 001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780EB9" w14:textId="77777777" w:rsidR="003953D6" w:rsidRPr="00346CBB" w:rsidRDefault="003953D6" w:rsidP="00346CBB">
            <w:pPr>
              <w:jc w:val="right"/>
            </w:pPr>
            <w:r w:rsidRPr="00346CBB">
              <w:t>4 187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D99891" w14:textId="77777777" w:rsidR="003953D6" w:rsidRPr="00346CBB" w:rsidRDefault="003953D6" w:rsidP="00346CBB">
            <w:pPr>
              <w:jc w:val="right"/>
            </w:pPr>
            <w:r w:rsidRPr="00346CBB">
              <w:t>6 188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BE9F7C" w14:textId="77777777" w:rsidR="003953D6" w:rsidRPr="00346CBB" w:rsidRDefault="003953D6" w:rsidP="00346CBB">
            <w:pPr>
              <w:jc w:val="right"/>
            </w:pPr>
            <w:r w:rsidRPr="00346CBB">
              <w:t>95 862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F9235A" w14:textId="77777777" w:rsidR="003953D6" w:rsidRPr="00346CBB" w:rsidRDefault="003953D6" w:rsidP="00346CBB">
            <w:pPr>
              <w:jc w:val="right"/>
            </w:pPr>
            <w:r w:rsidRPr="00346CBB">
              <w:t>6,5 %</w:t>
            </w:r>
          </w:p>
        </w:tc>
      </w:tr>
      <w:tr w:rsidR="00A4769D" w:rsidRPr="00346CBB" w14:paraId="463B4736"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521050" w14:textId="77777777" w:rsidR="003953D6" w:rsidRPr="00346CBB" w:rsidRDefault="003953D6" w:rsidP="00346CBB">
            <w:pPr>
              <w:pStyle w:val="TabellHode-rad"/>
            </w:pPr>
            <w:r w:rsidRPr="00346CBB">
              <w:t>2022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48C5B2" w14:textId="77777777" w:rsidR="003953D6" w:rsidRPr="00346CBB" w:rsidRDefault="003953D6" w:rsidP="00346CBB">
            <w:pPr>
              <w:jc w:val="right"/>
            </w:pPr>
            <w:r w:rsidRPr="00346CBB">
              <w:t>1 674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D52897" w14:textId="77777777" w:rsidR="003953D6" w:rsidRPr="00346CBB" w:rsidRDefault="003953D6" w:rsidP="00346CBB">
            <w:pPr>
              <w:jc w:val="right"/>
            </w:pPr>
            <w:r w:rsidRPr="00346CBB">
              <w:t>153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82E40D" w14:textId="77777777" w:rsidR="003953D6" w:rsidRPr="00346CBB" w:rsidRDefault="003953D6" w:rsidP="00346CBB">
            <w:pPr>
              <w:jc w:val="right"/>
            </w:pPr>
            <w:r w:rsidRPr="00346CBB">
              <w:t>1 521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738D3B" w14:textId="77777777" w:rsidR="003953D6" w:rsidRPr="00346CBB" w:rsidRDefault="003953D6" w:rsidP="00346CBB">
            <w:pPr>
              <w:jc w:val="right"/>
            </w:pPr>
            <w:r w:rsidRPr="00346CBB">
              <w:t>4 334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FDE75B" w14:textId="77777777" w:rsidR="003953D6" w:rsidRPr="00346CBB" w:rsidRDefault="003953D6" w:rsidP="00346CBB">
            <w:pPr>
              <w:jc w:val="right"/>
            </w:pPr>
            <w:r w:rsidRPr="00346CBB">
              <w:t>5 855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A13625" w14:textId="77777777" w:rsidR="003953D6" w:rsidRPr="00346CBB" w:rsidRDefault="003953D6" w:rsidP="00346CBB">
            <w:pPr>
              <w:jc w:val="right"/>
            </w:pPr>
            <w:r w:rsidRPr="00346CBB">
              <w:t>101 311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A70A18" w14:textId="77777777" w:rsidR="003953D6" w:rsidRPr="00346CBB" w:rsidRDefault="003953D6" w:rsidP="00346CBB">
            <w:pPr>
              <w:jc w:val="right"/>
            </w:pPr>
            <w:r w:rsidRPr="00346CBB">
              <w:t>5,8 %</w:t>
            </w:r>
          </w:p>
        </w:tc>
      </w:tr>
      <w:tr w:rsidR="00A4769D" w:rsidRPr="00346CBB" w14:paraId="581CEF2C"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B27AC45" w14:textId="77777777" w:rsidR="003953D6" w:rsidRPr="00346CBB" w:rsidRDefault="003953D6" w:rsidP="00346CBB">
            <w:pPr>
              <w:pStyle w:val="TabellHode-rad"/>
            </w:pPr>
            <w:r w:rsidRPr="00346CBB">
              <w:t>2023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08C21C" w14:textId="77777777" w:rsidR="003953D6" w:rsidRPr="00346CBB" w:rsidRDefault="003953D6" w:rsidP="00346CBB">
            <w:pPr>
              <w:jc w:val="right"/>
            </w:pPr>
            <w:r w:rsidRPr="00346CBB">
              <w:t>1 544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0B8D81" w14:textId="77777777" w:rsidR="003953D6" w:rsidRPr="00346CBB" w:rsidRDefault="003953D6" w:rsidP="00346CBB">
            <w:pPr>
              <w:jc w:val="right"/>
            </w:pPr>
            <w:r w:rsidRPr="00346CBB">
              <w:t>190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14065E8" w14:textId="77777777" w:rsidR="003953D6" w:rsidRPr="00346CBB" w:rsidRDefault="003953D6" w:rsidP="00346CBB">
            <w:pPr>
              <w:jc w:val="right"/>
            </w:pPr>
            <w:r w:rsidRPr="00346CBB">
              <w:t>1 354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92392B" w14:textId="77777777" w:rsidR="003953D6" w:rsidRPr="00346CBB" w:rsidRDefault="003953D6" w:rsidP="00346CBB">
            <w:pPr>
              <w:jc w:val="right"/>
            </w:pPr>
            <w:r w:rsidRPr="00346CBB">
              <w:t>4 440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A7EFD3" w14:textId="77777777" w:rsidR="003953D6" w:rsidRPr="00346CBB" w:rsidRDefault="003953D6" w:rsidP="00346CBB">
            <w:pPr>
              <w:jc w:val="right"/>
            </w:pPr>
            <w:r w:rsidRPr="00346CBB">
              <w:t>5 794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A868C0" w14:textId="77777777" w:rsidR="003953D6" w:rsidRPr="00346CBB" w:rsidRDefault="003953D6" w:rsidP="00346CBB">
            <w:pPr>
              <w:jc w:val="right"/>
            </w:pPr>
            <w:r w:rsidRPr="00346CBB">
              <w:t>106 236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C76FE8" w14:textId="77777777" w:rsidR="003953D6" w:rsidRPr="00346CBB" w:rsidRDefault="003953D6" w:rsidP="00346CBB">
            <w:pPr>
              <w:jc w:val="right"/>
            </w:pPr>
            <w:r w:rsidRPr="00346CBB">
              <w:t>5,5 %</w:t>
            </w:r>
          </w:p>
        </w:tc>
      </w:tr>
      <w:tr w:rsidR="00A4769D" w:rsidRPr="00346CBB" w14:paraId="59ACB473"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10474B" w14:textId="77777777" w:rsidR="003953D6" w:rsidRPr="00346CBB" w:rsidRDefault="003953D6" w:rsidP="00346CBB">
            <w:pPr>
              <w:pStyle w:val="TabellHode-rad"/>
            </w:pPr>
            <w:r w:rsidRPr="00346CBB">
              <w:t>2024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8C000F" w14:textId="77777777" w:rsidR="003953D6" w:rsidRPr="00346CBB" w:rsidRDefault="003953D6" w:rsidP="00346CBB">
            <w:pPr>
              <w:jc w:val="right"/>
            </w:pPr>
            <w:r w:rsidRPr="00346CBB">
              <w:t>3 184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EB03F0" w14:textId="77777777" w:rsidR="003953D6" w:rsidRPr="00346CBB" w:rsidRDefault="003953D6" w:rsidP="00346CBB">
            <w:pPr>
              <w:jc w:val="right"/>
            </w:pPr>
            <w:r w:rsidRPr="00346CBB">
              <w:t>-111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02C26A" w14:textId="77777777" w:rsidR="003953D6" w:rsidRPr="00346CBB" w:rsidRDefault="003953D6" w:rsidP="00346CBB">
            <w:pPr>
              <w:jc w:val="right"/>
            </w:pPr>
            <w:r w:rsidRPr="00346CBB">
              <w:t>3 295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E92724" w14:textId="77777777" w:rsidR="003953D6" w:rsidRPr="00346CBB" w:rsidRDefault="003953D6" w:rsidP="00346CBB">
            <w:pPr>
              <w:jc w:val="right"/>
            </w:pPr>
            <w:r w:rsidRPr="00346CBB">
              <w:t>4 538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8F4042" w14:textId="77777777" w:rsidR="003953D6" w:rsidRPr="00346CBB" w:rsidRDefault="003953D6" w:rsidP="00346CBB">
            <w:pPr>
              <w:jc w:val="right"/>
            </w:pPr>
            <w:r w:rsidRPr="00346CBB">
              <w:t>7 833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A0F5F2" w14:textId="77777777" w:rsidR="003953D6" w:rsidRPr="00346CBB" w:rsidRDefault="003953D6" w:rsidP="00346CBB">
            <w:pPr>
              <w:jc w:val="right"/>
            </w:pPr>
            <w:r w:rsidRPr="00346CBB">
              <w:t>114 830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083A2D" w14:textId="77777777" w:rsidR="003953D6" w:rsidRPr="00346CBB" w:rsidRDefault="003953D6" w:rsidP="00346CBB">
            <w:pPr>
              <w:jc w:val="right"/>
            </w:pPr>
            <w:r w:rsidRPr="00346CBB">
              <w:t>6,8 %</w:t>
            </w:r>
          </w:p>
        </w:tc>
      </w:tr>
      <w:tr w:rsidR="00A4769D" w:rsidRPr="00346CBB" w14:paraId="512A5B3E"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939364" w14:textId="77777777" w:rsidR="003953D6" w:rsidRPr="00346CBB" w:rsidRDefault="003953D6" w:rsidP="00346CBB">
            <w:pPr>
              <w:pStyle w:val="TabellHode-rad"/>
            </w:pPr>
            <w:r w:rsidRPr="00346CBB">
              <w:t>B2025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8A4796" w14:textId="77777777" w:rsidR="003953D6" w:rsidRPr="00346CBB" w:rsidRDefault="003953D6" w:rsidP="00346CBB">
            <w:pPr>
              <w:jc w:val="right"/>
            </w:pPr>
            <w:r w:rsidRPr="00346CBB">
              <w:t>2 116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E8FA51" w14:textId="77777777" w:rsidR="003953D6" w:rsidRPr="00346CBB" w:rsidRDefault="003953D6" w:rsidP="00346CBB">
            <w:pPr>
              <w:jc w:val="right"/>
            </w:pPr>
            <w:r w:rsidRPr="00346CBB">
              <w:t>-785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D7D170" w14:textId="77777777" w:rsidR="003953D6" w:rsidRPr="00346CBB" w:rsidRDefault="003953D6" w:rsidP="00346CBB">
            <w:pPr>
              <w:jc w:val="right"/>
            </w:pPr>
            <w:r w:rsidRPr="00346CBB">
              <w:t>2 901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8A91A0" w14:textId="77777777" w:rsidR="003953D6" w:rsidRPr="00346CBB" w:rsidRDefault="003953D6" w:rsidP="00346CBB">
            <w:pPr>
              <w:jc w:val="right"/>
            </w:pPr>
            <w:r w:rsidRPr="00346CBB">
              <w:t>5 068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017C18" w14:textId="77777777" w:rsidR="003953D6" w:rsidRPr="00346CBB" w:rsidRDefault="003953D6" w:rsidP="00346CBB">
            <w:pPr>
              <w:jc w:val="right"/>
            </w:pPr>
            <w:r w:rsidRPr="00346CBB">
              <w:t>7 969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1027DCE" w14:textId="77777777" w:rsidR="003953D6" w:rsidRPr="00346CBB" w:rsidRDefault="003953D6" w:rsidP="00346CBB">
            <w:pPr>
              <w:jc w:val="right"/>
            </w:pPr>
            <w:r w:rsidRPr="00346CBB">
              <w:t>120 274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146EB" w14:textId="77777777" w:rsidR="003953D6" w:rsidRPr="00346CBB" w:rsidRDefault="003953D6" w:rsidP="00346CBB">
            <w:pPr>
              <w:jc w:val="right"/>
            </w:pPr>
            <w:r w:rsidRPr="00346CBB">
              <w:t>6,6 %</w:t>
            </w:r>
          </w:p>
        </w:tc>
      </w:tr>
    </w:tbl>
    <w:p w14:paraId="60FB4A5D" w14:textId="77777777" w:rsidR="003953D6" w:rsidRPr="00346CBB" w:rsidRDefault="003953D6" w:rsidP="00346CBB"/>
    <w:tbl>
      <w:tblPr>
        <w:tblW w:w="5000" w:type="pct"/>
        <w:tblCellMar>
          <w:left w:w="0" w:type="dxa"/>
          <w:right w:w="0" w:type="dxa"/>
        </w:tblCellMar>
        <w:tblLook w:val="0000" w:firstRow="0" w:lastRow="0" w:firstColumn="0" w:lastColumn="0" w:noHBand="0" w:noVBand="0"/>
      </w:tblPr>
      <w:tblGrid>
        <w:gridCol w:w="1026"/>
        <w:gridCol w:w="1026"/>
        <w:gridCol w:w="1027"/>
        <w:gridCol w:w="1027"/>
        <w:gridCol w:w="1027"/>
        <w:gridCol w:w="1027"/>
        <w:gridCol w:w="1027"/>
        <w:gridCol w:w="1027"/>
      </w:tblGrid>
      <w:tr w:rsidR="00A4769D" w:rsidRPr="00346CBB" w14:paraId="1F9AD70A" w14:textId="77777777" w:rsidTr="00C9271A">
        <w:trPr>
          <w:trHeight w:val="60"/>
          <w:tblHeader/>
        </w:trPr>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360C0C2" w14:textId="77777777" w:rsidR="003953D6" w:rsidRPr="00346CBB" w:rsidRDefault="003953D6" w:rsidP="00C9271A">
            <w:pPr>
              <w:pStyle w:val="TabellHode-kolonne"/>
            </w:pPr>
            <w:r w:rsidRPr="00346CBB">
              <w:lastRenderedPageBreak/>
              <w:t>Helse Vest</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1CF8654" w14:textId="77777777" w:rsidR="003953D6" w:rsidRPr="00346CBB" w:rsidRDefault="003953D6" w:rsidP="00C9271A">
            <w:pPr>
              <w:pStyle w:val="TabellHode-kolonne"/>
              <w:jc w:val="right"/>
            </w:pPr>
            <w:r w:rsidRPr="00346CBB">
              <w:t>Resultat</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16112AB" w14:textId="77777777" w:rsidR="003953D6" w:rsidRPr="00346CBB" w:rsidRDefault="003953D6" w:rsidP="00C9271A">
            <w:pPr>
              <w:pStyle w:val="TabellHode-kolonne"/>
              <w:jc w:val="right"/>
            </w:pPr>
            <w:r w:rsidRPr="00346CBB">
              <w:t>Netto finans</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415EEE8" w14:textId="131B225E" w:rsidR="003953D6" w:rsidRPr="00346CBB" w:rsidRDefault="003953D6" w:rsidP="00C9271A">
            <w:pPr>
              <w:pStyle w:val="TabellHode-kolonne"/>
              <w:jc w:val="right"/>
            </w:pPr>
            <w:r w:rsidRPr="00346CBB">
              <w:t>Driftsresultat</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87B0A60" w14:textId="1302334A" w:rsidR="003953D6" w:rsidRPr="00346CBB" w:rsidRDefault="003953D6" w:rsidP="00C9271A">
            <w:pPr>
              <w:pStyle w:val="TabellHode-kolonne"/>
              <w:jc w:val="right"/>
            </w:pPr>
            <w:r w:rsidRPr="00346CBB">
              <w:t>Avskrivninger</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34A0BBF" w14:textId="567647C4" w:rsidR="003953D6" w:rsidRPr="00346CBB" w:rsidRDefault="003953D6" w:rsidP="00C9271A">
            <w:pPr>
              <w:pStyle w:val="TabellHode-kolonne"/>
              <w:jc w:val="right"/>
            </w:pPr>
            <w:r w:rsidRPr="00346CBB">
              <w:t>Driftsresultat før avskrivninger i løpende priser</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AB1766D" w14:textId="77777777" w:rsidR="003953D6" w:rsidRPr="00346CBB" w:rsidRDefault="003953D6" w:rsidP="00C9271A">
            <w:pPr>
              <w:pStyle w:val="TabellHode-kolonne"/>
              <w:jc w:val="right"/>
            </w:pPr>
            <w:r w:rsidRPr="00346CBB">
              <w:t>Omsetning</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35191DD9" w14:textId="12AC18A7" w:rsidR="003953D6" w:rsidRPr="00346CBB" w:rsidRDefault="003953D6" w:rsidP="00C9271A">
            <w:pPr>
              <w:pStyle w:val="TabellHode-kolonne"/>
              <w:jc w:val="right"/>
            </w:pPr>
            <w:r w:rsidRPr="00346CBB">
              <w:t>Driftsresultat før avskrivninger i pst. av omsetning</w:t>
            </w:r>
          </w:p>
        </w:tc>
      </w:tr>
      <w:tr w:rsidR="00A4769D" w:rsidRPr="00346CBB" w14:paraId="7F18421E"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385FDF" w14:textId="77777777" w:rsidR="003953D6" w:rsidRPr="00346CBB" w:rsidRDefault="003953D6" w:rsidP="00346CBB">
            <w:pPr>
              <w:pStyle w:val="TabellHode-rad"/>
            </w:pPr>
            <w:r w:rsidRPr="00346CBB">
              <w:t>2014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C29B32" w14:textId="77777777" w:rsidR="003953D6" w:rsidRPr="00346CBB" w:rsidRDefault="003953D6" w:rsidP="00346CBB">
            <w:pPr>
              <w:jc w:val="right"/>
            </w:pPr>
            <w:r w:rsidRPr="00346CBB">
              <w:t>796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C894F3" w14:textId="77777777" w:rsidR="003953D6" w:rsidRPr="00346CBB" w:rsidRDefault="003953D6" w:rsidP="00346CBB">
            <w:pPr>
              <w:jc w:val="right"/>
            </w:pPr>
            <w:r w:rsidRPr="00346CBB">
              <w:t>70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06E233" w14:textId="77777777" w:rsidR="003953D6" w:rsidRPr="00346CBB" w:rsidRDefault="003953D6" w:rsidP="00346CBB">
            <w:pPr>
              <w:jc w:val="right"/>
            </w:pPr>
            <w:r w:rsidRPr="00346CBB">
              <w:t>726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C20BA02" w14:textId="77777777" w:rsidR="003953D6" w:rsidRPr="00346CBB" w:rsidRDefault="003953D6" w:rsidP="00346CBB">
            <w:pPr>
              <w:jc w:val="right"/>
            </w:pPr>
            <w:r w:rsidRPr="00346CBB">
              <w:t>1 071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8CC5C1" w14:textId="77777777" w:rsidR="003953D6" w:rsidRPr="00346CBB" w:rsidRDefault="003953D6" w:rsidP="00346CBB">
            <w:pPr>
              <w:jc w:val="right"/>
            </w:pPr>
            <w:r w:rsidRPr="00346CBB">
              <w:t>1 796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8B4D97" w14:textId="77777777" w:rsidR="003953D6" w:rsidRPr="00346CBB" w:rsidRDefault="003953D6" w:rsidP="00346CBB">
            <w:pPr>
              <w:jc w:val="right"/>
            </w:pPr>
            <w:r w:rsidRPr="00346CBB">
              <w:t>24 385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2C507A" w14:textId="77777777" w:rsidR="003953D6" w:rsidRPr="00346CBB" w:rsidRDefault="003953D6" w:rsidP="00346CBB">
            <w:pPr>
              <w:jc w:val="right"/>
            </w:pPr>
            <w:r w:rsidRPr="00346CBB">
              <w:t>7,4 %</w:t>
            </w:r>
          </w:p>
        </w:tc>
      </w:tr>
      <w:tr w:rsidR="00A4769D" w:rsidRPr="00346CBB" w14:paraId="33F77EB2"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AD6505" w14:textId="77777777" w:rsidR="003953D6" w:rsidRPr="00346CBB" w:rsidRDefault="003953D6" w:rsidP="00346CBB">
            <w:pPr>
              <w:pStyle w:val="TabellHode-rad"/>
            </w:pPr>
            <w:r w:rsidRPr="00346CBB">
              <w:t>2015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7094ED9" w14:textId="77777777" w:rsidR="003953D6" w:rsidRPr="00346CBB" w:rsidRDefault="003953D6" w:rsidP="00346CBB">
            <w:pPr>
              <w:jc w:val="right"/>
            </w:pPr>
            <w:r w:rsidRPr="00346CBB">
              <w:t>680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22D976" w14:textId="77777777" w:rsidR="003953D6" w:rsidRPr="00346CBB" w:rsidRDefault="003953D6" w:rsidP="00346CBB">
            <w:pPr>
              <w:jc w:val="right"/>
            </w:pPr>
            <w:r w:rsidRPr="00346CBB">
              <w:t>68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FD5CCF" w14:textId="77777777" w:rsidR="003953D6" w:rsidRPr="00346CBB" w:rsidRDefault="003953D6" w:rsidP="00346CBB">
            <w:pPr>
              <w:jc w:val="right"/>
            </w:pPr>
            <w:r w:rsidRPr="00346CBB">
              <w:t>612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DE3BFB" w14:textId="77777777" w:rsidR="003953D6" w:rsidRPr="00346CBB" w:rsidRDefault="003953D6" w:rsidP="00346CBB">
            <w:pPr>
              <w:jc w:val="right"/>
            </w:pPr>
            <w:r w:rsidRPr="00346CBB">
              <w:t>1 125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AFCA4D" w14:textId="77777777" w:rsidR="003953D6" w:rsidRPr="00346CBB" w:rsidRDefault="003953D6" w:rsidP="00346CBB">
            <w:pPr>
              <w:jc w:val="right"/>
            </w:pPr>
            <w:r w:rsidRPr="00346CBB">
              <w:t>1 737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F0B5B4" w14:textId="77777777" w:rsidR="003953D6" w:rsidRPr="00346CBB" w:rsidRDefault="003953D6" w:rsidP="00346CBB">
            <w:pPr>
              <w:jc w:val="right"/>
            </w:pPr>
            <w:r w:rsidRPr="00346CBB">
              <w:t>27 724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78A09" w14:textId="77777777" w:rsidR="003953D6" w:rsidRPr="00346CBB" w:rsidRDefault="003953D6" w:rsidP="00346CBB">
            <w:pPr>
              <w:jc w:val="right"/>
            </w:pPr>
            <w:r w:rsidRPr="00346CBB">
              <w:t>6,3 %</w:t>
            </w:r>
          </w:p>
        </w:tc>
      </w:tr>
      <w:tr w:rsidR="00A4769D" w:rsidRPr="00346CBB" w14:paraId="0FDD9ACD"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C43D38" w14:textId="77777777" w:rsidR="003953D6" w:rsidRPr="00346CBB" w:rsidRDefault="003953D6" w:rsidP="00346CBB">
            <w:pPr>
              <w:pStyle w:val="TabellHode-rad"/>
            </w:pPr>
            <w:r w:rsidRPr="00346CBB">
              <w:t>2016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6D5CEB" w14:textId="77777777" w:rsidR="003953D6" w:rsidRPr="00346CBB" w:rsidRDefault="003953D6" w:rsidP="00346CBB">
            <w:pPr>
              <w:jc w:val="right"/>
            </w:pPr>
            <w:r w:rsidRPr="00346CBB">
              <w:t>724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927978" w14:textId="77777777" w:rsidR="003953D6" w:rsidRPr="00346CBB" w:rsidRDefault="003953D6" w:rsidP="00346CBB">
            <w:pPr>
              <w:jc w:val="right"/>
            </w:pPr>
            <w:r w:rsidRPr="00346CBB">
              <w:t>105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4A98C1" w14:textId="77777777" w:rsidR="003953D6" w:rsidRPr="00346CBB" w:rsidRDefault="003953D6" w:rsidP="00346CBB">
            <w:pPr>
              <w:jc w:val="right"/>
            </w:pPr>
            <w:r w:rsidRPr="00346CBB">
              <w:t>619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D30BBE" w14:textId="77777777" w:rsidR="003953D6" w:rsidRPr="00346CBB" w:rsidRDefault="003953D6" w:rsidP="00346CBB">
            <w:pPr>
              <w:jc w:val="right"/>
            </w:pPr>
            <w:r w:rsidRPr="00346CBB">
              <w:t>1 137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763385" w14:textId="77777777" w:rsidR="003953D6" w:rsidRPr="00346CBB" w:rsidRDefault="003953D6" w:rsidP="00346CBB">
            <w:pPr>
              <w:jc w:val="right"/>
            </w:pPr>
            <w:r w:rsidRPr="00346CBB">
              <w:t>1 756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A33156" w14:textId="77777777" w:rsidR="003953D6" w:rsidRPr="00346CBB" w:rsidRDefault="003953D6" w:rsidP="00346CBB">
            <w:pPr>
              <w:jc w:val="right"/>
            </w:pPr>
            <w:r w:rsidRPr="00346CBB">
              <w:t>27 989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A876AD" w14:textId="77777777" w:rsidR="003953D6" w:rsidRPr="00346CBB" w:rsidRDefault="003953D6" w:rsidP="00346CBB">
            <w:pPr>
              <w:jc w:val="right"/>
            </w:pPr>
            <w:r w:rsidRPr="00346CBB">
              <w:t>6,3 %</w:t>
            </w:r>
          </w:p>
        </w:tc>
      </w:tr>
      <w:tr w:rsidR="00A4769D" w:rsidRPr="00346CBB" w14:paraId="515ACFDC"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38856AE" w14:textId="77777777" w:rsidR="003953D6" w:rsidRPr="00346CBB" w:rsidRDefault="003953D6" w:rsidP="00346CBB">
            <w:pPr>
              <w:pStyle w:val="TabellHode-rad"/>
            </w:pPr>
            <w:r w:rsidRPr="00346CBB">
              <w:t>2017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72317E" w14:textId="77777777" w:rsidR="003953D6" w:rsidRPr="00346CBB" w:rsidRDefault="003953D6" w:rsidP="00346CBB">
            <w:pPr>
              <w:jc w:val="right"/>
            </w:pPr>
            <w:r w:rsidRPr="00346CBB">
              <w:t>577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7E19846" w14:textId="77777777" w:rsidR="003953D6" w:rsidRPr="00346CBB" w:rsidRDefault="003953D6" w:rsidP="00346CBB">
            <w:pPr>
              <w:jc w:val="right"/>
            </w:pPr>
            <w:r w:rsidRPr="00346CBB">
              <w:t>55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9B85AE" w14:textId="77777777" w:rsidR="003953D6" w:rsidRPr="00346CBB" w:rsidRDefault="003953D6" w:rsidP="00346CBB">
            <w:pPr>
              <w:jc w:val="right"/>
            </w:pPr>
            <w:r w:rsidRPr="00346CBB">
              <w:t>522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642C4B" w14:textId="77777777" w:rsidR="003953D6" w:rsidRPr="00346CBB" w:rsidRDefault="003953D6" w:rsidP="00346CBB">
            <w:pPr>
              <w:jc w:val="right"/>
            </w:pPr>
            <w:r w:rsidRPr="00346CBB">
              <w:t>1 163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704090C" w14:textId="77777777" w:rsidR="003953D6" w:rsidRPr="00346CBB" w:rsidRDefault="003953D6" w:rsidP="00346CBB">
            <w:pPr>
              <w:jc w:val="right"/>
            </w:pPr>
            <w:r w:rsidRPr="00346CBB">
              <w:t>1 685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DBD5FE" w14:textId="77777777" w:rsidR="003953D6" w:rsidRPr="00346CBB" w:rsidRDefault="003953D6" w:rsidP="00346CBB">
            <w:pPr>
              <w:jc w:val="right"/>
            </w:pPr>
            <w:r w:rsidRPr="00346CBB">
              <w:t>27 673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AD59CC" w14:textId="77777777" w:rsidR="003953D6" w:rsidRPr="00346CBB" w:rsidRDefault="003953D6" w:rsidP="00346CBB">
            <w:pPr>
              <w:jc w:val="right"/>
            </w:pPr>
            <w:r w:rsidRPr="00346CBB">
              <w:t>6,1 %</w:t>
            </w:r>
          </w:p>
        </w:tc>
      </w:tr>
      <w:tr w:rsidR="00A4769D" w:rsidRPr="00346CBB" w14:paraId="78031D7B"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E5025D" w14:textId="77777777" w:rsidR="003953D6" w:rsidRPr="00346CBB" w:rsidRDefault="003953D6" w:rsidP="00346CBB">
            <w:pPr>
              <w:pStyle w:val="TabellHode-rad"/>
            </w:pPr>
            <w:r w:rsidRPr="00346CBB">
              <w:t>2018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9882A7" w14:textId="77777777" w:rsidR="003953D6" w:rsidRPr="00346CBB" w:rsidRDefault="003953D6" w:rsidP="00346CBB">
            <w:pPr>
              <w:jc w:val="right"/>
            </w:pPr>
            <w:r w:rsidRPr="00346CBB">
              <w:t>668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D9047B" w14:textId="77777777" w:rsidR="003953D6" w:rsidRPr="00346CBB" w:rsidRDefault="003953D6" w:rsidP="00346CBB">
            <w:pPr>
              <w:jc w:val="right"/>
            </w:pPr>
            <w:r w:rsidRPr="00346CBB">
              <w:t>66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8DA4EC" w14:textId="77777777" w:rsidR="003953D6" w:rsidRPr="00346CBB" w:rsidRDefault="003953D6" w:rsidP="00346CBB">
            <w:pPr>
              <w:jc w:val="right"/>
            </w:pPr>
            <w:r w:rsidRPr="00346CBB">
              <w:t>602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FCBB18" w14:textId="77777777" w:rsidR="003953D6" w:rsidRPr="00346CBB" w:rsidRDefault="003953D6" w:rsidP="00346CBB">
            <w:pPr>
              <w:jc w:val="right"/>
            </w:pPr>
            <w:r w:rsidRPr="00346CBB">
              <w:t>1 205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A23486" w14:textId="77777777" w:rsidR="003953D6" w:rsidRPr="00346CBB" w:rsidRDefault="003953D6" w:rsidP="00346CBB">
            <w:pPr>
              <w:jc w:val="right"/>
            </w:pPr>
            <w:r w:rsidRPr="00346CBB">
              <w:t>1 806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C5EA59" w14:textId="77777777" w:rsidR="003953D6" w:rsidRPr="00346CBB" w:rsidRDefault="003953D6" w:rsidP="00346CBB">
            <w:pPr>
              <w:jc w:val="right"/>
            </w:pPr>
            <w:r w:rsidRPr="00346CBB">
              <w:t>28 581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BC2C7A" w14:textId="77777777" w:rsidR="003953D6" w:rsidRPr="00346CBB" w:rsidRDefault="003953D6" w:rsidP="00346CBB">
            <w:pPr>
              <w:jc w:val="right"/>
            </w:pPr>
            <w:r w:rsidRPr="00346CBB">
              <w:t>6,3 %</w:t>
            </w:r>
          </w:p>
        </w:tc>
      </w:tr>
      <w:tr w:rsidR="00A4769D" w:rsidRPr="00346CBB" w14:paraId="3564E36A"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8EFDBB" w14:textId="77777777" w:rsidR="003953D6" w:rsidRPr="00346CBB" w:rsidRDefault="003953D6" w:rsidP="00346CBB">
            <w:pPr>
              <w:pStyle w:val="TabellHode-rad"/>
            </w:pPr>
            <w:r w:rsidRPr="00346CBB">
              <w:t>2019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A8C720" w14:textId="77777777" w:rsidR="003953D6" w:rsidRPr="00346CBB" w:rsidRDefault="003953D6" w:rsidP="00346CBB">
            <w:pPr>
              <w:jc w:val="right"/>
            </w:pPr>
            <w:r w:rsidRPr="00346CBB">
              <w:t>662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EBE872" w14:textId="77777777" w:rsidR="003953D6" w:rsidRPr="00346CBB" w:rsidRDefault="003953D6" w:rsidP="00346CBB">
            <w:pPr>
              <w:jc w:val="right"/>
            </w:pPr>
            <w:r w:rsidRPr="00346CBB">
              <w:t>94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04144BE" w14:textId="77777777" w:rsidR="003953D6" w:rsidRPr="00346CBB" w:rsidRDefault="003953D6" w:rsidP="00346CBB">
            <w:pPr>
              <w:jc w:val="right"/>
            </w:pPr>
            <w:r w:rsidRPr="00346CBB">
              <w:t>568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F6F302" w14:textId="77777777" w:rsidR="003953D6" w:rsidRPr="00346CBB" w:rsidRDefault="003953D6" w:rsidP="00346CBB">
            <w:pPr>
              <w:jc w:val="right"/>
            </w:pPr>
            <w:r w:rsidRPr="00346CBB">
              <w:t>1 244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D5603A" w14:textId="77777777" w:rsidR="003953D6" w:rsidRPr="00346CBB" w:rsidRDefault="003953D6" w:rsidP="00346CBB">
            <w:pPr>
              <w:jc w:val="right"/>
            </w:pPr>
            <w:r w:rsidRPr="00346CBB">
              <w:t>1 812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D97C5D" w14:textId="77777777" w:rsidR="003953D6" w:rsidRPr="00346CBB" w:rsidRDefault="003953D6" w:rsidP="00346CBB">
            <w:pPr>
              <w:jc w:val="right"/>
            </w:pPr>
            <w:r w:rsidRPr="00346CBB">
              <w:t>29 979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850030" w14:textId="77777777" w:rsidR="003953D6" w:rsidRPr="00346CBB" w:rsidRDefault="003953D6" w:rsidP="00346CBB">
            <w:pPr>
              <w:jc w:val="right"/>
            </w:pPr>
            <w:r w:rsidRPr="00346CBB">
              <w:t>6,0 %</w:t>
            </w:r>
          </w:p>
        </w:tc>
      </w:tr>
      <w:tr w:rsidR="00A4769D" w:rsidRPr="00346CBB" w14:paraId="3E2A1490"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753943" w14:textId="77777777" w:rsidR="003953D6" w:rsidRPr="00346CBB" w:rsidRDefault="003953D6" w:rsidP="00346CBB">
            <w:pPr>
              <w:pStyle w:val="TabellHode-rad"/>
            </w:pPr>
            <w:r w:rsidRPr="00346CBB">
              <w:t>2020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22C4C9" w14:textId="77777777" w:rsidR="003953D6" w:rsidRPr="00346CBB" w:rsidRDefault="003953D6" w:rsidP="00346CBB">
            <w:pPr>
              <w:jc w:val="right"/>
            </w:pPr>
            <w:r w:rsidRPr="00346CBB">
              <w:t>1 534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E44031" w14:textId="77777777" w:rsidR="003953D6" w:rsidRPr="00346CBB" w:rsidRDefault="003953D6" w:rsidP="00346CBB">
            <w:pPr>
              <w:jc w:val="right"/>
            </w:pPr>
            <w:r w:rsidRPr="00346CBB">
              <w:t>48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7F644D" w14:textId="77777777" w:rsidR="003953D6" w:rsidRPr="00346CBB" w:rsidRDefault="003953D6" w:rsidP="00346CBB">
            <w:pPr>
              <w:jc w:val="right"/>
            </w:pPr>
            <w:r w:rsidRPr="00346CBB">
              <w:t>1 486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37C946" w14:textId="77777777" w:rsidR="003953D6" w:rsidRPr="00346CBB" w:rsidRDefault="003953D6" w:rsidP="00346CBB">
            <w:pPr>
              <w:jc w:val="right"/>
            </w:pPr>
            <w:r w:rsidRPr="00346CBB">
              <w:t>1 320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313A1B" w14:textId="77777777" w:rsidR="003953D6" w:rsidRPr="00346CBB" w:rsidRDefault="003953D6" w:rsidP="00346CBB">
            <w:pPr>
              <w:jc w:val="right"/>
            </w:pPr>
            <w:r w:rsidRPr="00346CBB">
              <w:t>2 806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8ECFB5" w14:textId="77777777" w:rsidR="003953D6" w:rsidRPr="00346CBB" w:rsidRDefault="003953D6" w:rsidP="00346CBB">
            <w:pPr>
              <w:jc w:val="right"/>
            </w:pPr>
            <w:r w:rsidRPr="00346CBB">
              <w:t>31 472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C351E7" w14:textId="77777777" w:rsidR="003953D6" w:rsidRPr="00346CBB" w:rsidRDefault="003953D6" w:rsidP="00346CBB">
            <w:pPr>
              <w:jc w:val="right"/>
            </w:pPr>
            <w:r w:rsidRPr="00346CBB">
              <w:t>8,9 %</w:t>
            </w:r>
          </w:p>
        </w:tc>
      </w:tr>
      <w:tr w:rsidR="00A4769D" w:rsidRPr="00346CBB" w14:paraId="79AD04B6"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F63A5B6" w14:textId="77777777" w:rsidR="003953D6" w:rsidRPr="00346CBB" w:rsidRDefault="003953D6" w:rsidP="00346CBB">
            <w:pPr>
              <w:pStyle w:val="TabellHode-rad"/>
            </w:pPr>
            <w:r w:rsidRPr="00346CBB">
              <w:t>2021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D9294E" w14:textId="77777777" w:rsidR="003953D6" w:rsidRPr="00346CBB" w:rsidRDefault="003953D6" w:rsidP="00346CBB">
            <w:pPr>
              <w:jc w:val="right"/>
            </w:pPr>
            <w:r w:rsidRPr="00346CBB">
              <w:t>845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128EA6" w14:textId="77777777" w:rsidR="003953D6" w:rsidRPr="00346CBB" w:rsidRDefault="003953D6" w:rsidP="00346CBB">
            <w:pPr>
              <w:jc w:val="right"/>
            </w:pPr>
            <w:r w:rsidRPr="00346CBB">
              <w:t>40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F72CB3" w14:textId="77777777" w:rsidR="003953D6" w:rsidRPr="00346CBB" w:rsidRDefault="003953D6" w:rsidP="00346CBB">
            <w:pPr>
              <w:jc w:val="right"/>
            </w:pPr>
            <w:r w:rsidRPr="00346CBB">
              <w:t>804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7ACA48" w14:textId="77777777" w:rsidR="003953D6" w:rsidRPr="00346CBB" w:rsidRDefault="003953D6" w:rsidP="00346CBB">
            <w:pPr>
              <w:jc w:val="right"/>
            </w:pPr>
            <w:r w:rsidRPr="00346CBB">
              <w:t>1 301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AF24B7" w14:textId="77777777" w:rsidR="003953D6" w:rsidRPr="00346CBB" w:rsidRDefault="003953D6" w:rsidP="00346CBB">
            <w:pPr>
              <w:jc w:val="right"/>
            </w:pPr>
            <w:r w:rsidRPr="00346CBB">
              <w:t>2 105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206449" w14:textId="77777777" w:rsidR="003953D6" w:rsidRPr="00346CBB" w:rsidRDefault="003953D6" w:rsidP="00346CBB">
            <w:pPr>
              <w:jc w:val="right"/>
            </w:pPr>
            <w:r w:rsidRPr="00346CBB">
              <w:t>33 697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5B41C42" w14:textId="77777777" w:rsidR="003953D6" w:rsidRPr="00346CBB" w:rsidRDefault="003953D6" w:rsidP="00346CBB">
            <w:pPr>
              <w:jc w:val="right"/>
            </w:pPr>
            <w:r w:rsidRPr="00346CBB">
              <w:t>6,2 %</w:t>
            </w:r>
          </w:p>
        </w:tc>
      </w:tr>
      <w:tr w:rsidR="00A4769D" w:rsidRPr="00346CBB" w14:paraId="350E7D92"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9ABA2B" w14:textId="77777777" w:rsidR="003953D6" w:rsidRPr="00346CBB" w:rsidRDefault="003953D6" w:rsidP="00346CBB">
            <w:pPr>
              <w:pStyle w:val="TabellHode-rad"/>
            </w:pPr>
            <w:r w:rsidRPr="00346CBB">
              <w:t>2022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E4EDCC" w14:textId="77777777" w:rsidR="003953D6" w:rsidRPr="00346CBB" w:rsidRDefault="003953D6" w:rsidP="00346CBB">
            <w:pPr>
              <w:jc w:val="right"/>
            </w:pPr>
            <w:r w:rsidRPr="00346CBB">
              <w:t>416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836D6B" w14:textId="77777777" w:rsidR="003953D6" w:rsidRPr="00346CBB" w:rsidRDefault="003953D6" w:rsidP="00346CBB">
            <w:pPr>
              <w:jc w:val="right"/>
            </w:pPr>
            <w:r w:rsidRPr="00346CBB">
              <w:t>68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09988E" w14:textId="77777777" w:rsidR="003953D6" w:rsidRPr="00346CBB" w:rsidRDefault="003953D6" w:rsidP="00346CBB">
            <w:pPr>
              <w:jc w:val="right"/>
            </w:pPr>
            <w:r w:rsidRPr="00346CBB">
              <w:t>349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42E74FF" w14:textId="77777777" w:rsidR="003953D6" w:rsidRPr="00346CBB" w:rsidRDefault="003953D6" w:rsidP="00346CBB">
            <w:pPr>
              <w:jc w:val="right"/>
            </w:pPr>
            <w:r w:rsidRPr="00346CBB">
              <w:t>1 429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4B4CC1" w14:textId="77777777" w:rsidR="003953D6" w:rsidRPr="00346CBB" w:rsidRDefault="003953D6" w:rsidP="00346CBB">
            <w:pPr>
              <w:jc w:val="right"/>
            </w:pPr>
            <w:r w:rsidRPr="00346CBB">
              <w:t>1 778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CC542B" w14:textId="77777777" w:rsidR="003953D6" w:rsidRPr="00346CBB" w:rsidRDefault="003953D6" w:rsidP="00346CBB">
            <w:pPr>
              <w:jc w:val="right"/>
            </w:pPr>
            <w:r w:rsidRPr="00346CBB">
              <w:t>35 597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DC5B71C" w14:textId="77777777" w:rsidR="003953D6" w:rsidRPr="00346CBB" w:rsidRDefault="003953D6" w:rsidP="00346CBB">
            <w:pPr>
              <w:jc w:val="right"/>
            </w:pPr>
            <w:r w:rsidRPr="00346CBB">
              <w:t>5,0 %</w:t>
            </w:r>
          </w:p>
        </w:tc>
      </w:tr>
      <w:tr w:rsidR="00A4769D" w:rsidRPr="00346CBB" w14:paraId="4A92653D"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F4200F" w14:textId="77777777" w:rsidR="003953D6" w:rsidRPr="00346CBB" w:rsidRDefault="003953D6" w:rsidP="00346CBB">
            <w:pPr>
              <w:pStyle w:val="TabellHode-rad"/>
            </w:pPr>
            <w:r w:rsidRPr="00346CBB">
              <w:t>2023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7EA702" w14:textId="77777777" w:rsidR="003953D6" w:rsidRPr="00346CBB" w:rsidRDefault="003953D6" w:rsidP="00346CBB">
            <w:pPr>
              <w:jc w:val="right"/>
            </w:pPr>
            <w:r w:rsidRPr="00346CBB">
              <w:t>317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D9BD1D" w14:textId="77777777" w:rsidR="003953D6" w:rsidRPr="00346CBB" w:rsidRDefault="003953D6" w:rsidP="00346CBB">
            <w:pPr>
              <w:jc w:val="right"/>
            </w:pPr>
            <w:r w:rsidRPr="00346CBB">
              <w:t>109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38BCA8" w14:textId="77777777" w:rsidR="003953D6" w:rsidRPr="00346CBB" w:rsidRDefault="003953D6" w:rsidP="00346CBB">
            <w:pPr>
              <w:jc w:val="right"/>
            </w:pPr>
            <w:r w:rsidRPr="00346CBB">
              <w:t>208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AA3893" w14:textId="77777777" w:rsidR="003953D6" w:rsidRPr="00346CBB" w:rsidRDefault="003953D6" w:rsidP="00346CBB">
            <w:pPr>
              <w:jc w:val="right"/>
            </w:pPr>
            <w:r w:rsidRPr="00346CBB">
              <w:t>1 506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491414" w14:textId="77777777" w:rsidR="003953D6" w:rsidRPr="00346CBB" w:rsidRDefault="003953D6" w:rsidP="00346CBB">
            <w:pPr>
              <w:jc w:val="right"/>
            </w:pPr>
            <w:r w:rsidRPr="00346CBB">
              <w:t>1 714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941157" w14:textId="77777777" w:rsidR="003953D6" w:rsidRPr="00346CBB" w:rsidRDefault="003953D6" w:rsidP="00346CBB">
            <w:pPr>
              <w:jc w:val="right"/>
            </w:pPr>
            <w:r w:rsidRPr="00346CBB">
              <w:t>37 366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6A1AC8" w14:textId="77777777" w:rsidR="003953D6" w:rsidRPr="00346CBB" w:rsidRDefault="003953D6" w:rsidP="00346CBB">
            <w:pPr>
              <w:jc w:val="right"/>
            </w:pPr>
            <w:r w:rsidRPr="00346CBB">
              <w:t>4,6 %</w:t>
            </w:r>
          </w:p>
        </w:tc>
      </w:tr>
      <w:tr w:rsidR="00A4769D" w:rsidRPr="00346CBB" w14:paraId="3447BAC0"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42B54A" w14:textId="77777777" w:rsidR="003953D6" w:rsidRPr="00346CBB" w:rsidRDefault="003953D6" w:rsidP="00346CBB">
            <w:pPr>
              <w:pStyle w:val="TabellHode-rad"/>
            </w:pPr>
            <w:r w:rsidRPr="00346CBB">
              <w:t>2024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31D9CF" w14:textId="77777777" w:rsidR="003953D6" w:rsidRPr="00346CBB" w:rsidRDefault="003953D6" w:rsidP="00346CBB">
            <w:pPr>
              <w:jc w:val="right"/>
            </w:pPr>
            <w:r w:rsidRPr="00346CBB">
              <w:t>903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7DB2D8" w14:textId="77777777" w:rsidR="003953D6" w:rsidRPr="00346CBB" w:rsidRDefault="003953D6" w:rsidP="00346CBB">
            <w:pPr>
              <w:jc w:val="right"/>
            </w:pPr>
            <w:r w:rsidRPr="00346CBB">
              <w:t>-43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42B75F" w14:textId="77777777" w:rsidR="003953D6" w:rsidRPr="00346CBB" w:rsidRDefault="003953D6" w:rsidP="00346CBB">
            <w:pPr>
              <w:jc w:val="right"/>
            </w:pPr>
            <w:r w:rsidRPr="00346CBB">
              <w:t>946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81AC7A" w14:textId="77777777" w:rsidR="003953D6" w:rsidRPr="00346CBB" w:rsidRDefault="003953D6" w:rsidP="00346CBB">
            <w:pPr>
              <w:jc w:val="right"/>
            </w:pPr>
            <w:r w:rsidRPr="00346CBB">
              <w:t>1 682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C28C8D" w14:textId="77777777" w:rsidR="003953D6" w:rsidRPr="00346CBB" w:rsidRDefault="003953D6" w:rsidP="00346CBB">
            <w:pPr>
              <w:jc w:val="right"/>
            </w:pPr>
            <w:r w:rsidRPr="00346CBB">
              <w:t>2 628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96DAF5" w14:textId="77777777" w:rsidR="003953D6" w:rsidRPr="00346CBB" w:rsidRDefault="003953D6" w:rsidP="00346CBB">
            <w:pPr>
              <w:jc w:val="right"/>
            </w:pPr>
            <w:r w:rsidRPr="00346CBB">
              <w:t>40 622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5ACBC3" w14:textId="77777777" w:rsidR="003953D6" w:rsidRPr="00346CBB" w:rsidRDefault="003953D6" w:rsidP="00346CBB">
            <w:pPr>
              <w:jc w:val="right"/>
            </w:pPr>
            <w:r w:rsidRPr="00346CBB">
              <w:t>6,5 %</w:t>
            </w:r>
          </w:p>
        </w:tc>
      </w:tr>
      <w:tr w:rsidR="00A4769D" w:rsidRPr="00346CBB" w14:paraId="4AFEAA09"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D43975" w14:textId="77777777" w:rsidR="003953D6" w:rsidRPr="00346CBB" w:rsidRDefault="003953D6" w:rsidP="00346CBB">
            <w:pPr>
              <w:pStyle w:val="TabellHode-rad"/>
            </w:pPr>
            <w:r w:rsidRPr="00346CBB">
              <w:t>B2025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AD11F2" w14:textId="77777777" w:rsidR="003953D6" w:rsidRPr="00346CBB" w:rsidRDefault="003953D6" w:rsidP="00346CBB">
            <w:pPr>
              <w:jc w:val="right"/>
            </w:pPr>
            <w:r w:rsidRPr="00346CBB">
              <w:t>511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9665F5" w14:textId="77777777" w:rsidR="003953D6" w:rsidRPr="00346CBB" w:rsidRDefault="003953D6" w:rsidP="00346CBB">
            <w:pPr>
              <w:jc w:val="right"/>
            </w:pPr>
            <w:r w:rsidRPr="00346CBB">
              <w:t>-419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D210FE" w14:textId="77777777" w:rsidR="003953D6" w:rsidRPr="00346CBB" w:rsidRDefault="003953D6" w:rsidP="00346CBB">
            <w:pPr>
              <w:jc w:val="right"/>
            </w:pPr>
            <w:r w:rsidRPr="00346CBB">
              <w:t>930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E2A177" w14:textId="77777777" w:rsidR="003953D6" w:rsidRPr="00346CBB" w:rsidRDefault="003953D6" w:rsidP="00346CBB">
            <w:pPr>
              <w:jc w:val="right"/>
            </w:pPr>
            <w:r w:rsidRPr="00346CBB">
              <w:t>1 932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591241" w14:textId="77777777" w:rsidR="003953D6" w:rsidRPr="00346CBB" w:rsidRDefault="003953D6" w:rsidP="00346CBB">
            <w:pPr>
              <w:jc w:val="right"/>
            </w:pPr>
            <w:r w:rsidRPr="00346CBB">
              <w:t>2 863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21E3CC3" w14:textId="77777777" w:rsidR="003953D6" w:rsidRPr="00346CBB" w:rsidRDefault="003953D6" w:rsidP="00346CBB">
            <w:pPr>
              <w:jc w:val="right"/>
            </w:pPr>
            <w:r w:rsidRPr="00346CBB">
              <w:t>42 406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0DF1B5" w14:textId="77777777" w:rsidR="003953D6" w:rsidRPr="00346CBB" w:rsidRDefault="003953D6" w:rsidP="00346CBB">
            <w:pPr>
              <w:jc w:val="right"/>
            </w:pPr>
            <w:r w:rsidRPr="00346CBB">
              <w:t>6,8 %</w:t>
            </w:r>
          </w:p>
        </w:tc>
      </w:tr>
    </w:tbl>
    <w:p w14:paraId="26CDE9B9" w14:textId="77777777" w:rsidR="003953D6" w:rsidRPr="00346CBB" w:rsidRDefault="003953D6" w:rsidP="00346CBB"/>
    <w:tbl>
      <w:tblPr>
        <w:tblW w:w="5000" w:type="pct"/>
        <w:tblCellMar>
          <w:left w:w="0" w:type="dxa"/>
          <w:right w:w="0" w:type="dxa"/>
        </w:tblCellMar>
        <w:tblLook w:val="0000" w:firstRow="0" w:lastRow="0" w:firstColumn="0" w:lastColumn="0" w:noHBand="0" w:noVBand="0"/>
      </w:tblPr>
      <w:tblGrid>
        <w:gridCol w:w="1026"/>
        <w:gridCol w:w="1026"/>
        <w:gridCol w:w="1027"/>
        <w:gridCol w:w="1027"/>
        <w:gridCol w:w="1027"/>
        <w:gridCol w:w="1027"/>
        <w:gridCol w:w="1027"/>
        <w:gridCol w:w="1027"/>
      </w:tblGrid>
      <w:tr w:rsidR="00A4769D" w:rsidRPr="00346CBB" w14:paraId="38EA3B16" w14:textId="77777777" w:rsidTr="00C9271A">
        <w:trPr>
          <w:trHeight w:val="60"/>
          <w:tblHeader/>
        </w:trPr>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48C1880" w14:textId="77777777" w:rsidR="003953D6" w:rsidRPr="00346CBB" w:rsidRDefault="003953D6" w:rsidP="00C9271A">
            <w:pPr>
              <w:pStyle w:val="TabellHode-kolonne"/>
            </w:pPr>
            <w:r w:rsidRPr="00346CBB">
              <w:lastRenderedPageBreak/>
              <w:t>Helse Midt-Norge</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D94CC7A" w14:textId="77777777" w:rsidR="003953D6" w:rsidRPr="00346CBB" w:rsidRDefault="003953D6" w:rsidP="00C9271A">
            <w:pPr>
              <w:pStyle w:val="TabellHode-kolonne"/>
              <w:jc w:val="right"/>
            </w:pPr>
            <w:r w:rsidRPr="00346CBB">
              <w:t>Resultat</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0754653" w14:textId="77777777" w:rsidR="003953D6" w:rsidRPr="00346CBB" w:rsidRDefault="003953D6" w:rsidP="00C9271A">
            <w:pPr>
              <w:pStyle w:val="TabellHode-kolonne"/>
              <w:jc w:val="right"/>
            </w:pPr>
            <w:r w:rsidRPr="00346CBB">
              <w:t>Netto finans</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E17CE79" w14:textId="6F3A681A" w:rsidR="003953D6" w:rsidRPr="00346CBB" w:rsidRDefault="003953D6" w:rsidP="00C9271A">
            <w:pPr>
              <w:pStyle w:val="TabellHode-kolonne"/>
              <w:jc w:val="right"/>
            </w:pPr>
            <w:r w:rsidRPr="00346CBB">
              <w:t>Driftsresultat</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258B626" w14:textId="77777777" w:rsidR="003953D6" w:rsidRPr="00346CBB" w:rsidRDefault="003953D6" w:rsidP="00C9271A">
            <w:pPr>
              <w:pStyle w:val="TabellHode-kolonne"/>
              <w:jc w:val="right"/>
            </w:pPr>
            <w:r w:rsidRPr="00346CBB">
              <w:t>Avskrivninger</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050A080" w14:textId="2EB89872" w:rsidR="003953D6" w:rsidRPr="00346CBB" w:rsidRDefault="003953D6" w:rsidP="00C9271A">
            <w:pPr>
              <w:pStyle w:val="TabellHode-kolonne"/>
              <w:jc w:val="right"/>
            </w:pPr>
            <w:r w:rsidRPr="00346CBB">
              <w:t>Driftsresultat før avskrivninger i løpende priser</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02A4065" w14:textId="77777777" w:rsidR="003953D6" w:rsidRPr="00346CBB" w:rsidRDefault="003953D6" w:rsidP="00C9271A">
            <w:pPr>
              <w:pStyle w:val="TabellHode-kolonne"/>
              <w:jc w:val="right"/>
            </w:pPr>
            <w:r w:rsidRPr="00346CBB">
              <w:t>Omsetning</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3FF519C4" w14:textId="7ABD0F93" w:rsidR="003953D6" w:rsidRPr="00346CBB" w:rsidRDefault="003953D6" w:rsidP="00C9271A">
            <w:pPr>
              <w:pStyle w:val="TabellHode-kolonne"/>
              <w:jc w:val="right"/>
            </w:pPr>
            <w:r w:rsidRPr="00346CBB">
              <w:t>Driftsresultat før avskrivninger i pst. av omsetning</w:t>
            </w:r>
          </w:p>
        </w:tc>
      </w:tr>
      <w:tr w:rsidR="00A4769D" w:rsidRPr="00346CBB" w14:paraId="44C326C0"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CE98E64" w14:textId="77777777" w:rsidR="003953D6" w:rsidRPr="00346CBB" w:rsidRDefault="003953D6" w:rsidP="00346CBB">
            <w:pPr>
              <w:pStyle w:val="TabellHode-rad"/>
            </w:pPr>
            <w:r w:rsidRPr="00346CBB">
              <w:t>2014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7084C2B" w14:textId="77777777" w:rsidR="003953D6" w:rsidRPr="00346CBB" w:rsidRDefault="003953D6" w:rsidP="00346CBB">
            <w:pPr>
              <w:jc w:val="right"/>
            </w:pPr>
            <w:r w:rsidRPr="00346CBB">
              <w:t>802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5F1685" w14:textId="77777777" w:rsidR="003953D6" w:rsidRPr="00346CBB" w:rsidRDefault="003953D6" w:rsidP="00346CBB">
            <w:pPr>
              <w:jc w:val="right"/>
            </w:pPr>
            <w:r w:rsidRPr="00346CBB">
              <w:t>-53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EF9A66" w14:textId="77777777" w:rsidR="003953D6" w:rsidRPr="00346CBB" w:rsidRDefault="003953D6" w:rsidP="00346CBB">
            <w:pPr>
              <w:jc w:val="right"/>
            </w:pPr>
            <w:r w:rsidRPr="00346CBB">
              <w:t>855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0309BA" w14:textId="77777777" w:rsidR="003953D6" w:rsidRPr="00346CBB" w:rsidRDefault="003953D6" w:rsidP="00346CBB">
            <w:pPr>
              <w:jc w:val="right"/>
            </w:pPr>
            <w:r w:rsidRPr="00346CBB">
              <w:t>918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991A22" w14:textId="77777777" w:rsidR="003953D6" w:rsidRPr="00346CBB" w:rsidRDefault="003953D6" w:rsidP="00346CBB">
            <w:pPr>
              <w:jc w:val="right"/>
            </w:pPr>
            <w:r w:rsidRPr="00346CBB">
              <w:t>1 773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8C63F7" w14:textId="77777777" w:rsidR="003953D6" w:rsidRPr="00346CBB" w:rsidRDefault="003953D6" w:rsidP="00346CBB">
            <w:pPr>
              <w:jc w:val="right"/>
            </w:pPr>
            <w:r w:rsidRPr="00346CBB">
              <w:t>18 799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E3DDDC" w14:textId="77777777" w:rsidR="003953D6" w:rsidRPr="00346CBB" w:rsidRDefault="003953D6" w:rsidP="00346CBB">
            <w:pPr>
              <w:jc w:val="right"/>
            </w:pPr>
            <w:r w:rsidRPr="00346CBB">
              <w:t>9,4 %</w:t>
            </w:r>
          </w:p>
        </w:tc>
      </w:tr>
      <w:tr w:rsidR="00A4769D" w:rsidRPr="00346CBB" w14:paraId="2646F9F5"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B267D3" w14:textId="77777777" w:rsidR="003953D6" w:rsidRPr="00346CBB" w:rsidRDefault="003953D6" w:rsidP="00346CBB">
            <w:pPr>
              <w:pStyle w:val="TabellHode-rad"/>
            </w:pPr>
            <w:r w:rsidRPr="00346CBB">
              <w:t>2015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45B57D" w14:textId="77777777" w:rsidR="003953D6" w:rsidRPr="00346CBB" w:rsidRDefault="003953D6" w:rsidP="00346CBB">
            <w:pPr>
              <w:jc w:val="right"/>
            </w:pPr>
            <w:r w:rsidRPr="00346CBB">
              <w:t>393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5039DA" w14:textId="77777777" w:rsidR="003953D6" w:rsidRPr="00346CBB" w:rsidRDefault="003953D6" w:rsidP="00346CBB">
            <w:pPr>
              <w:jc w:val="right"/>
            </w:pPr>
            <w:r w:rsidRPr="00346CBB">
              <w:t>-49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C837EF" w14:textId="77777777" w:rsidR="003953D6" w:rsidRPr="00346CBB" w:rsidRDefault="003953D6" w:rsidP="00346CBB">
            <w:pPr>
              <w:jc w:val="right"/>
            </w:pPr>
            <w:r w:rsidRPr="00346CBB">
              <w:t>442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16C090" w14:textId="77777777" w:rsidR="003953D6" w:rsidRPr="00346CBB" w:rsidRDefault="003953D6" w:rsidP="00346CBB">
            <w:pPr>
              <w:jc w:val="right"/>
            </w:pPr>
            <w:r w:rsidRPr="00346CBB">
              <w:t>887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E62E01" w14:textId="77777777" w:rsidR="003953D6" w:rsidRPr="00346CBB" w:rsidRDefault="003953D6" w:rsidP="00346CBB">
            <w:pPr>
              <w:jc w:val="right"/>
            </w:pPr>
            <w:r w:rsidRPr="00346CBB">
              <w:t>1 329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97FA019" w14:textId="77777777" w:rsidR="003953D6" w:rsidRPr="00346CBB" w:rsidRDefault="003953D6" w:rsidP="00346CBB">
            <w:pPr>
              <w:jc w:val="right"/>
            </w:pPr>
            <w:r w:rsidRPr="00346CBB">
              <w:t>21 080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2DC0B6" w14:textId="77777777" w:rsidR="003953D6" w:rsidRPr="00346CBB" w:rsidRDefault="003953D6" w:rsidP="00346CBB">
            <w:pPr>
              <w:jc w:val="right"/>
            </w:pPr>
            <w:r w:rsidRPr="00346CBB">
              <w:t>6,3 %</w:t>
            </w:r>
          </w:p>
        </w:tc>
      </w:tr>
      <w:tr w:rsidR="00A4769D" w:rsidRPr="00346CBB" w14:paraId="4031CF85"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EFFEF4" w14:textId="77777777" w:rsidR="003953D6" w:rsidRPr="00346CBB" w:rsidRDefault="003953D6" w:rsidP="00346CBB">
            <w:pPr>
              <w:pStyle w:val="TabellHode-rad"/>
            </w:pPr>
            <w:r w:rsidRPr="00346CBB">
              <w:t>2016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148D0B" w14:textId="77777777" w:rsidR="003953D6" w:rsidRPr="00346CBB" w:rsidRDefault="003953D6" w:rsidP="00346CBB">
            <w:pPr>
              <w:jc w:val="right"/>
            </w:pPr>
            <w:r w:rsidRPr="00346CBB">
              <w:t>364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738D86" w14:textId="77777777" w:rsidR="003953D6" w:rsidRPr="00346CBB" w:rsidRDefault="003953D6" w:rsidP="00346CBB">
            <w:pPr>
              <w:jc w:val="right"/>
            </w:pPr>
            <w:r w:rsidRPr="00346CBB">
              <w:t>-17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09462A" w14:textId="77777777" w:rsidR="003953D6" w:rsidRPr="00346CBB" w:rsidRDefault="003953D6" w:rsidP="00346CBB">
            <w:pPr>
              <w:jc w:val="right"/>
            </w:pPr>
            <w:r w:rsidRPr="00346CBB">
              <w:t>381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D59617" w14:textId="77777777" w:rsidR="003953D6" w:rsidRPr="00346CBB" w:rsidRDefault="003953D6" w:rsidP="00346CBB">
            <w:pPr>
              <w:jc w:val="right"/>
            </w:pPr>
            <w:r w:rsidRPr="00346CBB">
              <w:t>928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EBF294" w14:textId="77777777" w:rsidR="003953D6" w:rsidRPr="00346CBB" w:rsidRDefault="003953D6" w:rsidP="00346CBB">
            <w:pPr>
              <w:jc w:val="right"/>
            </w:pPr>
            <w:r w:rsidRPr="00346CBB">
              <w:t>1 309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C60C47" w14:textId="77777777" w:rsidR="003953D6" w:rsidRPr="00346CBB" w:rsidRDefault="003953D6" w:rsidP="00346CBB">
            <w:pPr>
              <w:jc w:val="right"/>
            </w:pPr>
            <w:r w:rsidRPr="00346CBB">
              <w:t>21 264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D1EB03" w14:textId="77777777" w:rsidR="003953D6" w:rsidRPr="00346CBB" w:rsidRDefault="003953D6" w:rsidP="00346CBB">
            <w:pPr>
              <w:jc w:val="right"/>
            </w:pPr>
            <w:r w:rsidRPr="00346CBB">
              <w:t>6,2 %</w:t>
            </w:r>
          </w:p>
        </w:tc>
      </w:tr>
      <w:tr w:rsidR="00A4769D" w:rsidRPr="00346CBB" w14:paraId="48697619"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F2FDDA" w14:textId="77777777" w:rsidR="003953D6" w:rsidRPr="00346CBB" w:rsidRDefault="003953D6" w:rsidP="00346CBB">
            <w:pPr>
              <w:pStyle w:val="TabellHode-rad"/>
            </w:pPr>
            <w:r w:rsidRPr="00346CBB">
              <w:t>2017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017A8B" w14:textId="77777777" w:rsidR="003953D6" w:rsidRPr="00346CBB" w:rsidRDefault="003953D6" w:rsidP="00346CBB">
            <w:pPr>
              <w:jc w:val="right"/>
            </w:pPr>
            <w:r w:rsidRPr="00346CBB">
              <w:t>307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C72B58" w14:textId="77777777" w:rsidR="003953D6" w:rsidRPr="00346CBB" w:rsidRDefault="003953D6" w:rsidP="00346CBB">
            <w:pPr>
              <w:jc w:val="right"/>
            </w:pPr>
            <w:r w:rsidRPr="00346CBB">
              <w:t>-36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D6AAC2" w14:textId="77777777" w:rsidR="003953D6" w:rsidRPr="00346CBB" w:rsidRDefault="003953D6" w:rsidP="00346CBB">
            <w:pPr>
              <w:jc w:val="right"/>
            </w:pPr>
            <w:r w:rsidRPr="00346CBB">
              <w:t>343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2619B81" w14:textId="77777777" w:rsidR="003953D6" w:rsidRPr="00346CBB" w:rsidRDefault="003953D6" w:rsidP="00346CBB">
            <w:pPr>
              <w:jc w:val="right"/>
            </w:pPr>
            <w:r w:rsidRPr="00346CBB">
              <w:t>916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97AB8F" w14:textId="77777777" w:rsidR="003953D6" w:rsidRPr="00346CBB" w:rsidRDefault="003953D6" w:rsidP="00346CBB">
            <w:pPr>
              <w:jc w:val="right"/>
            </w:pPr>
            <w:r w:rsidRPr="00346CBB">
              <w:t>1 259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9D64FD" w14:textId="77777777" w:rsidR="003953D6" w:rsidRPr="00346CBB" w:rsidRDefault="003953D6" w:rsidP="00346CBB">
            <w:pPr>
              <w:jc w:val="right"/>
            </w:pPr>
            <w:r w:rsidRPr="00346CBB">
              <w:t>20 972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382829" w14:textId="77777777" w:rsidR="003953D6" w:rsidRPr="00346CBB" w:rsidRDefault="003953D6" w:rsidP="00346CBB">
            <w:pPr>
              <w:jc w:val="right"/>
            </w:pPr>
            <w:r w:rsidRPr="00346CBB">
              <w:t>6,0 %</w:t>
            </w:r>
          </w:p>
        </w:tc>
      </w:tr>
      <w:tr w:rsidR="00A4769D" w:rsidRPr="00346CBB" w14:paraId="3A63D6D3"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0E488AF" w14:textId="77777777" w:rsidR="003953D6" w:rsidRPr="00346CBB" w:rsidRDefault="003953D6" w:rsidP="00346CBB">
            <w:pPr>
              <w:pStyle w:val="TabellHode-rad"/>
            </w:pPr>
            <w:r w:rsidRPr="00346CBB">
              <w:t>2018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5C4EC2" w14:textId="77777777" w:rsidR="003953D6" w:rsidRPr="00346CBB" w:rsidRDefault="003953D6" w:rsidP="00346CBB">
            <w:pPr>
              <w:jc w:val="right"/>
            </w:pPr>
            <w:r w:rsidRPr="00346CBB">
              <w:t>602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463042" w14:textId="77777777" w:rsidR="003953D6" w:rsidRPr="00346CBB" w:rsidRDefault="003953D6" w:rsidP="00346CBB">
            <w:pPr>
              <w:jc w:val="right"/>
            </w:pPr>
            <w:r w:rsidRPr="00346CBB">
              <w:t>-16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B62E44" w14:textId="77777777" w:rsidR="003953D6" w:rsidRPr="00346CBB" w:rsidRDefault="003953D6" w:rsidP="00346CBB">
            <w:pPr>
              <w:jc w:val="right"/>
            </w:pPr>
            <w:r w:rsidRPr="00346CBB">
              <w:t>618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D19BBD2" w14:textId="77777777" w:rsidR="003953D6" w:rsidRPr="00346CBB" w:rsidRDefault="003953D6" w:rsidP="00346CBB">
            <w:pPr>
              <w:jc w:val="right"/>
            </w:pPr>
            <w:r w:rsidRPr="00346CBB">
              <w:t>911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474E52" w14:textId="77777777" w:rsidR="003953D6" w:rsidRPr="00346CBB" w:rsidRDefault="003953D6" w:rsidP="00346CBB">
            <w:pPr>
              <w:jc w:val="right"/>
            </w:pPr>
            <w:r w:rsidRPr="00346CBB">
              <w:t>1 529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9449F9" w14:textId="77777777" w:rsidR="003953D6" w:rsidRPr="00346CBB" w:rsidRDefault="003953D6" w:rsidP="00346CBB">
            <w:pPr>
              <w:jc w:val="right"/>
            </w:pPr>
            <w:r w:rsidRPr="00346CBB">
              <w:t>21 908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CE6B968" w14:textId="77777777" w:rsidR="003953D6" w:rsidRPr="00346CBB" w:rsidRDefault="003953D6" w:rsidP="00346CBB">
            <w:pPr>
              <w:jc w:val="right"/>
            </w:pPr>
            <w:r w:rsidRPr="00346CBB">
              <w:t>7,0 %</w:t>
            </w:r>
          </w:p>
        </w:tc>
      </w:tr>
      <w:tr w:rsidR="00A4769D" w:rsidRPr="00346CBB" w14:paraId="3D3A0A82"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3522DD" w14:textId="77777777" w:rsidR="003953D6" w:rsidRPr="00346CBB" w:rsidRDefault="003953D6" w:rsidP="00346CBB">
            <w:pPr>
              <w:pStyle w:val="TabellHode-rad"/>
            </w:pPr>
            <w:r w:rsidRPr="00346CBB">
              <w:t>2019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873354" w14:textId="77777777" w:rsidR="003953D6" w:rsidRPr="00346CBB" w:rsidRDefault="003953D6" w:rsidP="00346CBB">
            <w:pPr>
              <w:jc w:val="right"/>
            </w:pPr>
            <w:r w:rsidRPr="00346CBB">
              <w:t>530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5C8FC74" w14:textId="77777777" w:rsidR="003953D6" w:rsidRPr="00346CBB" w:rsidRDefault="003953D6" w:rsidP="00346CBB">
            <w:pPr>
              <w:jc w:val="right"/>
            </w:pPr>
            <w:r w:rsidRPr="00346CBB">
              <w:t>15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89A6F1" w14:textId="77777777" w:rsidR="003953D6" w:rsidRPr="00346CBB" w:rsidRDefault="003953D6" w:rsidP="00346CBB">
            <w:pPr>
              <w:jc w:val="right"/>
            </w:pPr>
            <w:r w:rsidRPr="00346CBB">
              <w:t>515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D612E3" w14:textId="77777777" w:rsidR="003953D6" w:rsidRPr="00346CBB" w:rsidRDefault="003953D6" w:rsidP="00346CBB">
            <w:pPr>
              <w:jc w:val="right"/>
            </w:pPr>
            <w:r w:rsidRPr="00346CBB">
              <w:t>914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89F762A" w14:textId="77777777" w:rsidR="003953D6" w:rsidRPr="00346CBB" w:rsidRDefault="003953D6" w:rsidP="00346CBB">
            <w:pPr>
              <w:jc w:val="right"/>
            </w:pPr>
            <w:r w:rsidRPr="00346CBB">
              <w:t>1 429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851216" w14:textId="77777777" w:rsidR="003953D6" w:rsidRPr="00346CBB" w:rsidRDefault="003953D6" w:rsidP="00346CBB">
            <w:pPr>
              <w:jc w:val="right"/>
            </w:pPr>
            <w:r w:rsidRPr="00346CBB">
              <w:t>22 945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138DF7" w14:textId="77777777" w:rsidR="003953D6" w:rsidRPr="00346CBB" w:rsidRDefault="003953D6" w:rsidP="00346CBB">
            <w:pPr>
              <w:jc w:val="right"/>
            </w:pPr>
            <w:r w:rsidRPr="00346CBB">
              <w:t>6,2 %</w:t>
            </w:r>
          </w:p>
        </w:tc>
      </w:tr>
      <w:tr w:rsidR="00A4769D" w:rsidRPr="00346CBB" w14:paraId="6B6C886D"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B1E588" w14:textId="77777777" w:rsidR="003953D6" w:rsidRPr="00346CBB" w:rsidRDefault="003953D6" w:rsidP="00346CBB">
            <w:pPr>
              <w:pStyle w:val="TabellHode-rad"/>
            </w:pPr>
            <w:r w:rsidRPr="00346CBB">
              <w:t>2020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BF771D" w14:textId="77777777" w:rsidR="003953D6" w:rsidRPr="00346CBB" w:rsidRDefault="003953D6" w:rsidP="00346CBB">
            <w:pPr>
              <w:jc w:val="right"/>
            </w:pPr>
            <w:r w:rsidRPr="00346CBB">
              <w:t>1 523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494BCE" w14:textId="77777777" w:rsidR="003953D6" w:rsidRPr="00346CBB" w:rsidRDefault="003953D6" w:rsidP="00346CBB">
            <w:pPr>
              <w:jc w:val="right"/>
            </w:pPr>
            <w:r w:rsidRPr="00346CBB">
              <w:t>22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EE077D" w14:textId="77777777" w:rsidR="003953D6" w:rsidRPr="00346CBB" w:rsidRDefault="003953D6" w:rsidP="00346CBB">
            <w:pPr>
              <w:jc w:val="right"/>
            </w:pPr>
            <w:r w:rsidRPr="00346CBB">
              <w:t>1 501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A1FE3C" w14:textId="77777777" w:rsidR="003953D6" w:rsidRPr="00346CBB" w:rsidRDefault="003953D6" w:rsidP="00346CBB">
            <w:pPr>
              <w:jc w:val="right"/>
            </w:pPr>
            <w:r w:rsidRPr="00346CBB">
              <w:t>944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A303A4" w14:textId="77777777" w:rsidR="003953D6" w:rsidRPr="00346CBB" w:rsidRDefault="003953D6" w:rsidP="00346CBB">
            <w:pPr>
              <w:jc w:val="right"/>
            </w:pPr>
            <w:r w:rsidRPr="00346CBB">
              <w:t>2 445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CF54C3" w14:textId="77777777" w:rsidR="003953D6" w:rsidRPr="00346CBB" w:rsidRDefault="003953D6" w:rsidP="00346CBB">
            <w:pPr>
              <w:jc w:val="right"/>
            </w:pPr>
            <w:r w:rsidRPr="00346CBB">
              <w:t>23 822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F3A0CC" w14:textId="77777777" w:rsidR="003953D6" w:rsidRPr="00346CBB" w:rsidRDefault="003953D6" w:rsidP="00346CBB">
            <w:pPr>
              <w:jc w:val="right"/>
            </w:pPr>
            <w:r w:rsidRPr="00346CBB">
              <w:t>10,3 %</w:t>
            </w:r>
          </w:p>
        </w:tc>
      </w:tr>
      <w:tr w:rsidR="00A4769D" w:rsidRPr="00346CBB" w14:paraId="5F9D14E8"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DBAA107" w14:textId="77777777" w:rsidR="003953D6" w:rsidRPr="00346CBB" w:rsidRDefault="003953D6" w:rsidP="00346CBB">
            <w:pPr>
              <w:pStyle w:val="TabellHode-rad"/>
            </w:pPr>
            <w:r w:rsidRPr="00346CBB">
              <w:t>2021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C064E2" w14:textId="77777777" w:rsidR="003953D6" w:rsidRPr="00346CBB" w:rsidRDefault="003953D6" w:rsidP="00346CBB">
            <w:pPr>
              <w:jc w:val="right"/>
            </w:pPr>
            <w:r w:rsidRPr="00346CBB">
              <w:t>1 213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EAF5AF" w14:textId="77777777" w:rsidR="003953D6" w:rsidRPr="00346CBB" w:rsidRDefault="003953D6" w:rsidP="00346CBB">
            <w:pPr>
              <w:jc w:val="right"/>
            </w:pPr>
            <w:r w:rsidRPr="00346CBB">
              <w:t>10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E034A1" w14:textId="77777777" w:rsidR="003953D6" w:rsidRPr="00346CBB" w:rsidRDefault="003953D6" w:rsidP="00346CBB">
            <w:pPr>
              <w:jc w:val="right"/>
            </w:pPr>
            <w:r w:rsidRPr="00346CBB">
              <w:t>1 203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500093" w14:textId="77777777" w:rsidR="003953D6" w:rsidRPr="00346CBB" w:rsidRDefault="003953D6" w:rsidP="00346CBB">
            <w:pPr>
              <w:jc w:val="right"/>
            </w:pPr>
            <w:r w:rsidRPr="00346CBB">
              <w:t>963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32B316" w14:textId="77777777" w:rsidR="003953D6" w:rsidRPr="00346CBB" w:rsidRDefault="003953D6" w:rsidP="00346CBB">
            <w:pPr>
              <w:jc w:val="right"/>
            </w:pPr>
            <w:r w:rsidRPr="00346CBB">
              <w:t>2 166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E0D28DD" w14:textId="77777777" w:rsidR="003953D6" w:rsidRPr="00346CBB" w:rsidRDefault="003953D6" w:rsidP="00346CBB">
            <w:pPr>
              <w:jc w:val="right"/>
            </w:pPr>
            <w:r w:rsidRPr="00346CBB">
              <w:t>25 521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E55FE8" w14:textId="77777777" w:rsidR="003953D6" w:rsidRPr="00346CBB" w:rsidRDefault="003953D6" w:rsidP="00346CBB">
            <w:pPr>
              <w:jc w:val="right"/>
            </w:pPr>
            <w:r w:rsidRPr="00346CBB">
              <w:t>8,5 %</w:t>
            </w:r>
          </w:p>
        </w:tc>
      </w:tr>
      <w:tr w:rsidR="00A4769D" w:rsidRPr="00346CBB" w14:paraId="7F23B751"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37E904" w14:textId="77777777" w:rsidR="003953D6" w:rsidRPr="00346CBB" w:rsidRDefault="003953D6" w:rsidP="00346CBB">
            <w:pPr>
              <w:pStyle w:val="TabellHode-rad"/>
            </w:pPr>
            <w:r w:rsidRPr="00346CBB">
              <w:t>2022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F3050A" w14:textId="77777777" w:rsidR="003953D6" w:rsidRPr="00346CBB" w:rsidRDefault="003953D6" w:rsidP="00346CBB">
            <w:pPr>
              <w:jc w:val="right"/>
            </w:pPr>
            <w:r w:rsidRPr="00346CBB">
              <w:t>416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D150828" w14:textId="77777777" w:rsidR="003953D6" w:rsidRPr="00346CBB" w:rsidRDefault="003953D6" w:rsidP="00346CBB">
            <w:pPr>
              <w:jc w:val="right"/>
            </w:pPr>
            <w:r w:rsidRPr="00346CBB">
              <w:t>97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E6B0DC" w14:textId="77777777" w:rsidR="003953D6" w:rsidRPr="00346CBB" w:rsidRDefault="003953D6" w:rsidP="00346CBB">
            <w:pPr>
              <w:jc w:val="right"/>
            </w:pPr>
            <w:r w:rsidRPr="00346CBB">
              <w:t>319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1BC8F5" w14:textId="77777777" w:rsidR="003953D6" w:rsidRPr="00346CBB" w:rsidRDefault="003953D6" w:rsidP="00346CBB">
            <w:pPr>
              <w:jc w:val="right"/>
            </w:pPr>
            <w:r w:rsidRPr="00346CBB">
              <w:t>1 106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91B19" w14:textId="77777777" w:rsidR="003953D6" w:rsidRPr="00346CBB" w:rsidRDefault="003953D6" w:rsidP="00346CBB">
            <w:pPr>
              <w:jc w:val="right"/>
            </w:pPr>
            <w:r w:rsidRPr="00346CBB">
              <w:t>1 425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915B7B" w14:textId="77777777" w:rsidR="003953D6" w:rsidRPr="00346CBB" w:rsidRDefault="003953D6" w:rsidP="00346CBB">
            <w:pPr>
              <w:jc w:val="right"/>
            </w:pPr>
            <w:r w:rsidRPr="00346CBB">
              <w:t>26 982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6F6FDF" w14:textId="77777777" w:rsidR="003953D6" w:rsidRPr="00346CBB" w:rsidRDefault="003953D6" w:rsidP="00346CBB">
            <w:pPr>
              <w:jc w:val="right"/>
            </w:pPr>
            <w:r w:rsidRPr="00346CBB">
              <w:t>5,3 %</w:t>
            </w:r>
          </w:p>
        </w:tc>
      </w:tr>
      <w:tr w:rsidR="00A4769D" w:rsidRPr="00346CBB" w14:paraId="4341BBA4"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3CA18E" w14:textId="77777777" w:rsidR="003953D6" w:rsidRPr="00346CBB" w:rsidRDefault="003953D6" w:rsidP="00346CBB">
            <w:pPr>
              <w:pStyle w:val="TabellHode-rad"/>
            </w:pPr>
            <w:r w:rsidRPr="00346CBB">
              <w:t>2023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0E7344" w14:textId="77777777" w:rsidR="003953D6" w:rsidRPr="00346CBB" w:rsidRDefault="003953D6" w:rsidP="00346CBB">
            <w:pPr>
              <w:jc w:val="right"/>
            </w:pPr>
            <w:r w:rsidRPr="00346CBB">
              <w:t>42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A68D7C2" w14:textId="77777777" w:rsidR="003953D6" w:rsidRPr="00346CBB" w:rsidRDefault="003953D6" w:rsidP="00346CBB">
            <w:pPr>
              <w:jc w:val="right"/>
            </w:pPr>
            <w:r w:rsidRPr="00346CBB">
              <w:t>120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32A286F" w14:textId="77777777" w:rsidR="003953D6" w:rsidRPr="00346CBB" w:rsidRDefault="003953D6" w:rsidP="00346CBB">
            <w:pPr>
              <w:jc w:val="right"/>
            </w:pPr>
            <w:r w:rsidRPr="00346CBB">
              <w:t>-78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5E06F0" w14:textId="77777777" w:rsidR="003953D6" w:rsidRPr="00346CBB" w:rsidRDefault="003953D6" w:rsidP="00346CBB">
            <w:pPr>
              <w:jc w:val="right"/>
            </w:pPr>
            <w:r w:rsidRPr="00346CBB">
              <w:t>1 189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3CEC26" w14:textId="77777777" w:rsidR="003953D6" w:rsidRPr="00346CBB" w:rsidRDefault="003953D6" w:rsidP="00346CBB">
            <w:pPr>
              <w:jc w:val="right"/>
            </w:pPr>
            <w:r w:rsidRPr="00346CBB">
              <w:t>1 111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3C21CE" w14:textId="77777777" w:rsidR="003953D6" w:rsidRPr="00346CBB" w:rsidRDefault="003953D6" w:rsidP="00346CBB">
            <w:pPr>
              <w:jc w:val="right"/>
            </w:pPr>
            <w:r w:rsidRPr="00346CBB">
              <w:t>28 341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E9B7ED" w14:textId="77777777" w:rsidR="003953D6" w:rsidRPr="00346CBB" w:rsidRDefault="003953D6" w:rsidP="00346CBB">
            <w:pPr>
              <w:jc w:val="right"/>
            </w:pPr>
            <w:r w:rsidRPr="00346CBB">
              <w:t>3,9 %</w:t>
            </w:r>
          </w:p>
        </w:tc>
      </w:tr>
      <w:tr w:rsidR="00A4769D" w:rsidRPr="00346CBB" w14:paraId="52FAC441"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C8536D" w14:textId="77777777" w:rsidR="003953D6" w:rsidRPr="00346CBB" w:rsidRDefault="003953D6" w:rsidP="00346CBB">
            <w:pPr>
              <w:pStyle w:val="TabellHode-rad"/>
            </w:pPr>
            <w:r w:rsidRPr="00346CBB">
              <w:t>2024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35560F" w14:textId="77777777" w:rsidR="003953D6" w:rsidRPr="00346CBB" w:rsidRDefault="003953D6" w:rsidP="00346CBB">
            <w:pPr>
              <w:jc w:val="right"/>
            </w:pPr>
            <w:r w:rsidRPr="00346CBB">
              <w:t>-877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337902" w14:textId="77777777" w:rsidR="003953D6" w:rsidRPr="00346CBB" w:rsidRDefault="003953D6" w:rsidP="00346CBB">
            <w:pPr>
              <w:jc w:val="right"/>
            </w:pPr>
            <w:r w:rsidRPr="00346CBB">
              <w:t>20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B6095B" w14:textId="77777777" w:rsidR="003953D6" w:rsidRPr="00346CBB" w:rsidRDefault="003953D6" w:rsidP="00346CBB">
            <w:pPr>
              <w:jc w:val="right"/>
            </w:pPr>
            <w:r w:rsidRPr="00346CBB">
              <w:t>-897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B91DAC6" w14:textId="77777777" w:rsidR="003953D6" w:rsidRPr="00346CBB" w:rsidRDefault="003953D6" w:rsidP="00346CBB">
            <w:pPr>
              <w:jc w:val="right"/>
            </w:pPr>
            <w:r w:rsidRPr="00346CBB">
              <w:t>1 226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82BB5E" w14:textId="77777777" w:rsidR="003953D6" w:rsidRPr="00346CBB" w:rsidRDefault="003953D6" w:rsidP="00346CBB">
            <w:pPr>
              <w:jc w:val="right"/>
            </w:pPr>
            <w:r w:rsidRPr="00346CBB">
              <w:t>329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5ACC07" w14:textId="77777777" w:rsidR="003953D6" w:rsidRPr="00346CBB" w:rsidRDefault="003953D6" w:rsidP="00346CBB">
            <w:pPr>
              <w:jc w:val="right"/>
            </w:pPr>
            <w:r w:rsidRPr="00346CBB">
              <w:t>30 329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D52224C" w14:textId="77777777" w:rsidR="003953D6" w:rsidRPr="00346CBB" w:rsidRDefault="003953D6" w:rsidP="00346CBB">
            <w:pPr>
              <w:jc w:val="right"/>
            </w:pPr>
            <w:r w:rsidRPr="00346CBB">
              <w:t>1,1 %</w:t>
            </w:r>
          </w:p>
        </w:tc>
      </w:tr>
      <w:tr w:rsidR="00A4769D" w:rsidRPr="00346CBB" w14:paraId="0B66F9DF"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47DB2F" w14:textId="77777777" w:rsidR="003953D6" w:rsidRPr="00346CBB" w:rsidRDefault="003953D6" w:rsidP="00346CBB">
            <w:pPr>
              <w:pStyle w:val="TabellHode-rad"/>
            </w:pPr>
            <w:r w:rsidRPr="00346CBB">
              <w:t>B2025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4B097A7" w14:textId="77777777" w:rsidR="003953D6" w:rsidRPr="00346CBB" w:rsidRDefault="003953D6" w:rsidP="00346CBB">
            <w:pPr>
              <w:jc w:val="right"/>
            </w:pPr>
            <w:r w:rsidRPr="00346CBB">
              <w:t>-121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B6CBFE" w14:textId="77777777" w:rsidR="003953D6" w:rsidRPr="00346CBB" w:rsidRDefault="003953D6" w:rsidP="00346CBB">
            <w:pPr>
              <w:jc w:val="right"/>
            </w:pPr>
            <w:r w:rsidRPr="00346CBB">
              <w:t>-222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BC9F73" w14:textId="77777777" w:rsidR="003953D6" w:rsidRPr="00346CBB" w:rsidRDefault="003953D6" w:rsidP="00346CBB">
            <w:pPr>
              <w:jc w:val="right"/>
            </w:pPr>
            <w:r w:rsidRPr="00346CBB">
              <w:t>101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3DBFE3" w14:textId="77777777" w:rsidR="003953D6" w:rsidRPr="00346CBB" w:rsidRDefault="003953D6" w:rsidP="00346CBB">
            <w:pPr>
              <w:jc w:val="right"/>
            </w:pPr>
            <w:r w:rsidRPr="00346CBB">
              <w:t>1 355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F761BF" w14:textId="77777777" w:rsidR="003953D6" w:rsidRPr="00346CBB" w:rsidRDefault="003953D6" w:rsidP="00346CBB">
            <w:pPr>
              <w:jc w:val="right"/>
            </w:pPr>
            <w:r w:rsidRPr="00346CBB">
              <w:t>1 456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6DC702" w14:textId="77777777" w:rsidR="003953D6" w:rsidRPr="00346CBB" w:rsidRDefault="003953D6" w:rsidP="00346CBB">
            <w:pPr>
              <w:jc w:val="right"/>
            </w:pPr>
            <w:r w:rsidRPr="00346CBB">
              <w:t>31 938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57883D9" w14:textId="77777777" w:rsidR="003953D6" w:rsidRPr="00346CBB" w:rsidRDefault="003953D6" w:rsidP="00346CBB">
            <w:pPr>
              <w:jc w:val="right"/>
            </w:pPr>
            <w:r w:rsidRPr="00346CBB">
              <w:t>4,6 %</w:t>
            </w:r>
          </w:p>
        </w:tc>
      </w:tr>
    </w:tbl>
    <w:p w14:paraId="088C91EB" w14:textId="77777777" w:rsidR="003953D6" w:rsidRPr="00346CBB" w:rsidRDefault="003953D6" w:rsidP="00346CBB"/>
    <w:tbl>
      <w:tblPr>
        <w:tblW w:w="5000" w:type="pct"/>
        <w:tblCellMar>
          <w:left w:w="0" w:type="dxa"/>
          <w:right w:w="0" w:type="dxa"/>
        </w:tblCellMar>
        <w:tblLook w:val="0000" w:firstRow="0" w:lastRow="0" w:firstColumn="0" w:lastColumn="0" w:noHBand="0" w:noVBand="0"/>
      </w:tblPr>
      <w:tblGrid>
        <w:gridCol w:w="1026"/>
        <w:gridCol w:w="1026"/>
        <w:gridCol w:w="1027"/>
        <w:gridCol w:w="1027"/>
        <w:gridCol w:w="1027"/>
        <w:gridCol w:w="1027"/>
        <w:gridCol w:w="1027"/>
        <w:gridCol w:w="1027"/>
      </w:tblGrid>
      <w:tr w:rsidR="00A4769D" w:rsidRPr="00346CBB" w14:paraId="37AD7977" w14:textId="77777777" w:rsidTr="00C9271A">
        <w:trPr>
          <w:trHeight w:val="60"/>
          <w:tblHeader/>
        </w:trPr>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3C696CD" w14:textId="77777777" w:rsidR="003953D6" w:rsidRPr="00346CBB" w:rsidRDefault="003953D6" w:rsidP="00C9271A">
            <w:pPr>
              <w:pStyle w:val="TabellHode-kolonne"/>
            </w:pPr>
            <w:r w:rsidRPr="00346CBB">
              <w:lastRenderedPageBreak/>
              <w:t>Helse Nord</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493F351" w14:textId="77777777" w:rsidR="003953D6" w:rsidRPr="00346CBB" w:rsidRDefault="003953D6" w:rsidP="00C9271A">
            <w:pPr>
              <w:pStyle w:val="TabellHode-kolonne"/>
              <w:jc w:val="right"/>
            </w:pPr>
            <w:r w:rsidRPr="00346CBB">
              <w:t>Resultat</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AEA30C8" w14:textId="77777777" w:rsidR="003953D6" w:rsidRPr="00346CBB" w:rsidRDefault="003953D6" w:rsidP="00C9271A">
            <w:pPr>
              <w:pStyle w:val="TabellHode-kolonne"/>
              <w:jc w:val="right"/>
            </w:pPr>
            <w:r w:rsidRPr="00346CBB">
              <w:t>Netto finans</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55E5801" w14:textId="420B6327" w:rsidR="003953D6" w:rsidRPr="00346CBB" w:rsidRDefault="003953D6" w:rsidP="00C9271A">
            <w:pPr>
              <w:pStyle w:val="TabellHode-kolonne"/>
              <w:jc w:val="right"/>
            </w:pPr>
            <w:r w:rsidRPr="00346CBB">
              <w:t>Driftsresultat</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F62CED8" w14:textId="77777777" w:rsidR="003953D6" w:rsidRPr="00346CBB" w:rsidRDefault="003953D6" w:rsidP="00C9271A">
            <w:pPr>
              <w:pStyle w:val="TabellHode-kolonne"/>
              <w:jc w:val="right"/>
            </w:pPr>
            <w:r w:rsidRPr="00346CBB">
              <w:t>Avskrivninger</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CA5FBF3" w14:textId="49E7A69C" w:rsidR="003953D6" w:rsidRPr="00346CBB" w:rsidRDefault="003953D6" w:rsidP="00C9271A">
            <w:pPr>
              <w:pStyle w:val="TabellHode-kolonne"/>
              <w:jc w:val="right"/>
            </w:pPr>
            <w:r w:rsidRPr="00346CBB">
              <w:t>Driftsresultat før avskrivninger i løpende priser</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6BF7E0E" w14:textId="77777777" w:rsidR="003953D6" w:rsidRPr="00346CBB" w:rsidRDefault="003953D6" w:rsidP="00C9271A">
            <w:pPr>
              <w:pStyle w:val="TabellHode-kolonne"/>
              <w:jc w:val="right"/>
            </w:pPr>
            <w:r w:rsidRPr="00346CBB">
              <w:t>Omsetning</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B53C4B0" w14:textId="56EF8789" w:rsidR="003953D6" w:rsidRPr="00346CBB" w:rsidRDefault="003953D6" w:rsidP="00C9271A">
            <w:pPr>
              <w:pStyle w:val="TabellHode-kolonne"/>
              <w:jc w:val="right"/>
            </w:pPr>
            <w:r w:rsidRPr="00346CBB">
              <w:t>Driftsresultat før avskrivninger i pst. av omsetning</w:t>
            </w:r>
          </w:p>
        </w:tc>
      </w:tr>
      <w:tr w:rsidR="00A4769D" w:rsidRPr="00346CBB" w14:paraId="0CB8B116"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19A8CB" w14:textId="77777777" w:rsidR="003953D6" w:rsidRPr="00346CBB" w:rsidRDefault="003953D6" w:rsidP="00346CBB">
            <w:pPr>
              <w:pStyle w:val="TabellHode-rad"/>
            </w:pPr>
            <w:r w:rsidRPr="00346CBB">
              <w:t>2014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6D3011" w14:textId="77777777" w:rsidR="003953D6" w:rsidRPr="00346CBB" w:rsidRDefault="003953D6" w:rsidP="00346CBB">
            <w:pPr>
              <w:jc w:val="right"/>
            </w:pPr>
            <w:r w:rsidRPr="00346CBB">
              <w:t>363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D9B81E" w14:textId="77777777" w:rsidR="003953D6" w:rsidRPr="00346CBB" w:rsidRDefault="003953D6" w:rsidP="00346CBB">
            <w:pPr>
              <w:jc w:val="right"/>
            </w:pPr>
            <w:r w:rsidRPr="00346CBB">
              <w:t>72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793CBA" w14:textId="77777777" w:rsidR="003953D6" w:rsidRPr="00346CBB" w:rsidRDefault="003953D6" w:rsidP="00346CBB">
            <w:pPr>
              <w:jc w:val="right"/>
            </w:pPr>
            <w:r w:rsidRPr="00346CBB">
              <w:t>291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81B7FA5" w14:textId="77777777" w:rsidR="003953D6" w:rsidRPr="00346CBB" w:rsidRDefault="003953D6" w:rsidP="00346CBB">
            <w:pPr>
              <w:jc w:val="right"/>
            </w:pPr>
            <w:r w:rsidRPr="00346CBB">
              <w:t>645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FC88C7" w14:textId="77777777" w:rsidR="003953D6" w:rsidRPr="00346CBB" w:rsidRDefault="003953D6" w:rsidP="00346CBB">
            <w:pPr>
              <w:jc w:val="right"/>
            </w:pPr>
            <w:r w:rsidRPr="00346CBB">
              <w:t>936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17F7BB" w14:textId="77777777" w:rsidR="003953D6" w:rsidRPr="00346CBB" w:rsidRDefault="003953D6" w:rsidP="00346CBB">
            <w:pPr>
              <w:jc w:val="right"/>
            </w:pPr>
            <w:r w:rsidRPr="00346CBB">
              <w:t>15 102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87BF09" w14:textId="77777777" w:rsidR="003953D6" w:rsidRPr="00346CBB" w:rsidRDefault="003953D6" w:rsidP="00346CBB">
            <w:pPr>
              <w:jc w:val="right"/>
            </w:pPr>
            <w:r w:rsidRPr="00346CBB">
              <w:t>6,2 %</w:t>
            </w:r>
          </w:p>
        </w:tc>
      </w:tr>
      <w:tr w:rsidR="00A4769D" w:rsidRPr="00346CBB" w14:paraId="354CA2DE"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6E534A" w14:textId="77777777" w:rsidR="003953D6" w:rsidRPr="00346CBB" w:rsidRDefault="003953D6" w:rsidP="00346CBB">
            <w:pPr>
              <w:pStyle w:val="TabellHode-rad"/>
            </w:pPr>
            <w:r w:rsidRPr="00346CBB">
              <w:t>2015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7DFD7F" w14:textId="77777777" w:rsidR="003953D6" w:rsidRPr="00346CBB" w:rsidRDefault="003953D6" w:rsidP="00346CBB">
            <w:pPr>
              <w:jc w:val="right"/>
            </w:pPr>
            <w:r w:rsidRPr="00346CBB">
              <w:t>617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772D324" w14:textId="77777777" w:rsidR="003953D6" w:rsidRPr="00346CBB" w:rsidRDefault="003953D6" w:rsidP="00346CBB">
            <w:pPr>
              <w:jc w:val="right"/>
            </w:pPr>
            <w:r w:rsidRPr="00346CBB">
              <w:t>42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B1AFC66" w14:textId="77777777" w:rsidR="003953D6" w:rsidRPr="00346CBB" w:rsidRDefault="003953D6" w:rsidP="00346CBB">
            <w:pPr>
              <w:jc w:val="right"/>
            </w:pPr>
            <w:r w:rsidRPr="00346CBB">
              <w:t>575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519352" w14:textId="77777777" w:rsidR="003953D6" w:rsidRPr="00346CBB" w:rsidRDefault="003953D6" w:rsidP="00346CBB">
            <w:pPr>
              <w:jc w:val="right"/>
            </w:pPr>
            <w:r w:rsidRPr="00346CBB">
              <w:t>737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8D8875" w14:textId="77777777" w:rsidR="003953D6" w:rsidRPr="00346CBB" w:rsidRDefault="003953D6" w:rsidP="00346CBB">
            <w:pPr>
              <w:jc w:val="right"/>
            </w:pPr>
            <w:r w:rsidRPr="00346CBB">
              <w:t>1 312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B8B7E9" w14:textId="77777777" w:rsidR="003953D6" w:rsidRPr="00346CBB" w:rsidRDefault="003953D6" w:rsidP="00346CBB">
            <w:pPr>
              <w:jc w:val="right"/>
            </w:pPr>
            <w:r w:rsidRPr="00346CBB">
              <w:t>17 209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6744375" w14:textId="77777777" w:rsidR="003953D6" w:rsidRPr="00346CBB" w:rsidRDefault="003953D6" w:rsidP="00346CBB">
            <w:pPr>
              <w:jc w:val="right"/>
            </w:pPr>
            <w:r w:rsidRPr="00346CBB">
              <w:t>7,6 %</w:t>
            </w:r>
          </w:p>
        </w:tc>
      </w:tr>
      <w:tr w:rsidR="00A4769D" w:rsidRPr="00346CBB" w14:paraId="4DD57605"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10DD70" w14:textId="77777777" w:rsidR="003953D6" w:rsidRPr="00346CBB" w:rsidRDefault="003953D6" w:rsidP="00346CBB">
            <w:pPr>
              <w:pStyle w:val="TabellHode-rad"/>
            </w:pPr>
            <w:r w:rsidRPr="00346CBB">
              <w:t>2016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A0BF3C5" w14:textId="77777777" w:rsidR="003953D6" w:rsidRPr="00346CBB" w:rsidRDefault="003953D6" w:rsidP="00346CBB">
            <w:pPr>
              <w:jc w:val="right"/>
            </w:pPr>
            <w:r w:rsidRPr="00346CBB">
              <w:t>539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7939D7D" w14:textId="77777777" w:rsidR="003953D6" w:rsidRPr="00346CBB" w:rsidRDefault="003953D6" w:rsidP="00346CBB">
            <w:pPr>
              <w:jc w:val="right"/>
            </w:pPr>
            <w:r w:rsidRPr="00346CBB">
              <w:t>47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50DA4D8" w14:textId="77777777" w:rsidR="003953D6" w:rsidRPr="00346CBB" w:rsidRDefault="003953D6" w:rsidP="00346CBB">
            <w:pPr>
              <w:jc w:val="right"/>
            </w:pPr>
            <w:r w:rsidRPr="00346CBB">
              <w:t>492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79C38C" w14:textId="77777777" w:rsidR="003953D6" w:rsidRPr="00346CBB" w:rsidRDefault="003953D6" w:rsidP="00346CBB">
            <w:pPr>
              <w:jc w:val="right"/>
            </w:pPr>
            <w:r w:rsidRPr="00346CBB">
              <w:t>772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54F7380" w14:textId="77777777" w:rsidR="003953D6" w:rsidRPr="00346CBB" w:rsidRDefault="003953D6" w:rsidP="00346CBB">
            <w:pPr>
              <w:jc w:val="right"/>
            </w:pPr>
            <w:r w:rsidRPr="00346CBB">
              <w:t>1 264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40EE4B2" w14:textId="77777777" w:rsidR="003953D6" w:rsidRPr="00346CBB" w:rsidRDefault="003953D6" w:rsidP="00346CBB">
            <w:pPr>
              <w:jc w:val="right"/>
            </w:pPr>
            <w:r w:rsidRPr="00346CBB">
              <w:t>17 354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A68496C" w14:textId="77777777" w:rsidR="003953D6" w:rsidRPr="00346CBB" w:rsidRDefault="003953D6" w:rsidP="00346CBB">
            <w:pPr>
              <w:jc w:val="right"/>
            </w:pPr>
            <w:r w:rsidRPr="00346CBB">
              <w:t>7,3 %</w:t>
            </w:r>
          </w:p>
        </w:tc>
      </w:tr>
      <w:tr w:rsidR="00A4769D" w:rsidRPr="00346CBB" w14:paraId="69359758"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11D8A17" w14:textId="77777777" w:rsidR="003953D6" w:rsidRPr="00346CBB" w:rsidRDefault="003953D6" w:rsidP="00346CBB">
            <w:pPr>
              <w:pStyle w:val="TabellHode-rad"/>
            </w:pPr>
            <w:r w:rsidRPr="00346CBB">
              <w:t>2017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4759E4" w14:textId="77777777" w:rsidR="003953D6" w:rsidRPr="00346CBB" w:rsidRDefault="003953D6" w:rsidP="00346CBB">
            <w:pPr>
              <w:jc w:val="right"/>
            </w:pPr>
            <w:r w:rsidRPr="00346CBB">
              <w:t>383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D5048E3" w14:textId="77777777" w:rsidR="003953D6" w:rsidRPr="00346CBB" w:rsidRDefault="003953D6" w:rsidP="00346CBB">
            <w:pPr>
              <w:jc w:val="right"/>
            </w:pPr>
            <w:r w:rsidRPr="00346CBB">
              <w:t>22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08E3C3" w14:textId="77777777" w:rsidR="003953D6" w:rsidRPr="00346CBB" w:rsidRDefault="003953D6" w:rsidP="00346CBB">
            <w:pPr>
              <w:jc w:val="right"/>
            </w:pPr>
            <w:r w:rsidRPr="00346CBB">
              <w:t>361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168BA0" w14:textId="77777777" w:rsidR="003953D6" w:rsidRPr="00346CBB" w:rsidRDefault="003953D6" w:rsidP="00346CBB">
            <w:pPr>
              <w:jc w:val="right"/>
            </w:pPr>
            <w:r w:rsidRPr="00346CBB">
              <w:t>707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F76685" w14:textId="77777777" w:rsidR="003953D6" w:rsidRPr="00346CBB" w:rsidRDefault="003953D6" w:rsidP="00346CBB">
            <w:pPr>
              <w:jc w:val="right"/>
            </w:pPr>
            <w:r w:rsidRPr="00346CBB">
              <w:t>1 068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24DDA7" w14:textId="77777777" w:rsidR="003953D6" w:rsidRPr="00346CBB" w:rsidRDefault="003953D6" w:rsidP="00346CBB">
            <w:pPr>
              <w:jc w:val="right"/>
            </w:pPr>
            <w:r w:rsidRPr="00346CBB">
              <w:t>17 109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580145" w14:textId="77777777" w:rsidR="003953D6" w:rsidRPr="00346CBB" w:rsidRDefault="003953D6" w:rsidP="00346CBB">
            <w:pPr>
              <w:jc w:val="right"/>
            </w:pPr>
            <w:r w:rsidRPr="00346CBB">
              <w:t>6,2 %</w:t>
            </w:r>
          </w:p>
        </w:tc>
      </w:tr>
      <w:tr w:rsidR="00A4769D" w:rsidRPr="00346CBB" w14:paraId="2EAD02DC"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7FBFEA8" w14:textId="77777777" w:rsidR="003953D6" w:rsidRPr="00346CBB" w:rsidRDefault="003953D6" w:rsidP="00346CBB">
            <w:pPr>
              <w:pStyle w:val="TabellHode-rad"/>
            </w:pPr>
            <w:r w:rsidRPr="00346CBB">
              <w:t>2018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655E41" w14:textId="77777777" w:rsidR="003953D6" w:rsidRPr="00346CBB" w:rsidRDefault="003953D6" w:rsidP="00346CBB">
            <w:pPr>
              <w:jc w:val="right"/>
            </w:pPr>
            <w:r w:rsidRPr="00346CBB">
              <w:t>205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DDBAAE" w14:textId="77777777" w:rsidR="003953D6" w:rsidRPr="00346CBB" w:rsidRDefault="003953D6" w:rsidP="00346CBB">
            <w:pPr>
              <w:jc w:val="right"/>
            </w:pPr>
            <w:r w:rsidRPr="00346CBB">
              <w:t>-7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4F8199" w14:textId="77777777" w:rsidR="003953D6" w:rsidRPr="00346CBB" w:rsidRDefault="003953D6" w:rsidP="00346CBB">
            <w:pPr>
              <w:jc w:val="right"/>
            </w:pPr>
            <w:r w:rsidRPr="00346CBB">
              <w:t>212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2BA300" w14:textId="77777777" w:rsidR="003953D6" w:rsidRPr="00346CBB" w:rsidRDefault="003953D6" w:rsidP="00346CBB">
            <w:pPr>
              <w:jc w:val="right"/>
            </w:pPr>
            <w:r w:rsidRPr="00346CBB">
              <w:t>773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18F75E" w14:textId="77777777" w:rsidR="003953D6" w:rsidRPr="00346CBB" w:rsidRDefault="003953D6" w:rsidP="00346CBB">
            <w:pPr>
              <w:jc w:val="right"/>
            </w:pPr>
            <w:r w:rsidRPr="00346CBB">
              <w:t>985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D685C0" w14:textId="77777777" w:rsidR="003953D6" w:rsidRPr="00346CBB" w:rsidRDefault="003953D6" w:rsidP="00346CBB">
            <w:pPr>
              <w:jc w:val="right"/>
            </w:pPr>
            <w:r w:rsidRPr="00346CBB">
              <w:t>17 596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3D5DDDC" w14:textId="77777777" w:rsidR="003953D6" w:rsidRPr="00346CBB" w:rsidRDefault="003953D6" w:rsidP="00346CBB">
            <w:pPr>
              <w:jc w:val="right"/>
            </w:pPr>
            <w:r w:rsidRPr="00346CBB">
              <w:t>5,6 %</w:t>
            </w:r>
          </w:p>
        </w:tc>
      </w:tr>
      <w:tr w:rsidR="00A4769D" w:rsidRPr="00346CBB" w14:paraId="3545623C"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5385C4" w14:textId="77777777" w:rsidR="003953D6" w:rsidRPr="00346CBB" w:rsidRDefault="003953D6" w:rsidP="00346CBB">
            <w:pPr>
              <w:pStyle w:val="TabellHode-rad"/>
            </w:pPr>
            <w:r w:rsidRPr="00346CBB">
              <w:t>2019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3F93DC" w14:textId="77777777" w:rsidR="003953D6" w:rsidRPr="00346CBB" w:rsidRDefault="003953D6" w:rsidP="00346CBB">
            <w:pPr>
              <w:jc w:val="right"/>
            </w:pPr>
            <w:r w:rsidRPr="00346CBB">
              <w:t>181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1828BB" w14:textId="77777777" w:rsidR="003953D6" w:rsidRPr="00346CBB" w:rsidRDefault="003953D6" w:rsidP="00346CBB">
            <w:pPr>
              <w:jc w:val="right"/>
            </w:pPr>
            <w:r w:rsidRPr="00346CBB">
              <w:t>-25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DF3E31" w14:textId="77777777" w:rsidR="003953D6" w:rsidRPr="00346CBB" w:rsidRDefault="003953D6" w:rsidP="00346CBB">
            <w:pPr>
              <w:jc w:val="right"/>
            </w:pPr>
            <w:r w:rsidRPr="00346CBB">
              <w:t>206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619061" w14:textId="77777777" w:rsidR="003953D6" w:rsidRPr="00346CBB" w:rsidRDefault="003953D6" w:rsidP="00346CBB">
            <w:pPr>
              <w:jc w:val="right"/>
            </w:pPr>
            <w:r w:rsidRPr="00346CBB">
              <w:t>911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CECA404" w14:textId="77777777" w:rsidR="003953D6" w:rsidRPr="00346CBB" w:rsidRDefault="003953D6" w:rsidP="00346CBB">
            <w:pPr>
              <w:jc w:val="right"/>
            </w:pPr>
            <w:r w:rsidRPr="00346CBB">
              <w:t>1 117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5D11EF" w14:textId="77777777" w:rsidR="003953D6" w:rsidRPr="00346CBB" w:rsidRDefault="003953D6" w:rsidP="00346CBB">
            <w:pPr>
              <w:jc w:val="right"/>
            </w:pPr>
            <w:r w:rsidRPr="00346CBB">
              <w:t>18 633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685C78D" w14:textId="77777777" w:rsidR="003953D6" w:rsidRPr="00346CBB" w:rsidRDefault="003953D6" w:rsidP="00346CBB">
            <w:pPr>
              <w:jc w:val="right"/>
            </w:pPr>
            <w:r w:rsidRPr="00346CBB">
              <w:t>6,0 %</w:t>
            </w:r>
          </w:p>
        </w:tc>
      </w:tr>
      <w:tr w:rsidR="00A4769D" w:rsidRPr="00346CBB" w14:paraId="5A8059D3"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D674DC" w14:textId="77777777" w:rsidR="003953D6" w:rsidRPr="00346CBB" w:rsidRDefault="003953D6" w:rsidP="00346CBB">
            <w:pPr>
              <w:pStyle w:val="TabellHode-rad"/>
            </w:pPr>
            <w:r w:rsidRPr="00346CBB">
              <w:t>2020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4DE653" w14:textId="77777777" w:rsidR="003953D6" w:rsidRPr="00346CBB" w:rsidRDefault="003953D6" w:rsidP="00346CBB">
            <w:pPr>
              <w:jc w:val="right"/>
            </w:pPr>
            <w:r w:rsidRPr="00346CBB">
              <w:t>552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689E627" w14:textId="77777777" w:rsidR="003953D6" w:rsidRPr="00346CBB" w:rsidRDefault="003953D6" w:rsidP="00346CBB">
            <w:pPr>
              <w:jc w:val="right"/>
            </w:pPr>
            <w:r w:rsidRPr="00346CBB">
              <w:t>-55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4F4482" w14:textId="77777777" w:rsidR="003953D6" w:rsidRPr="00346CBB" w:rsidRDefault="003953D6" w:rsidP="00346CBB">
            <w:pPr>
              <w:jc w:val="right"/>
            </w:pPr>
            <w:r w:rsidRPr="00346CBB">
              <w:t>607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03D6A4" w14:textId="77777777" w:rsidR="003953D6" w:rsidRPr="00346CBB" w:rsidRDefault="003953D6" w:rsidP="00346CBB">
            <w:pPr>
              <w:jc w:val="right"/>
            </w:pPr>
            <w:r w:rsidRPr="00346CBB">
              <w:t>990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54E19E4" w14:textId="77777777" w:rsidR="003953D6" w:rsidRPr="00346CBB" w:rsidRDefault="003953D6" w:rsidP="00346CBB">
            <w:pPr>
              <w:jc w:val="right"/>
            </w:pPr>
            <w:r w:rsidRPr="00346CBB">
              <w:t>1 597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43EECE" w14:textId="77777777" w:rsidR="003953D6" w:rsidRPr="00346CBB" w:rsidRDefault="003953D6" w:rsidP="00346CBB">
            <w:pPr>
              <w:jc w:val="right"/>
            </w:pPr>
            <w:r w:rsidRPr="00346CBB">
              <w:t>19 428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2D50C4" w14:textId="77777777" w:rsidR="003953D6" w:rsidRPr="00346CBB" w:rsidRDefault="003953D6" w:rsidP="00346CBB">
            <w:pPr>
              <w:jc w:val="right"/>
            </w:pPr>
            <w:r w:rsidRPr="00346CBB">
              <w:t>8,2 %</w:t>
            </w:r>
          </w:p>
        </w:tc>
      </w:tr>
      <w:tr w:rsidR="00A4769D" w:rsidRPr="00346CBB" w14:paraId="618C3735"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02DFC7" w14:textId="77777777" w:rsidR="003953D6" w:rsidRPr="00346CBB" w:rsidRDefault="003953D6" w:rsidP="00346CBB">
            <w:pPr>
              <w:pStyle w:val="TabellHode-rad"/>
            </w:pPr>
            <w:r w:rsidRPr="00346CBB">
              <w:t>2021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4F8CE4" w14:textId="77777777" w:rsidR="003953D6" w:rsidRPr="00346CBB" w:rsidRDefault="003953D6" w:rsidP="00346CBB">
            <w:pPr>
              <w:jc w:val="right"/>
            </w:pPr>
            <w:r w:rsidRPr="00346CBB">
              <w:t>-22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DCD820" w14:textId="77777777" w:rsidR="003953D6" w:rsidRPr="00346CBB" w:rsidRDefault="003953D6" w:rsidP="00346CBB">
            <w:pPr>
              <w:jc w:val="right"/>
            </w:pPr>
            <w:r w:rsidRPr="00346CBB">
              <w:t>-50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F5C208A" w14:textId="77777777" w:rsidR="003953D6" w:rsidRPr="00346CBB" w:rsidRDefault="003953D6" w:rsidP="00346CBB">
            <w:pPr>
              <w:jc w:val="right"/>
            </w:pPr>
            <w:r w:rsidRPr="00346CBB">
              <w:t>28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590A9A" w14:textId="77777777" w:rsidR="003953D6" w:rsidRPr="00346CBB" w:rsidRDefault="003953D6" w:rsidP="00346CBB">
            <w:pPr>
              <w:jc w:val="right"/>
            </w:pPr>
            <w:r w:rsidRPr="00346CBB">
              <w:t>1 033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EF87FD2" w14:textId="77777777" w:rsidR="003953D6" w:rsidRPr="00346CBB" w:rsidRDefault="003953D6" w:rsidP="00346CBB">
            <w:pPr>
              <w:jc w:val="right"/>
            </w:pPr>
            <w:r w:rsidRPr="00346CBB">
              <w:t>1 061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4C9F3D" w14:textId="77777777" w:rsidR="003953D6" w:rsidRPr="00346CBB" w:rsidRDefault="003953D6" w:rsidP="00346CBB">
            <w:pPr>
              <w:jc w:val="right"/>
            </w:pPr>
            <w:r w:rsidRPr="00346CBB">
              <w:t>20 714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85BC0D" w14:textId="77777777" w:rsidR="003953D6" w:rsidRPr="00346CBB" w:rsidRDefault="003953D6" w:rsidP="00346CBB">
            <w:pPr>
              <w:jc w:val="right"/>
            </w:pPr>
            <w:r w:rsidRPr="00346CBB">
              <w:t>5,1 %</w:t>
            </w:r>
          </w:p>
        </w:tc>
      </w:tr>
      <w:tr w:rsidR="00A4769D" w:rsidRPr="00346CBB" w14:paraId="2F025537"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2EC917" w14:textId="77777777" w:rsidR="003953D6" w:rsidRPr="00346CBB" w:rsidRDefault="003953D6" w:rsidP="00346CBB">
            <w:pPr>
              <w:pStyle w:val="TabellHode-rad"/>
            </w:pPr>
            <w:r w:rsidRPr="00346CBB">
              <w:t>2022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CE55338" w14:textId="77777777" w:rsidR="003953D6" w:rsidRPr="00346CBB" w:rsidRDefault="003953D6" w:rsidP="00346CBB">
            <w:pPr>
              <w:jc w:val="right"/>
            </w:pPr>
            <w:r w:rsidRPr="00346CBB">
              <w:t>74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4B65957" w14:textId="77777777" w:rsidR="003953D6" w:rsidRPr="00346CBB" w:rsidRDefault="003953D6" w:rsidP="00346CBB">
            <w:pPr>
              <w:jc w:val="right"/>
            </w:pPr>
            <w:r w:rsidRPr="00346CBB">
              <w:t>-30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28E622F" w14:textId="77777777" w:rsidR="003953D6" w:rsidRPr="00346CBB" w:rsidRDefault="003953D6" w:rsidP="00346CBB">
            <w:pPr>
              <w:jc w:val="right"/>
            </w:pPr>
            <w:r w:rsidRPr="00346CBB">
              <w:t>104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59570C" w14:textId="77777777" w:rsidR="003953D6" w:rsidRPr="00346CBB" w:rsidRDefault="003953D6" w:rsidP="00346CBB">
            <w:pPr>
              <w:jc w:val="right"/>
            </w:pPr>
            <w:r w:rsidRPr="00346CBB">
              <w:t>1 042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6D6D7C" w14:textId="77777777" w:rsidR="003953D6" w:rsidRPr="00346CBB" w:rsidRDefault="003953D6" w:rsidP="00346CBB">
            <w:pPr>
              <w:jc w:val="right"/>
            </w:pPr>
            <w:r w:rsidRPr="00346CBB">
              <w:t>1 146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0DE6EB" w14:textId="77777777" w:rsidR="003953D6" w:rsidRPr="00346CBB" w:rsidRDefault="003953D6" w:rsidP="00346CBB">
            <w:pPr>
              <w:jc w:val="right"/>
            </w:pPr>
            <w:r w:rsidRPr="00346CBB">
              <w:t>21 826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2609A0A" w14:textId="77777777" w:rsidR="003953D6" w:rsidRPr="00346CBB" w:rsidRDefault="003953D6" w:rsidP="00346CBB">
            <w:pPr>
              <w:jc w:val="right"/>
            </w:pPr>
            <w:r w:rsidRPr="00346CBB">
              <w:t>5,3 %</w:t>
            </w:r>
          </w:p>
        </w:tc>
      </w:tr>
      <w:tr w:rsidR="00A4769D" w:rsidRPr="00346CBB" w14:paraId="7E9DDC8F"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8BE1D2" w14:textId="77777777" w:rsidR="003953D6" w:rsidRPr="00346CBB" w:rsidRDefault="003953D6" w:rsidP="00346CBB">
            <w:pPr>
              <w:pStyle w:val="TabellHode-rad"/>
            </w:pPr>
            <w:r w:rsidRPr="00346CBB">
              <w:t>2023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62E9AB" w14:textId="77777777" w:rsidR="003953D6" w:rsidRPr="00346CBB" w:rsidRDefault="003953D6" w:rsidP="00346CBB">
            <w:pPr>
              <w:jc w:val="right"/>
            </w:pPr>
            <w:r w:rsidRPr="00346CBB">
              <w:t>-407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AAF753" w14:textId="77777777" w:rsidR="003953D6" w:rsidRPr="00346CBB" w:rsidRDefault="003953D6" w:rsidP="00346CBB">
            <w:pPr>
              <w:jc w:val="right"/>
            </w:pPr>
            <w:r w:rsidRPr="00346CBB">
              <w:t>-40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DEF974" w14:textId="77777777" w:rsidR="003953D6" w:rsidRPr="00346CBB" w:rsidRDefault="003953D6" w:rsidP="00346CBB">
            <w:pPr>
              <w:jc w:val="right"/>
            </w:pPr>
            <w:r w:rsidRPr="00346CBB">
              <w:t>-367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B14A9DC" w14:textId="77777777" w:rsidR="003953D6" w:rsidRPr="00346CBB" w:rsidRDefault="003953D6" w:rsidP="00346CBB">
            <w:pPr>
              <w:jc w:val="right"/>
            </w:pPr>
            <w:r w:rsidRPr="00346CBB">
              <w:t>1 028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2C54B24" w14:textId="77777777" w:rsidR="003953D6" w:rsidRPr="00346CBB" w:rsidRDefault="003953D6" w:rsidP="00346CBB">
            <w:pPr>
              <w:jc w:val="right"/>
            </w:pPr>
            <w:r w:rsidRPr="00346CBB">
              <w:t>661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5E08556" w14:textId="77777777" w:rsidR="003953D6" w:rsidRPr="00346CBB" w:rsidRDefault="003953D6" w:rsidP="00346CBB">
            <w:pPr>
              <w:jc w:val="right"/>
            </w:pPr>
            <w:r w:rsidRPr="00346CBB">
              <w:t>22 415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68053E" w14:textId="77777777" w:rsidR="003953D6" w:rsidRPr="00346CBB" w:rsidRDefault="003953D6" w:rsidP="00346CBB">
            <w:pPr>
              <w:jc w:val="right"/>
            </w:pPr>
            <w:r w:rsidRPr="00346CBB">
              <w:t>2,9 %</w:t>
            </w:r>
          </w:p>
        </w:tc>
      </w:tr>
      <w:tr w:rsidR="00A4769D" w:rsidRPr="00346CBB" w14:paraId="7E8BA6A5"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234D44" w14:textId="77777777" w:rsidR="003953D6" w:rsidRPr="00346CBB" w:rsidRDefault="003953D6" w:rsidP="00346CBB">
            <w:pPr>
              <w:pStyle w:val="TabellHode-rad"/>
            </w:pPr>
            <w:r w:rsidRPr="00346CBB">
              <w:t>2024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57F229" w14:textId="77777777" w:rsidR="003953D6" w:rsidRPr="00346CBB" w:rsidRDefault="003953D6" w:rsidP="00346CBB">
            <w:pPr>
              <w:jc w:val="right"/>
            </w:pPr>
            <w:r w:rsidRPr="00346CBB">
              <w:t>66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F1DB2D" w14:textId="77777777" w:rsidR="003953D6" w:rsidRPr="00346CBB" w:rsidRDefault="003953D6" w:rsidP="00346CBB">
            <w:pPr>
              <w:jc w:val="right"/>
            </w:pPr>
            <w:r w:rsidRPr="00346CBB">
              <w:t>-70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71FD60" w14:textId="77777777" w:rsidR="003953D6" w:rsidRPr="00346CBB" w:rsidRDefault="003953D6" w:rsidP="00346CBB">
            <w:pPr>
              <w:jc w:val="right"/>
            </w:pPr>
            <w:r w:rsidRPr="00346CBB">
              <w:t>136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F123646" w14:textId="77777777" w:rsidR="003953D6" w:rsidRPr="00346CBB" w:rsidRDefault="003953D6" w:rsidP="00346CBB">
            <w:pPr>
              <w:jc w:val="right"/>
            </w:pPr>
            <w:r w:rsidRPr="00346CBB">
              <w:t>1 144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B8F292" w14:textId="77777777" w:rsidR="003953D6" w:rsidRPr="00346CBB" w:rsidRDefault="003953D6" w:rsidP="00346CBB">
            <w:pPr>
              <w:jc w:val="right"/>
            </w:pPr>
            <w:r w:rsidRPr="00346CBB">
              <w:t>1 280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A3EAE65" w14:textId="77777777" w:rsidR="003953D6" w:rsidRPr="00346CBB" w:rsidRDefault="003953D6" w:rsidP="00346CBB">
            <w:pPr>
              <w:jc w:val="right"/>
            </w:pPr>
            <w:r w:rsidRPr="00346CBB">
              <w:t>24 674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1B52CFC" w14:textId="77777777" w:rsidR="003953D6" w:rsidRPr="00346CBB" w:rsidRDefault="003953D6" w:rsidP="00346CBB">
            <w:pPr>
              <w:jc w:val="right"/>
            </w:pPr>
            <w:r w:rsidRPr="00346CBB">
              <w:t>5,2 %</w:t>
            </w:r>
          </w:p>
        </w:tc>
      </w:tr>
      <w:tr w:rsidR="00A4769D" w:rsidRPr="00346CBB" w14:paraId="0C2A78FB"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8505BF" w14:textId="77777777" w:rsidR="003953D6" w:rsidRPr="00346CBB" w:rsidRDefault="003953D6" w:rsidP="00346CBB">
            <w:pPr>
              <w:pStyle w:val="TabellHode-rad"/>
            </w:pPr>
            <w:r w:rsidRPr="00346CBB">
              <w:t>B2025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03A4953" w14:textId="77777777" w:rsidR="003953D6" w:rsidRPr="00346CBB" w:rsidRDefault="003953D6" w:rsidP="00346CBB">
            <w:pPr>
              <w:jc w:val="right"/>
            </w:pPr>
            <w:r w:rsidRPr="00346CBB">
              <w:t>94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1BE64C" w14:textId="77777777" w:rsidR="003953D6" w:rsidRPr="00346CBB" w:rsidRDefault="003953D6" w:rsidP="00346CBB">
            <w:pPr>
              <w:jc w:val="right"/>
            </w:pPr>
            <w:r w:rsidRPr="00346CBB">
              <w:t>-211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45EAFBA" w14:textId="77777777" w:rsidR="003953D6" w:rsidRPr="00346CBB" w:rsidRDefault="003953D6" w:rsidP="00346CBB">
            <w:pPr>
              <w:jc w:val="right"/>
            </w:pPr>
            <w:r w:rsidRPr="00346CBB">
              <w:t>305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883C4C" w14:textId="77777777" w:rsidR="003953D6" w:rsidRPr="00346CBB" w:rsidRDefault="003953D6" w:rsidP="00346CBB">
            <w:pPr>
              <w:jc w:val="right"/>
            </w:pPr>
            <w:r w:rsidRPr="00346CBB">
              <w:t>1 283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7E25A0" w14:textId="77777777" w:rsidR="003953D6" w:rsidRPr="00346CBB" w:rsidRDefault="003953D6" w:rsidP="00346CBB">
            <w:pPr>
              <w:jc w:val="right"/>
            </w:pPr>
            <w:r w:rsidRPr="00346CBB">
              <w:t>1 588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A7621E7" w14:textId="77777777" w:rsidR="003953D6" w:rsidRPr="00346CBB" w:rsidRDefault="003953D6" w:rsidP="00346CBB">
            <w:pPr>
              <w:jc w:val="right"/>
            </w:pPr>
            <w:r w:rsidRPr="00346CBB">
              <w:t>25 754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FF45ED" w14:textId="77777777" w:rsidR="003953D6" w:rsidRPr="00346CBB" w:rsidRDefault="003953D6" w:rsidP="00346CBB">
            <w:pPr>
              <w:jc w:val="right"/>
            </w:pPr>
            <w:r w:rsidRPr="00346CBB">
              <w:t>6,2 %</w:t>
            </w:r>
          </w:p>
        </w:tc>
      </w:tr>
    </w:tbl>
    <w:p w14:paraId="546FED9B" w14:textId="77777777" w:rsidR="003953D6" w:rsidRPr="00346CBB" w:rsidRDefault="003953D6" w:rsidP="00346CBB"/>
    <w:tbl>
      <w:tblPr>
        <w:tblW w:w="5000" w:type="pct"/>
        <w:tblCellMar>
          <w:left w:w="0" w:type="dxa"/>
          <w:right w:w="0" w:type="dxa"/>
        </w:tblCellMar>
        <w:tblLook w:val="0000" w:firstRow="0" w:lastRow="0" w:firstColumn="0" w:lastColumn="0" w:noHBand="0" w:noVBand="0"/>
      </w:tblPr>
      <w:tblGrid>
        <w:gridCol w:w="1026"/>
        <w:gridCol w:w="1026"/>
        <w:gridCol w:w="1027"/>
        <w:gridCol w:w="1027"/>
        <w:gridCol w:w="1027"/>
        <w:gridCol w:w="1027"/>
        <w:gridCol w:w="1027"/>
        <w:gridCol w:w="1027"/>
      </w:tblGrid>
      <w:tr w:rsidR="00A4769D" w:rsidRPr="00346CBB" w14:paraId="3F35D617" w14:textId="77777777" w:rsidTr="00C9271A">
        <w:trPr>
          <w:trHeight w:val="60"/>
          <w:tblHeader/>
        </w:trPr>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4FB2487" w14:textId="77777777" w:rsidR="003953D6" w:rsidRPr="00346CBB" w:rsidRDefault="003953D6" w:rsidP="00C9271A">
            <w:pPr>
              <w:pStyle w:val="TabellHode-kolonne"/>
            </w:pPr>
            <w:r w:rsidRPr="00346CBB">
              <w:lastRenderedPageBreak/>
              <w:t>Landet</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1B54B5A" w14:textId="77777777" w:rsidR="003953D6" w:rsidRPr="00346CBB" w:rsidRDefault="003953D6" w:rsidP="00C9271A">
            <w:pPr>
              <w:pStyle w:val="TabellHode-kolonne"/>
              <w:jc w:val="right"/>
            </w:pPr>
            <w:r w:rsidRPr="00346CBB">
              <w:t>Resultat</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3187C48" w14:textId="77777777" w:rsidR="003953D6" w:rsidRPr="00346CBB" w:rsidRDefault="003953D6" w:rsidP="00C9271A">
            <w:pPr>
              <w:pStyle w:val="TabellHode-kolonne"/>
              <w:jc w:val="right"/>
            </w:pPr>
            <w:r w:rsidRPr="00346CBB">
              <w:t>Netto finans</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D64C607" w14:textId="3E2F7CF1" w:rsidR="003953D6" w:rsidRPr="00346CBB" w:rsidRDefault="003953D6" w:rsidP="00C9271A">
            <w:pPr>
              <w:pStyle w:val="TabellHode-kolonne"/>
              <w:jc w:val="right"/>
            </w:pPr>
            <w:r w:rsidRPr="00346CBB">
              <w:t>Driftsresultat</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E0DB55C" w14:textId="3ED91227" w:rsidR="003953D6" w:rsidRPr="00346CBB" w:rsidRDefault="003953D6" w:rsidP="00C9271A">
            <w:pPr>
              <w:pStyle w:val="TabellHode-kolonne"/>
              <w:jc w:val="right"/>
            </w:pPr>
            <w:r w:rsidRPr="00346CBB">
              <w:t>Avskrivninger</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EF37AD1" w14:textId="289A2B86" w:rsidR="003953D6" w:rsidRPr="00346CBB" w:rsidRDefault="003953D6" w:rsidP="00C9271A">
            <w:pPr>
              <w:pStyle w:val="TabellHode-kolonne"/>
              <w:jc w:val="right"/>
            </w:pPr>
            <w:r w:rsidRPr="00346CBB">
              <w:t>Driftsresultat før avskrivninger i løpende priser</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DBB6915" w14:textId="77777777" w:rsidR="003953D6" w:rsidRPr="00346CBB" w:rsidRDefault="003953D6" w:rsidP="00C9271A">
            <w:pPr>
              <w:pStyle w:val="TabellHode-kolonne"/>
              <w:jc w:val="right"/>
            </w:pPr>
            <w:r w:rsidRPr="00346CBB">
              <w:t>Omsetning</w:t>
            </w:r>
          </w:p>
        </w:tc>
        <w:tc>
          <w:tcPr>
            <w:tcW w:w="62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9BB3D92" w14:textId="3D8486DA" w:rsidR="003953D6" w:rsidRPr="00346CBB" w:rsidRDefault="003953D6" w:rsidP="00C9271A">
            <w:pPr>
              <w:pStyle w:val="TabellHode-kolonne"/>
              <w:jc w:val="right"/>
            </w:pPr>
            <w:r w:rsidRPr="00346CBB">
              <w:t>Driftsresultat før avskrivninger i pst. av omsetning</w:t>
            </w:r>
          </w:p>
        </w:tc>
      </w:tr>
      <w:tr w:rsidR="00A4769D" w:rsidRPr="00346CBB" w14:paraId="7F72A3F3"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631836" w14:textId="77777777" w:rsidR="003953D6" w:rsidRPr="00346CBB" w:rsidRDefault="003953D6" w:rsidP="00346CBB">
            <w:pPr>
              <w:pStyle w:val="TabellHode-rad"/>
            </w:pPr>
            <w:r w:rsidRPr="00346CBB">
              <w:t>2014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7A479A6" w14:textId="77777777" w:rsidR="003953D6" w:rsidRPr="00346CBB" w:rsidRDefault="003953D6" w:rsidP="00346CBB">
            <w:pPr>
              <w:jc w:val="right"/>
            </w:pPr>
            <w:r w:rsidRPr="00346CBB">
              <w:t>2 777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DBD1B0" w14:textId="77777777" w:rsidR="003953D6" w:rsidRPr="00346CBB" w:rsidRDefault="003953D6" w:rsidP="00346CBB">
            <w:pPr>
              <w:jc w:val="right"/>
            </w:pPr>
            <w:r w:rsidRPr="00346CBB">
              <w:t>85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08147F" w14:textId="77777777" w:rsidR="003953D6" w:rsidRPr="00346CBB" w:rsidRDefault="003953D6" w:rsidP="00346CBB">
            <w:pPr>
              <w:jc w:val="right"/>
            </w:pPr>
            <w:r w:rsidRPr="00346CBB">
              <w:t>2 692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071185" w14:textId="77777777" w:rsidR="003953D6" w:rsidRPr="00346CBB" w:rsidRDefault="003953D6" w:rsidP="00346CBB">
            <w:pPr>
              <w:jc w:val="right"/>
            </w:pPr>
            <w:r w:rsidRPr="00346CBB">
              <w:t>6 045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A37FCCC" w14:textId="77777777" w:rsidR="003953D6" w:rsidRPr="00346CBB" w:rsidRDefault="003953D6" w:rsidP="00346CBB">
            <w:pPr>
              <w:jc w:val="right"/>
            </w:pPr>
            <w:r w:rsidRPr="00346CBB">
              <w:t>8 737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0EA0417" w14:textId="77777777" w:rsidR="003953D6" w:rsidRPr="00346CBB" w:rsidRDefault="003953D6" w:rsidP="00346CBB">
            <w:pPr>
              <w:jc w:val="right"/>
            </w:pPr>
            <w:r w:rsidRPr="00346CBB">
              <w:t>127 785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CABA200" w14:textId="77777777" w:rsidR="003953D6" w:rsidRPr="00346CBB" w:rsidRDefault="003953D6" w:rsidP="00346CBB">
            <w:pPr>
              <w:jc w:val="right"/>
            </w:pPr>
            <w:r w:rsidRPr="00346CBB">
              <w:t>6,8 %</w:t>
            </w:r>
          </w:p>
        </w:tc>
      </w:tr>
      <w:tr w:rsidR="00A4769D" w:rsidRPr="00346CBB" w14:paraId="5217C01F"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C08AC31" w14:textId="77777777" w:rsidR="003953D6" w:rsidRPr="00346CBB" w:rsidRDefault="003953D6" w:rsidP="00346CBB">
            <w:pPr>
              <w:pStyle w:val="TabellHode-rad"/>
            </w:pPr>
            <w:r w:rsidRPr="00346CBB">
              <w:t>2015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C2CB04" w14:textId="77777777" w:rsidR="003953D6" w:rsidRPr="00346CBB" w:rsidRDefault="003953D6" w:rsidP="00346CBB">
            <w:pPr>
              <w:jc w:val="right"/>
            </w:pPr>
            <w:r w:rsidRPr="00346CBB">
              <w:t>2 736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F30BA2" w14:textId="77777777" w:rsidR="003953D6" w:rsidRPr="00346CBB" w:rsidRDefault="003953D6" w:rsidP="00346CBB">
            <w:pPr>
              <w:jc w:val="right"/>
            </w:pPr>
            <w:r w:rsidRPr="00346CBB">
              <w:t>32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111FBA6" w14:textId="77777777" w:rsidR="003953D6" w:rsidRPr="00346CBB" w:rsidRDefault="003953D6" w:rsidP="00346CBB">
            <w:pPr>
              <w:jc w:val="right"/>
            </w:pPr>
            <w:r w:rsidRPr="00346CBB">
              <w:t>2 704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EFF92E" w14:textId="77777777" w:rsidR="003953D6" w:rsidRPr="00346CBB" w:rsidRDefault="003953D6" w:rsidP="00346CBB">
            <w:pPr>
              <w:jc w:val="right"/>
            </w:pPr>
            <w:r w:rsidRPr="00346CBB">
              <w:t>5 986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6373D71" w14:textId="77777777" w:rsidR="003953D6" w:rsidRPr="00346CBB" w:rsidRDefault="003953D6" w:rsidP="00346CBB">
            <w:pPr>
              <w:jc w:val="right"/>
            </w:pPr>
            <w:r w:rsidRPr="00346CBB">
              <w:t>8 690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3CE8D4" w14:textId="77777777" w:rsidR="003953D6" w:rsidRPr="00346CBB" w:rsidRDefault="003953D6" w:rsidP="00346CBB">
            <w:pPr>
              <w:jc w:val="right"/>
            </w:pPr>
            <w:r w:rsidRPr="00346CBB">
              <w:t>144 938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BBCB926" w14:textId="77777777" w:rsidR="003953D6" w:rsidRPr="00346CBB" w:rsidRDefault="003953D6" w:rsidP="00346CBB">
            <w:pPr>
              <w:jc w:val="right"/>
            </w:pPr>
            <w:r w:rsidRPr="00346CBB">
              <w:t>6,0 %</w:t>
            </w:r>
          </w:p>
        </w:tc>
      </w:tr>
      <w:tr w:rsidR="00A4769D" w:rsidRPr="00346CBB" w14:paraId="1EC39F8F"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4323AE7" w14:textId="77777777" w:rsidR="003953D6" w:rsidRPr="00346CBB" w:rsidRDefault="003953D6" w:rsidP="00346CBB">
            <w:pPr>
              <w:pStyle w:val="TabellHode-rad"/>
            </w:pPr>
            <w:r w:rsidRPr="00346CBB">
              <w:t>2016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0AA15C" w14:textId="77777777" w:rsidR="003953D6" w:rsidRPr="00346CBB" w:rsidRDefault="003953D6" w:rsidP="00346CBB">
            <w:pPr>
              <w:jc w:val="right"/>
            </w:pPr>
            <w:r w:rsidRPr="00346CBB">
              <w:t>2 970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0DD2090" w14:textId="77777777" w:rsidR="003953D6" w:rsidRPr="00346CBB" w:rsidRDefault="003953D6" w:rsidP="00346CBB">
            <w:pPr>
              <w:jc w:val="right"/>
            </w:pPr>
            <w:r w:rsidRPr="00346CBB">
              <w:t>96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E36FB7E" w14:textId="77777777" w:rsidR="003953D6" w:rsidRPr="00346CBB" w:rsidRDefault="003953D6" w:rsidP="00346CBB">
            <w:pPr>
              <w:jc w:val="right"/>
            </w:pPr>
            <w:r w:rsidRPr="00346CBB">
              <w:t>2 874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E5B000A" w14:textId="77777777" w:rsidR="003953D6" w:rsidRPr="00346CBB" w:rsidRDefault="003953D6" w:rsidP="00346CBB">
            <w:pPr>
              <w:jc w:val="right"/>
            </w:pPr>
            <w:r w:rsidRPr="00346CBB">
              <w:t>6 503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41D75B9" w14:textId="77777777" w:rsidR="003953D6" w:rsidRPr="00346CBB" w:rsidRDefault="003953D6" w:rsidP="00346CBB">
            <w:pPr>
              <w:jc w:val="right"/>
            </w:pPr>
            <w:r w:rsidRPr="00346CBB">
              <w:t>9 377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939F7DF" w14:textId="77777777" w:rsidR="003953D6" w:rsidRPr="00346CBB" w:rsidRDefault="003953D6" w:rsidP="00346CBB">
            <w:pPr>
              <w:jc w:val="right"/>
            </w:pPr>
            <w:r w:rsidRPr="00346CBB">
              <w:t>146 031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FE712A8" w14:textId="77777777" w:rsidR="003953D6" w:rsidRPr="00346CBB" w:rsidRDefault="003953D6" w:rsidP="00346CBB">
            <w:pPr>
              <w:jc w:val="right"/>
            </w:pPr>
            <w:r w:rsidRPr="00346CBB">
              <w:t>6,4 %</w:t>
            </w:r>
          </w:p>
        </w:tc>
      </w:tr>
      <w:tr w:rsidR="00A4769D" w:rsidRPr="00346CBB" w14:paraId="429D110A"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1CCF356" w14:textId="77777777" w:rsidR="003953D6" w:rsidRPr="00346CBB" w:rsidRDefault="003953D6" w:rsidP="00346CBB">
            <w:pPr>
              <w:pStyle w:val="TabellHode-rad"/>
            </w:pPr>
            <w:r w:rsidRPr="00346CBB">
              <w:t>2017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A00189" w14:textId="77777777" w:rsidR="003953D6" w:rsidRPr="00346CBB" w:rsidRDefault="003953D6" w:rsidP="00346CBB">
            <w:pPr>
              <w:jc w:val="right"/>
            </w:pPr>
            <w:r w:rsidRPr="00346CBB">
              <w:t>2 283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B67AFB3" w14:textId="77777777" w:rsidR="003953D6" w:rsidRPr="00346CBB" w:rsidRDefault="003953D6" w:rsidP="00346CBB">
            <w:pPr>
              <w:jc w:val="right"/>
            </w:pPr>
            <w:r w:rsidRPr="00346CBB">
              <w:t>-43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CC3214" w14:textId="77777777" w:rsidR="003953D6" w:rsidRPr="00346CBB" w:rsidRDefault="003953D6" w:rsidP="00346CBB">
            <w:pPr>
              <w:jc w:val="right"/>
            </w:pPr>
            <w:r w:rsidRPr="00346CBB">
              <w:t>2 326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AA111D" w14:textId="77777777" w:rsidR="003953D6" w:rsidRPr="00346CBB" w:rsidRDefault="003953D6" w:rsidP="00346CBB">
            <w:pPr>
              <w:jc w:val="right"/>
            </w:pPr>
            <w:r w:rsidRPr="00346CBB">
              <w:t>6 821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65F7C72" w14:textId="77777777" w:rsidR="003953D6" w:rsidRPr="00346CBB" w:rsidRDefault="003953D6" w:rsidP="00346CBB">
            <w:pPr>
              <w:jc w:val="right"/>
            </w:pPr>
            <w:r w:rsidRPr="00346CBB">
              <w:t>9 146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8360571" w14:textId="77777777" w:rsidR="003953D6" w:rsidRPr="00346CBB" w:rsidRDefault="003953D6" w:rsidP="00346CBB">
            <w:pPr>
              <w:jc w:val="right"/>
            </w:pPr>
            <w:r w:rsidRPr="00346CBB">
              <w:t>144 851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7BACB3" w14:textId="77777777" w:rsidR="003953D6" w:rsidRPr="00346CBB" w:rsidRDefault="003953D6" w:rsidP="00346CBB">
            <w:pPr>
              <w:jc w:val="right"/>
            </w:pPr>
            <w:r w:rsidRPr="00346CBB">
              <w:t>6,3 %</w:t>
            </w:r>
          </w:p>
        </w:tc>
      </w:tr>
      <w:tr w:rsidR="00A4769D" w:rsidRPr="00346CBB" w14:paraId="4303602D"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EA38773" w14:textId="77777777" w:rsidR="003953D6" w:rsidRPr="00346CBB" w:rsidRDefault="003953D6" w:rsidP="00346CBB">
            <w:pPr>
              <w:pStyle w:val="TabellHode-rad"/>
            </w:pPr>
            <w:r w:rsidRPr="00346CBB">
              <w:t>2018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8FFFF4" w14:textId="77777777" w:rsidR="003953D6" w:rsidRPr="00346CBB" w:rsidRDefault="003953D6" w:rsidP="00346CBB">
            <w:pPr>
              <w:jc w:val="right"/>
            </w:pPr>
            <w:r w:rsidRPr="00346CBB">
              <w:t>3 243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95AD774" w14:textId="77777777" w:rsidR="003953D6" w:rsidRPr="00346CBB" w:rsidRDefault="003953D6" w:rsidP="00346CBB">
            <w:pPr>
              <w:jc w:val="right"/>
            </w:pPr>
            <w:r w:rsidRPr="00346CBB">
              <w:t>37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08769A" w14:textId="77777777" w:rsidR="003953D6" w:rsidRPr="00346CBB" w:rsidRDefault="003953D6" w:rsidP="00346CBB">
            <w:pPr>
              <w:jc w:val="right"/>
            </w:pPr>
            <w:r w:rsidRPr="00346CBB">
              <w:t>3 206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8BACD49" w14:textId="77777777" w:rsidR="003953D6" w:rsidRPr="00346CBB" w:rsidRDefault="003953D6" w:rsidP="00346CBB">
            <w:pPr>
              <w:jc w:val="right"/>
            </w:pPr>
            <w:r w:rsidRPr="00346CBB">
              <w:t>6 850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1622D1B" w14:textId="77777777" w:rsidR="003953D6" w:rsidRPr="00346CBB" w:rsidRDefault="003953D6" w:rsidP="00346CBB">
            <w:pPr>
              <w:jc w:val="right"/>
            </w:pPr>
            <w:r w:rsidRPr="00346CBB">
              <w:t>10 057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693881" w14:textId="77777777" w:rsidR="003953D6" w:rsidRPr="00346CBB" w:rsidRDefault="003953D6" w:rsidP="00346CBB">
            <w:pPr>
              <w:jc w:val="right"/>
            </w:pPr>
            <w:r w:rsidRPr="00346CBB">
              <w:t>149 840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5A98295" w14:textId="77777777" w:rsidR="003953D6" w:rsidRPr="00346CBB" w:rsidRDefault="003953D6" w:rsidP="00346CBB">
            <w:pPr>
              <w:jc w:val="right"/>
            </w:pPr>
            <w:r w:rsidRPr="00346CBB">
              <w:t>6,7 %</w:t>
            </w:r>
          </w:p>
        </w:tc>
      </w:tr>
      <w:tr w:rsidR="00A4769D" w:rsidRPr="00346CBB" w14:paraId="7FF5077A"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38D7436" w14:textId="77777777" w:rsidR="003953D6" w:rsidRPr="00346CBB" w:rsidRDefault="003953D6" w:rsidP="00346CBB">
            <w:pPr>
              <w:pStyle w:val="TabellHode-rad"/>
            </w:pPr>
            <w:r w:rsidRPr="00346CBB">
              <w:t>2019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4B041F7" w14:textId="77777777" w:rsidR="003953D6" w:rsidRPr="00346CBB" w:rsidRDefault="003953D6" w:rsidP="00346CBB">
            <w:pPr>
              <w:jc w:val="right"/>
            </w:pPr>
            <w:r w:rsidRPr="00346CBB">
              <w:t>3 382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DF6E6E" w14:textId="77777777" w:rsidR="003953D6" w:rsidRPr="00346CBB" w:rsidRDefault="003953D6" w:rsidP="00346CBB">
            <w:pPr>
              <w:jc w:val="right"/>
            </w:pPr>
            <w:r w:rsidRPr="00346CBB">
              <w:t>174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9C59A9" w14:textId="77777777" w:rsidR="003953D6" w:rsidRPr="00346CBB" w:rsidRDefault="003953D6" w:rsidP="00346CBB">
            <w:pPr>
              <w:jc w:val="right"/>
            </w:pPr>
            <w:r w:rsidRPr="00346CBB">
              <w:t>3 208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289139" w14:textId="77777777" w:rsidR="003953D6" w:rsidRPr="00346CBB" w:rsidRDefault="003953D6" w:rsidP="00346CBB">
            <w:pPr>
              <w:jc w:val="right"/>
            </w:pPr>
            <w:r w:rsidRPr="00346CBB">
              <w:t>7 011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57EF9B" w14:textId="77777777" w:rsidR="003953D6" w:rsidRPr="00346CBB" w:rsidRDefault="003953D6" w:rsidP="00346CBB">
            <w:pPr>
              <w:jc w:val="right"/>
            </w:pPr>
            <w:r w:rsidRPr="00346CBB">
              <w:t>10 219</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8FD41E" w14:textId="77777777" w:rsidR="003953D6" w:rsidRPr="00346CBB" w:rsidRDefault="003953D6" w:rsidP="00346CBB">
            <w:pPr>
              <w:jc w:val="right"/>
            </w:pPr>
            <w:r w:rsidRPr="00346CBB">
              <w:t>158 322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C94F54" w14:textId="77777777" w:rsidR="003953D6" w:rsidRPr="00346CBB" w:rsidRDefault="003953D6" w:rsidP="00346CBB">
            <w:pPr>
              <w:jc w:val="right"/>
            </w:pPr>
            <w:r w:rsidRPr="00346CBB">
              <w:t>6,5 %</w:t>
            </w:r>
          </w:p>
        </w:tc>
      </w:tr>
      <w:tr w:rsidR="00A4769D" w:rsidRPr="00346CBB" w14:paraId="30834BBA"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62CDBD7" w14:textId="77777777" w:rsidR="003953D6" w:rsidRPr="00346CBB" w:rsidRDefault="003953D6" w:rsidP="00346CBB">
            <w:pPr>
              <w:pStyle w:val="TabellHode-rad"/>
            </w:pPr>
            <w:r w:rsidRPr="00346CBB">
              <w:t>2020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FAB613" w14:textId="77777777" w:rsidR="003953D6" w:rsidRPr="00346CBB" w:rsidRDefault="003953D6" w:rsidP="00346CBB">
            <w:pPr>
              <w:jc w:val="right"/>
            </w:pPr>
            <w:r w:rsidRPr="00346CBB">
              <w:t>6 202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A27D130" w14:textId="77777777" w:rsidR="003953D6" w:rsidRPr="00346CBB" w:rsidRDefault="003953D6" w:rsidP="00346CBB">
            <w:pPr>
              <w:jc w:val="right"/>
            </w:pPr>
            <w:r w:rsidRPr="00346CBB">
              <w:t>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49119EB" w14:textId="77777777" w:rsidR="003953D6" w:rsidRPr="00346CBB" w:rsidRDefault="003953D6" w:rsidP="00346CBB">
            <w:pPr>
              <w:jc w:val="right"/>
            </w:pPr>
            <w:r w:rsidRPr="00346CBB">
              <w:t>6 195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D9C3366" w14:textId="77777777" w:rsidR="003953D6" w:rsidRPr="00346CBB" w:rsidRDefault="003953D6" w:rsidP="00346CBB">
            <w:pPr>
              <w:jc w:val="right"/>
            </w:pPr>
            <w:r w:rsidRPr="00346CBB">
              <w:t>7 328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C6CA087" w14:textId="77777777" w:rsidR="003953D6" w:rsidRPr="00346CBB" w:rsidRDefault="003953D6" w:rsidP="00346CBB">
            <w:pPr>
              <w:jc w:val="right"/>
            </w:pPr>
            <w:r w:rsidRPr="00346CBB">
              <w:t>13 523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E573807" w14:textId="77777777" w:rsidR="003953D6" w:rsidRPr="00346CBB" w:rsidRDefault="003953D6" w:rsidP="00346CBB">
            <w:pPr>
              <w:jc w:val="right"/>
            </w:pPr>
            <w:r w:rsidRPr="00346CBB">
              <w:t>163 234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30D4E59" w14:textId="77777777" w:rsidR="003953D6" w:rsidRPr="00346CBB" w:rsidRDefault="003953D6" w:rsidP="00346CBB">
            <w:pPr>
              <w:jc w:val="right"/>
            </w:pPr>
            <w:r w:rsidRPr="00346CBB">
              <w:t>8,3 %</w:t>
            </w:r>
          </w:p>
        </w:tc>
      </w:tr>
      <w:tr w:rsidR="00A4769D" w:rsidRPr="00346CBB" w14:paraId="316497A4"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FCFC89" w14:textId="77777777" w:rsidR="003953D6" w:rsidRPr="00346CBB" w:rsidRDefault="003953D6" w:rsidP="00346CBB">
            <w:pPr>
              <w:pStyle w:val="TabellHode-rad"/>
            </w:pPr>
            <w:r w:rsidRPr="00346CBB">
              <w:t>2021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F70D5B4" w14:textId="77777777" w:rsidR="003953D6" w:rsidRPr="00346CBB" w:rsidRDefault="003953D6" w:rsidP="00346CBB">
            <w:pPr>
              <w:jc w:val="right"/>
            </w:pPr>
            <w:r w:rsidRPr="00346CBB">
              <w:t>4 040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6C3549A" w14:textId="77777777" w:rsidR="003953D6" w:rsidRPr="00346CBB" w:rsidRDefault="003953D6" w:rsidP="00346CBB">
            <w:pPr>
              <w:jc w:val="right"/>
            </w:pPr>
            <w:r w:rsidRPr="00346CBB">
              <w:t>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915550" w14:textId="77777777" w:rsidR="003953D6" w:rsidRPr="00346CBB" w:rsidRDefault="003953D6" w:rsidP="00346CBB">
            <w:pPr>
              <w:jc w:val="right"/>
            </w:pPr>
            <w:r w:rsidRPr="00346CBB">
              <w:t>4 036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882AED7" w14:textId="77777777" w:rsidR="003953D6" w:rsidRPr="00346CBB" w:rsidRDefault="003953D6" w:rsidP="00346CBB">
            <w:pPr>
              <w:jc w:val="right"/>
            </w:pPr>
            <w:r w:rsidRPr="00346CBB">
              <w:t>7 484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87A1A3C" w14:textId="77777777" w:rsidR="003953D6" w:rsidRPr="00346CBB" w:rsidRDefault="003953D6" w:rsidP="00346CBB">
            <w:pPr>
              <w:jc w:val="right"/>
            </w:pPr>
            <w:r w:rsidRPr="00346CBB">
              <w:t>11 520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4D6F7A" w14:textId="77777777" w:rsidR="003953D6" w:rsidRPr="00346CBB" w:rsidRDefault="003953D6" w:rsidP="00346CBB">
            <w:pPr>
              <w:jc w:val="right"/>
            </w:pPr>
            <w:r w:rsidRPr="00346CBB">
              <w:t>175 794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8BA6294" w14:textId="77777777" w:rsidR="003953D6" w:rsidRPr="00346CBB" w:rsidRDefault="003953D6" w:rsidP="00346CBB">
            <w:pPr>
              <w:jc w:val="right"/>
            </w:pPr>
            <w:r w:rsidRPr="00346CBB">
              <w:t>6,6 %</w:t>
            </w:r>
          </w:p>
        </w:tc>
      </w:tr>
      <w:tr w:rsidR="00A4769D" w:rsidRPr="00346CBB" w14:paraId="13ED0A22"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B1A3A2D" w14:textId="77777777" w:rsidR="003953D6" w:rsidRPr="00346CBB" w:rsidRDefault="003953D6" w:rsidP="00346CBB">
            <w:pPr>
              <w:pStyle w:val="TabellHode-rad"/>
            </w:pPr>
            <w:r w:rsidRPr="00346CBB">
              <w:t>2022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836DB1E" w14:textId="77777777" w:rsidR="003953D6" w:rsidRPr="00346CBB" w:rsidRDefault="003953D6" w:rsidP="00346CBB">
            <w:pPr>
              <w:jc w:val="right"/>
            </w:pPr>
            <w:r w:rsidRPr="00346CBB">
              <w:t>2 580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B80D0A9" w14:textId="77777777" w:rsidR="003953D6" w:rsidRPr="00346CBB" w:rsidRDefault="003953D6" w:rsidP="00346CBB">
            <w:pPr>
              <w:jc w:val="right"/>
            </w:pPr>
            <w:r w:rsidRPr="00346CBB">
              <w:t>288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D1B72B" w14:textId="77777777" w:rsidR="003953D6" w:rsidRPr="00346CBB" w:rsidRDefault="003953D6" w:rsidP="00346CBB">
            <w:pPr>
              <w:jc w:val="right"/>
            </w:pPr>
            <w:r w:rsidRPr="00346CBB">
              <w:t>2 293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36CA2F2" w14:textId="77777777" w:rsidR="003953D6" w:rsidRPr="00346CBB" w:rsidRDefault="003953D6" w:rsidP="00346CBB">
            <w:pPr>
              <w:jc w:val="right"/>
            </w:pPr>
            <w:r w:rsidRPr="00346CBB">
              <w:t>7 911</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9B3EBD7" w14:textId="77777777" w:rsidR="003953D6" w:rsidRPr="00346CBB" w:rsidRDefault="003953D6" w:rsidP="00346CBB">
            <w:pPr>
              <w:jc w:val="right"/>
            </w:pPr>
            <w:r w:rsidRPr="00346CBB">
              <w:t>10 203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66B6D5A" w14:textId="77777777" w:rsidR="003953D6" w:rsidRPr="00346CBB" w:rsidRDefault="003953D6" w:rsidP="00346CBB">
            <w:pPr>
              <w:jc w:val="right"/>
            </w:pPr>
            <w:r w:rsidRPr="00346CBB">
              <w:t>185 717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24ECBCB" w14:textId="77777777" w:rsidR="003953D6" w:rsidRPr="00346CBB" w:rsidRDefault="003953D6" w:rsidP="00346CBB">
            <w:pPr>
              <w:jc w:val="right"/>
            </w:pPr>
            <w:r w:rsidRPr="00346CBB">
              <w:t>5,5 %</w:t>
            </w:r>
          </w:p>
        </w:tc>
      </w:tr>
      <w:tr w:rsidR="00A4769D" w:rsidRPr="00346CBB" w14:paraId="0BC6F940"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7AA7699" w14:textId="77777777" w:rsidR="003953D6" w:rsidRPr="00346CBB" w:rsidRDefault="003953D6" w:rsidP="00346CBB">
            <w:pPr>
              <w:pStyle w:val="TabellHode-rad"/>
            </w:pPr>
            <w:r w:rsidRPr="00346CBB">
              <w:t>2023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194808F" w14:textId="77777777" w:rsidR="003953D6" w:rsidRPr="00346CBB" w:rsidRDefault="003953D6" w:rsidP="00346CBB">
            <w:pPr>
              <w:jc w:val="right"/>
            </w:pPr>
            <w:r w:rsidRPr="00346CBB">
              <w:t>1 496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914B189" w14:textId="77777777" w:rsidR="003953D6" w:rsidRPr="00346CBB" w:rsidRDefault="003953D6" w:rsidP="00346CBB">
            <w:pPr>
              <w:jc w:val="right"/>
            </w:pPr>
            <w:r w:rsidRPr="00346CBB">
              <w:t>380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EBA878" w14:textId="77777777" w:rsidR="003953D6" w:rsidRPr="00346CBB" w:rsidRDefault="003953D6" w:rsidP="00346CBB">
            <w:pPr>
              <w:jc w:val="right"/>
            </w:pPr>
            <w:r w:rsidRPr="00346CBB">
              <w:t>1 117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AAB2F4" w14:textId="77777777" w:rsidR="003953D6" w:rsidRPr="00346CBB" w:rsidRDefault="003953D6" w:rsidP="00346CBB">
            <w:pPr>
              <w:jc w:val="right"/>
            </w:pPr>
            <w:r w:rsidRPr="00346CBB">
              <w:t>8 163</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9FE653" w14:textId="77777777" w:rsidR="003953D6" w:rsidRPr="00346CBB" w:rsidRDefault="003953D6" w:rsidP="00346CBB">
            <w:pPr>
              <w:jc w:val="right"/>
            </w:pPr>
            <w:r w:rsidRPr="00346CBB">
              <w:t>9 280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453D406" w14:textId="77777777" w:rsidR="003953D6" w:rsidRPr="00346CBB" w:rsidRDefault="003953D6" w:rsidP="00346CBB">
            <w:pPr>
              <w:jc w:val="right"/>
            </w:pPr>
            <w:r w:rsidRPr="00346CBB">
              <w:t>194 358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EF9AF4D" w14:textId="77777777" w:rsidR="003953D6" w:rsidRPr="00346CBB" w:rsidRDefault="003953D6" w:rsidP="00346CBB">
            <w:pPr>
              <w:jc w:val="right"/>
            </w:pPr>
            <w:r w:rsidRPr="00346CBB">
              <w:t>4,8 %</w:t>
            </w:r>
          </w:p>
        </w:tc>
      </w:tr>
      <w:tr w:rsidR="00A4769D" w:rsidRPr="00346CBB" w14:paraId="5410FAD1"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B54C6FE" w14:textId="77777777" w:rsidR="003953D6" w:rsidRPr="00346CBB" w:rsidRDefault="003953D6" w:rsidP="00346CBB">
            <w:pPr>
              <w:pStyle w:val="TabellHode-rad"/>
            </w:pPr>
            <w:r w:rsidRPr="00346CBB">
              <w:t>2024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E62E7B3" w14:textId="77777777" w:rsidR="003953D6" w:rsidRPr="00346CBB" w:rsidRDefault="003953D6" w:rsidP="00346CBB">
            <w:pPr>
              <w:jc w:val="right"/>
            </w:pPr>
            <w:r w:rsidRPr="00346CBB">
              <w:t>3 276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35F8762" w14:textId="77777777" w:rsidR="003953D6" w:rsidRPr="00346CBB" w:rsidRDefault="003953D6" w:rsidP="00346CBB">
            <w:pPr>
              <w:jc w:val="right"/>
            </w:pPr>
            <w:r w:rsidRPr="00346CBB">
              <w:t>-204</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2D98DC6" w14:textId="77777777" w:rsidR="003953D6" w:rsidRPr="00346CBB" w:rsidRDefault="003953D6" w:rsidP="00346CBB">
            <w:pPr>
              <w:jc w:val="right"/>
            </w:pPr>
            <w:r w:rsidRPr="00346CBB">
              <w:t>3 480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F20B03C" w14:textId="77777777" w:rsidR="003953D6" w:rsidRPr="00346CBB" w:rsidRDefault="003953D6" w:rsidP="00346CBB">
            <w:pPr>
              <w:jc w:val="right"/>
            </w:pPr>
            <w:r w:rsidRPr="00346CBB">
              <w:t>8 590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415B653" w14:textId="77777777" w:rsidR="003953D6" w:rsidRPr="00346CBB" w:rsidRDefault="003953D6" w:rsidP="00346CBB">
            <w:pPr>
              <w:jc w:val="right"/>
            </w:pPr>
            <w:r w:rsidRPr="00346CBB">
              <w:t>12 070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00087C4" w14:textId="77777777" w:rsidR="003953D6" w:rsidRPr="00346CBB" w:rsidRDefault="003953D6" w:rsidP="00346CBB">
            <w:pPr>
              <w:jc w:val="right"/>
            </w:pPr>
            <w:r w:rsidRPr="00346CBB">
              <w:t>210 455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F651630" w14:textId="77777777" w:rsidR="003953D6" w:rsidRPr="00346CBB" w:rsidRDefault="003953D6" w:rsidP="00346CBB">
            <w:pPr>
              <w:jc w:val="right"/>
            </w:pPr>
            <w:r w:rsidRPr="00346CBB">
              <w:t>5,7 %</w:t>
            </w:r>
          </w:p>
        </w:tc>
      </w:tr>
      <w:tr w:rsidR="00A4769D" w:rsidRPr="00346CBB" w14:paraId="7F9B5797" w14:textId="77777777" w:rsidTr="00346CBB">
        <w:trPr>
          <w:trHeight w:val="60"/>
        </w:trPr>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2A730137" w14:textId="77777777" w:rsidR="003953D6" w:rsidRPr="00346CBB" w:rsidRDefault="003953D6" w:rsidP="00346CBB">
            <w:pPr>
              <w:pStyle w:val="TabellHode-rad"/>
            </w:pPr>
            <w:r w:rsidRPr="00346CBB">
              <w:t>B2025</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190253EE" w14:textId="77777777" w:rsidR="003953D6" w:rsidRPr="00346CBB" w:rsidRDefault="003953D6" w:rsidP="00346CBB">
            <w:pPr>
              <w:jc w:val="right"/>
            </w:pPr>
            <w:r w:rsidRPr="00346CBB">
              <w:t>2 600</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95A86BD" w14:textId="77777777" w:rsidR="003953D6" w:rsidRPr="00346CBB" w:rsidRDefault="003953D6" w:rsidP="00346CBB">
            <w:pPr>
              <w:jc w:val="right"/>
            </w:pPr>
            <w:r w:rsidRPr="00346CBB">
              <w:t>-1 637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70EFB9C1" w14:textId="77777777" w:rsidR="003953D6" w:rsidRPr="00346CBB" w:rsidRDefault="003953D6" w:rsidP="00346CBB">
            <w:pPr>
              <w:jc w:val="right"/>
            </w:pPr>
            <w:r w:rsidRPr="00346CBB">
              <w:t>4 237</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37B60AB0" w14:textId="77777777" w:rsidR="003953D6" w:rsidRPr="00346CBB" w:rsidRDefault="003953D6" w:rsidP="00346CBB">
            <w:pPr>
              <w:jc w:val="right"/>
            </w:pPr>
            <w:r w:rsidRPr="00346CBB">
              <w:t>9 638</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DC4D93A" w14:textId="77777777" w:rsidR="003953D6" w:rsidRPr="00346CBB" w:rsidRDefault="003953D6" w:rsidP="00346CBB">
            <w:pPr>
              <w:jc w:val="right"/>
            </w:pPr>
            <w:r w:rsidRPr="00346CBB">
              <w:t>13 876</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63CE775C" w14:textId="77777777" w:rsidR="003953D6" w:rsidRPr="00346CBB" w:rsidRDefault="003953D6" w:rsidP="00346CBB">
            <w:pPr>
              <w:jc w:val="right"/>
            </w:pPr>
            <w:r w:rsidRPr="00346CBB">
              <w:t>220 372</w:t>
            </w:r>
          </w:p>
        </w:tc>
        <w:tc>
          <w:tcPr>
            <w:tcW w:w="62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02C5F6D7" w14:textId="77777777" w:rsidR="003953D6" w:rsidRPr="00346CBB" w:rsidRDefault="003953D6" w:rsidP="00346CBB">
            <w:pPr>
              <w:jc w:val="right"/>
            </w:pPr>
            <w:r w:rsidRPr="00346CBB">
              <w:t>6,3 %</w:t>
            </w:r>
          </w:p>
        </w:tc>
      </w:tr>
    </w:tbl>
    <w:p w14:paraId="057C32A0" w14:textId="77777777" w:rsidR="003953D6" w:rsidRPr="00346CBB" w:rsidRDefault="003953D6" w:rsidP="00346CBB"/>
    <w:p w14:paraId="08AEC46C" w14:textId="77777777" w:rsidR="003953D6" w:rsidRPr="00346CBB" w:rsidRDefault="003953D6" w:rsidP="00346CBB">
      <w:pPr>
        <w:pStyle w:val="UnOverskrift1"/>
        <w:rPr>
          <w:rStyle w:val="halvfet"/>
        </w:rPr>
      </w:pPr>
      <w:r w:rsidRPr="00346CBB">
        <w:rPr>
          <w:rStyle w:val="halvfet"/>
        </w:rPr>
        <w:lastRenderedPageBreak/>
        <w:t xml:space="preserve">Vedlegg 5 </w:t>
      </w:r>
      <w:r w:rsidRPr="00346CBB">
        <w:br/>
        <w:t>Notat fra Finansdepartementet til utvalget</w:t>
      </w:r>
    </w:p>
    <w:p w14:paraId="33B221BA" w14:textId="402D9C73" w:rsidR="003953D6" w:rsidRPr="00346CBB" w:rsidRDefault="00DA60DA" w:rsidP="00346CBB">
      <w:pPr>
        <w:rPr>
          <w:rStyle w:val="halvfet"/>
        </w:rPr>
      </w:pPr>
      <w:r>
        <w:rPr>
          <w:rStyle w:val="halvfet"/>
          <w:noProof/>
        </w:rPr>
        <w:drawing>
          <wp:inline distT="0" distB="0" distL="0" distR="0" wp14:anchorId="7009B5A1" wp14:editId="750A684A">
            <wp:extent cx="5210175" cy="2872740"/>
            <wp:effectExtent l="0" t="0" r="9525" b="3810"/>
            <wp:docPr id="936127217" name="Bilde 10" descr="Finansdepartementet. Notat. Til Teknisk beregningsutvalg. 5. mai 20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27217" name="Bilde 10" descr="Finansdepartementet. Notat. Til Teknisk beregningsutvalg. 5. mai 2025. "/>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0175" cy="2872740"/>
                    </a:xfrm>
                    <a:prstGeom prst="rect">
                      <a:avLst/>
                    </a:prstGeom>
                    <a:noFill/>
                    <a:ln>
                      <a:noFill/>
                    </a:ln>
                  </pic:spPr>
                </pic:pic>
              </a:graphicData>
            </a:graphic>
          </wp:inline>
        </w:drawing>
      </w:r>
    </w:p>
    <w:p w14:paraId="53C4A2C7" w14:textId="77777777" w:rsidR="003953D6" w:rsidRPr="00346CBB" w:rsidRDefault="003953D6" w:rsidP="00346CBB">
      <w:pPr>
        <w:pStyle w:val="UnOverskrift2"/>
        <w:rPr>
          <w:rStyle w:val="halvfet"/>
        </w:rPr>
      </w:pPr>
      <w:proofErr w:type="spellStart"/>
      <w:r w:rsidRPr="00346CBB">
        <w:rPr>
          <w:rStyle w:val="halvfet"/>
        </w:rPr>
        <w:t>Deflator</w:t>
      </w:r>
      <w:proofErr w:type="spellEnd"/>
      <w:r w:rsidRPr="00346CBB">
        <w:rPr>
          <w:rStyle w:val="halvfet"/>
        </w:rPr>
        <w:t xml:space="preserve"> spesialisthelsetjenesten</w:t>
      </w:r>
    </w:p>
    <w:p w14:paraId="39A58DB3" w14:textId="77777777" w:rsidR="003953D6" w:rsidRPr="00346CBB" w:rsidRDefault="003953D6" w:rsidP="00346CBB">
      <w:pPr>
        <w:pStyle w:val="UnOverskrift3"/>
        <w:rPr>
          <w:rStyle w:val="halvfet"/>
        </w:rPr>
      </w:pPr>
      <w:r w:rsidRPr="00346CBB">
        <w:rPr>
          <w:rStyle w:val="halvfet"/>
        </w:rPr>
        <w:t>Innledning</w:t>
      </w:r>
    </w:p>
    <w:p w14:paraId="1F39EAF7" w14:textId="20362480" w:rsidR="003953D6" w:rsidRPr="00346CBB" w:rsidRDefault="003953D6" w:rsidP="00346CBB">
      <w:proofErr w:type="spellStart"/>
      <w:r w:rsidRPr="00346CBB">
        <w:t>Deflatoren</w:t>
      </w:r>
      <w:proofErr w:type="spellEnd"/>
      <w:r w:rsidRPr="00346CBB">
        <w:t xml:space="preserve"> for spesialisthelsetjenesten (RHF-</w:t>
      </w:r>
      <w:proofErr w:type="spellStart"/>
      <w:r w:rsidRPr="00346CBB">
        <w:t>deflatoren</w:t>
      </w:r>
      <w:proofErr w:type="spellEnd"/>
      <w:r w:rsidRPr="00346CBB">
        <w:t xml:space="preserve">) utarbeides i Finansdepartementet i forbindelse med utformingen av det økonomiske opplegget for sektoren. Beregningene er en integrert del av et omfattende </w:t>
      </w:r>
      <w:proofErr w:type="spellStart"/>
      <w:r w:rsidRPr="00346CBB">
        <w:t>tallarbeid</w:t>
      </w:r>
      <w:proofErr w:type="spellEnd"/>
      <w:r w:rsidRPr="00346CBB">
        <w:t xml:space="preserve"> i tilknytning til nasjonalbudsjettene, og utgjør en del av grunnlaget for vurderinger av utviklingen og utsiktene for norsk økonomi.</w:t>
      </w:r>
    </w:p>
    <w:p w14:paraId="0BF7BE88" w14:textId="77777777" w:rsidR="003953D6" w:rsidRPr="00346CBB" w:rsidRDefault="003953D6" w:rsidP="00346CBB">
      <w:r w:rsidRPr="00346CBB">
        <w:t>Finansdepartementet benytter i hovedsak RHF-</w:t>
      </w:r>
      <w:proofErr w:type="spellStart"/>
      <w:r w:rsidRPr="00346CBB">
        <w:t>deflatoren</w:t>
      </w:r>
      <w:proofErr w:type="spellEnd"/>
      <w:r w:rsidRPr="00346CBB">
        <w:t xml:space="preserve"> til å </w:t>
      </w:r>
      <w:proofErr w:type="spellStart"/>
      <w:r w:rsidRPr="00346CBB">
        <w:t>prisomregne</w:t>
      </w:r>
      <w:proofErr w:type="spellEnd"/>
      <w:r w:rsidRPr="00346CBB">
        <w:t xml:space="preserve"> overføringer til spesialisthelsetjenesten i forbindelse med de årlige budsjettene. Helse- og omsorgsdepartementet bruker i tillegg </w:t>
      </w:r>
      <w:proofErr w:type="spellStart"/>
      <w:r w:rsidRPr="00346CBB">
        <w:t>deflatoren</w:t>
      </w:r>
      <w:proofErr w:type="spellEnd"/>
      <w:r w:rsidRPr="00346CBB">
        <w:t xml:space="preserve"> til å beregne realinntektsveksten for regionale helseforetak.</w:t>
      </w:r>
    </w:p>
    <w:p w14:paraId="3A550EBF" w14:textId="77777777" w:rsidR="003953D6" w:rsidRPr="00346CBB" w:rsidRDefault="003953D6" w:rsidP="00346CBB">
      <w:r w:rsidRPr="00346CBB">
        <w:t xml:space="preserve">Teknisk beregningsutvalg for spesialisthelsetjenesten legger videre til grunn Finansdepartementets beregninger og anslag på </w:t>
      </w:r>
      <w:proofErr w:type="spellStart"/>
      <w:r w:rsidRPr="00346CBB">
        <w:t>deflatoren</w:t>
      </w:r>
      <w:proofErr w:type="spellEnd"/>
      <w:r w:rsidRPr="00346CBB">
        <w:t xml:space="preserve"> i sine rapporter, jf. rapport av 9. desember 2024 (punkt 3.2). Samtidig uttaler utvalget: </w:t>
      </w:r>
      <w:r w:rsidRPr="00346CBB">
        <w:rPr>
          <w:rStyle w:val="kursiv"/>
        </w:rPr>
        <w:t xml:space="preserve">«Etter utvalgets syn er det enkelte sider ved hvordan Finansdepartementet beregner </w:t>
      </w:r>
      <w:proofErr w:type="spellStart"/>
      <w:r w:rsidRPr="00346CBB">
        <w:rPr>
          <w:rStyle w:val="kursiv"/>
        </w:rPr>
        <w:t>deflator</w:t>
      </w:r>
      <w:proofErr w:type="spellEnd"/>
      <w:r w:rsidRPr="00346CBB">
        <w:rPr>
          <w:rStyle w:val="kursiv"/>
        </w:rPr>
        <w:t xml:space="preserve"> for spesialisthelsetjenesten som bør vurderes nærmere. Det gjelder særlig regnskapsgrunnlaget som brukes for å fastsette vektene i prisberegningen, bruk av faste vekter </w:t>
      </w:r>
      <w:r w:rsidRPr="00346CBB">
        <w:rPr>
          <w:rStyle w:val="kursiv"/>
        </w:rPr>
        <w:lastRenderedPageBreak/>
        <w:t xml:space="preserve">i </w:t>
      </w:r>
      <w:proofErr w:type="spellStart"/>
      <w:r w:rsidRPr="00346CBB">
        <w:rPr>
          <w:rStyle w:val="kursiv"/>
        </w:rPr>
        <w:t>sammenvektingen</w:t>
      </w:r>
      <w:proofErr w:type="spellEnd"/>
      <w:r w:rsidRPr="00346CBB">
        <w:rPr>
          <w:rStyle w:val="kursiv"/>
        </w:rPr>
        <w:t xml:space="preserve"> av lønnsvekst og prisvekst, samt manglende </w:t>
      </w:r>
      <w:proofErr w:type="spellStart"/>
      <w:r w:rsidRPr="00346CBB">
        <w:rPr>
          <w:rStyle w:val="kursiv"/>
        </w:rPr>
        <w:t>innvekting</w:t>
      </w:r>
      <w:proofErr w:type="spellEnd"/>
      <w:r w:rsidRPr="00346CBB">
        <w:rPr>
          <w:rStyle w:val="kursiv"/>
        </w:rPr>
        <w:t xml:space="preserve"> av investeringer. Utvalget vil komme tilbake med nærmere vurderinger av dette i senere rapporter.»</w:t>
      </w:r>
    </w:p>
    <w:p w14:paraId="6C2376B9" w14:textId="77777777" w:rsidR="003953D6" w:rsidRPr="00346CBB" w:rsidRDefault="003953D6" w:rsidP="00346CBB">
      <w:r w:rsidRPr="00346CBB">
        <w:t>Hittil er RHF-</w:t>
      </w:r>
      <w:proofErr w:type="spellStart"/>
      <w:r w:rsidRPr="00346CBB">
        <w:t>deflatoren</w:t>
      </w:r>
      <w:proofErr w:type="spellEnd"/>
      <w:r w:rsidRPr="00346CBB">
        <w:t xml:space="preserve"> beregnet som et veid gjennomsnitt av to elementer: Lønnsvekst og kjøp av varer og tjenester i driften (produktinnsats). Vekten mellom disse er sjablongmessig fastsatt til 70 pst. for lønnsvekst og 30 pst. for produktinnsats. Denne metoden er nærmere presentert i vedlegg 1 og 2 i utvalgets rapport fra desember i fjor i tillegg til i eget notat til utvalget datert 12. mars 2025.</w:t>
      </w:r>
    </w:p>
    <w:p w14:paraId="278E8009" w14:textId="58230B08" w:rsidR="003953D6" w:rsidRPr="00346CBB" w:rsidRDefault="003953D6" w:rsidP="00346CBB">
      <w:r w:rsidRPr="00346CBB">
        <w:t>For historiske år har praksis vært å tallfeste lønnsveksten for ansatte i helseforetakene med tall fra Det tekniske beregningsutvalget for inntektsoppgjørene, mens prisveksten på produktinnsats er basert på regnskapsdata for produktinnsats i kommunesektoren slik de kan leses ut fra kommuneregnskapene, basert på artsinndelingen i KOSTRA. Hver gruppe av varer og tjenester i driften er tilordnet en prisvekst, basert på ulike prisstatistikker fra Statistisk sentralbyrå.</w:t>
      </w:r>
    </w:p>
    <w:p w14:paraId="20D2913E" w14:textId="77777777" w:rsidR="003953D6" w:rsidRPr="00346CBB" w:rsidRDefault="003953D6" w:rsidP="00346CBB">
      <w:pPr>
        <w:pStyle w:val="UnOverskrift3"/>
      </w:pPr>
      <w:r w:rsidRPr="00346CBB">
        <w:t>Finansdepartementets vurdering</w:t>
      </w:r>
    </w:p>
    <w:p w14:paraId="491AC54C" w14:textId="77777777" w:rsidR="003953D6" w:rsidRPr="00346CBB" w:rsidRDefault="003953D6" w:rsidP="00346CBB">
      <w:r w:rsidRPr="00346CBB">
        <w:t xml:space="preserve">Finansdepartementet har gjennomgått metoden for å beregne den historiske </w:t>
      </w:r>
      <w:proofErr w:type="spellStart"/>
      <w:r w:rsidRPr="00346CBB">
        <w:t>deflatoren</w:t>
      </w:r>
      <w:proofErr w:type="spellEnd"/>
      <w:r w:rsidRPr="00346CBB">
        <w:t xml:space="preserve"> for regionale helseforetak, blant annet på bakgrunn av innspillet fra utvalget. Departementets samlede vurdering er at dagens metode har vesentlige svakheter i perioder med høy og variabel prisvekst, og bør utbedres.</w:t>
      </w:r>
    </w:p>
    <w:p w14:paraId="230FE348" w14:textId="77777777" w:rsidR="003953D6" w:rsidRPr="00346CBB" w:rsidRDefault="003953D6" w:rsidP="00346CBB">
      <w:pPr>
        <w:pStyle w:val="UnOverskrift4"/>
        <w:rPr>
          <w:rStyle w:val="kursiv"/>
        </w:rPr>
      </w:pPr>
      <w:r w:rsidRPr="00346CBB">
        <w:rPr>
          <w:rStyle w:val="kursiv"/>
        </w:rPr>
        <w:t>Beregning av vekter på varer og tjenester</w:t>
      </w:r>
    </w:p>
    <w:p w14:paraId="338EFF7F" w14:textId="77777777" w:rsidR="003953D6" w:rsidRPr="00346CBB" w:rsidRDefault="003953D6" w:rsidP="00346CBB">
      <w:r w:rsidRPr="00346CBB">
        <w:t>I beregningen av prisvekst på helseforetakenes kjøp av varer og tjenester har departementet til nå brukt kommuneregnskapet som grunnlag for å etablere vekter. Historisk sett ble dette valgt fordi regnskapsinformasjonen har vært god gjennom KOSTRA-rapporteringene. Samtidig har dette gitt en skjevhet i vektingen. Prisvekst på varer og tjenester som er viktige for helseforetakene, slik som legemidler, medisinsk forbruksmateriell og IKT-tjenester undervurderes, mens prisvekst på relativt mindre viktige varer og tjenester, slik som transport og energi, overvurderes. Denne skjevheten har særlig hatt betydning i de senere årene hvor det har vært særlig stor variasjon i prisveksten på ulike varer og tjenester.</w:t>
      </w:r>
    </w:p>
    <w:p w14:paraId="0FEC89C6" w14:textId="77777777" w:rsidR="003953D6" w:rsidRPr="00346CBB" w:rsidRDefault="003953D6" w:rsidP="00346CBB">
      <w:r w:rsidRPr="00346CBB">
        <w:lastRenderedPageBreak/>
        <w:t>Tilgangen på regnskapsstatistikk for helseforetakene har samtidig blitt betydelig bedre med årene, og statistikken kan etter departementets vurdering brukes til å fastsette vekter til beregningen av prisvekst på kjøp av varer og tjenester.</w:t>
      </w:r>
    </w:p>
    <w:p w14:paraId="006E3438" w14:textId="77777777" w:rsidR="003953D6" w:rsidRPr="00346CBB" w:rsidRDefault="003953D6" w:rsidP="00346CBB">
      <w:pPr>
        <w:pStyle w:val="UnOverskrift4"/>
      </w:pPr>
      <w:r w:rsidRPr="00346CBB">
        <w:t>Investeringer</w:t>
      </w:r>
    </w:p>
    <w:p w14:paraId="1ED6002B" w14:textId="77777777" w:rsidR="003953D6" w:rsidRPr="00346CBB" w:rsidRDefault="003953D6" w:rsidP="00346CBB">
      <w:r w:rsidRPr="00346CBB">
        <w:t xml:space="preserve">Utelatelsen av prisvekst på investeringer gjør at variasjoner i bl.a. </w:t>
      </w:r>
      <w:proofErr w:type="spellStart"/>
      <w:r w:rsidRPr="00346CBB">
        <w:t>byggekostnader</w:t>
      </w:r>
      <w:proofErr w:type="spellEnd"/>
      <w:r w:rsidRPr="00346CBB">
        <w:t xml:space="preserve"> utelates fra RHF-</w:t>
      </w:r>
      <w:proofErr w:type="spellStart"/>
      <w:r w:rsidRPr="00346CBB">
        <w:t>deflatoren</w:t>
      </w:r>
      <w:proofErr w:type="spellEnd"/>
      <w:r w:rsidRPr="00346CBB">
        <w:t xml:space="preserve"> samtidig som lønnskostnader får en større betydning enn det regnskapene tilsier. Samtidig brukes </w:t>
      </w:r>
      <w:proofErr w:type="spellStart"/>
      <w:r w:rsidRPr="00346CBB">
        <w:t>deflatoren</w:t>
      </w:r>
      <w:proofErr w:type="spellEnd"/>
      <w:r w:rsidRPr="00346CBB">
        <w:t xml:space="preserve"> til å </w:t>
      </w:r>
      <w:proofErr w:type="spellStart"/>
      <w:r w:rsidRPr="00346CBB">
        <w:t>prisomregne</w:t>
      </w:r>
      <w:proofErr w:type="spellEnd"/>
      <w:r w:rsidRPr="00346CBB">
        <w:t xml:space="preserve"> basisbevilgningene til de regionale helseforetakene (kapittel 732.72-75). Disse bevilgningene bruker foretakene både til drift og investeringer. Bruk av en </w:t>
      </w:r>
      <w:proofErr w:type="spellStart"/>
      <w:r w:rsidRPr="00346CBB">
        <w:t>deflator</w:t>
      </w:r>
      <w:proofErr w:type="spellEnd"/>
      <w:r w:rsidRPr="00346CBB">
        <w:t xml:space="preserve"> som ikke inkluderer prisvekst på investeringer vil da i utgangspunktet ikke være representativ for den faktiske prisveksten som helseforetakene står overfor dersom prisveksten på investeringer avviker fra prisveksten på produktinnsats. Dette har særlig blitt satt på spissen de siste årene med tidvis svært høy prisvekst på bl.a. byggevarer.</w:t>
      </w:r>
    </w:p>
    <w:p w14:paraId="12D13177" w14:textId="77777777" w:rsidR="003953D6" w:rsidRPr="00346CBB" w:rsidRDefault="003953D6" w:rsidP="00346CBB">
      <w:r w:rsidRPr="00346CBB">
        <w:t>Etter departementets vurdering bør investeringer inkluderes i beregningen av RHF-</w:t>
      </w:r>
      <w:proofErr w:type="spellStart"/>
      <w:r w:rsidRPr="00346CBB">
        <w:t>deflatoren</w:t>
      </w:r>
      <w:proofErr w:type="spellEnd"/>
      <w:r w:rsidRPr="00346CBB">
        <w:t xml:space="preserve">, særlig siden </w:t>
      </w:r>
      <w:proofErr w:type="spellStart"/>
      <w:r w:rsidRPr="00346CBB">
        <w:t>deflatoren</w:t>
      </w:r>
      <w:proofErr w:type="spellEnd"/>
      <w:r w:rsidRPr="00346CBB">
        <w:t xml:space="preserve"> skal brukes til å </w:t>
      </w:r>
      <w:proofErr w:type="spellStart"/>
      <w:r w:rsidRPr="00346CBB">
        <w:t>prisomregne</w:t>
      </w:r>
      <w:proofErr w:type="spellEnd"/>
      <w:r w:rsidRPr="00346CBB">
        <w:t xml:space="preserve"> bevilgninger som også går til investeringer.</w:t>
      </w:r>
    </w:p>
    <w:p w14:paraId="7E6357EA" w14:textId="77777777" w:rsidR="003953D6" w:rsidRPr="00346CBB" w:rsidRDefault="003953D6" w:rsidP="00346CBB">
      <w:pPr>
        <w:pStyle w:val="UnOverskrift4"/>
      </w:pPr>
      <w:r w:rsidRPr="00346CBB">
        <w:t>Vekting mellom lønnsvekst og prisvekst</w:t>
      </w:r>
    </w:p>
    <w:p w14:paraId="44309E9C" w14:textId="4BB17B70" w:rsidR="003953D6" w:rsidRPr="00346CBB" w:rsidRDefault="003953D6" w:rsidP="00346CBB">
      <w:r w:rsidRPr="00346CBB">
        <w:t>I dag brukes en fast sjablongvekt på 70/30 i forholdet mellom lønnsvekst og prisvekst på produktinnsats. Et slikt fast forhold tar ikke hensyn til at lønnsandelen har falt betydelig de siste 10 årene, fra rundt 62 pst. til om lag 55 pst. Det metodiske rammeverket avviker med dette fra det teoretiske grunnlaget for prisindekser (</w:t>
      </w:r>
      <w:proofErr w:type="spellStart"/>
      <w:r w:rsidRPr="00346CBB">
        <w:t>Laspeyres</w:t>
      </w:r>
      <w:proofErr w:type="spellEnd"/>
      <w:r w:rsidRPr="00346CBB">
        <w:t xml:space="preserve"> prisindekser) og metoden som brukes for kommunesektoren. Etter departementets vurdering bør man ta i bruk tidsvarierende vekter, selv om metoden blir noe mer komplisert.</w:t>
      </w:r>
    </w:p>
    <w:p w14:paraId="1841ACCD" w14:textId="77777777" w:rsidR="003953D6" w:rsidRPr="00346CBB" w:rsidRDefault="003953D6" w:rsidP="00346CBB">
      <w:pPr>
        <w:pStyle w:val="UnOverskrift4"/>
      </w:pPr>
      <w:r w:rsidRPr="00346CBB">
        <w:t>Konklusjon</w:t>
      </w:r>
    </w:p>
    <w:p w14:paraId="2A8EFE0E" w14:textId="77777777" w:rsidR="003953D6" w:rsidRPr="00346CBB" w:rsidRDefault="003953D6" w:rsidP="00346CBB">
      <w:r w:rsidRPr="00346CBB">
        <w:t xml:space="preserve">Finansdepartementet vil på denne bakgrunn justere metoden for å beregne </w:t>
      </w:r>
      <w:proofErr w:type="spellStart"/>
      <w:r w:rsidRPr="00346CBB">
        <w:t>deflatoren</w:t>
      </w:r>
      <w:proofErr w:type="spellEnd"/>
      <w:r w:rsidRPr="00346CBB">
        <w:t xml:space="preserve"> for de regionale helseforetakene ved å benytte vekter basert på helseforetakenes regnskaper, og som også inkluderer investeringer. I tillegg vektes lønn og prisvekst på kjøp av varer og tjenester sammen basert på løpende regnskapsinformasjon.</w:t>
      </w:r>
    </w:p>
    <w:p w14:paraId="4AB520CC" w14:textId="77777777" w:rsidR="003953D6" w:rsidRPr="00346CBB" w:rsidRDefault="003953D6" w:rsidP="00346CBB">
      <w:r w:rsidRPr="00346CBB">
        <w:lastRenderedPageBreak/>
        <w:t xml:space="preserve">I tillegg vil Finansdepartementet fremover eksplisitt ta hensyn til hvordan veksten i arbeidsgiveravgiften påvirker veksten i lønnskostnadene ekskl. pensjon. Dette er tilsvarende metoden som i dag brukes for å beregne </w:t>
      </w:r>
      <w:proofErr w:type="spellStart"/>
      <w:r w:rsidRPr="00346CBB">
        <w:t>lønnsdelen</w:t>
      </w:r>
      <w:proofErr w:type="spellEnd"/>
      <w:r w:rsidRPr="00346CBB">
        <w:t xml:space="preserve"> i den kommunale </w:t>
      </w:r>
      <w:proofErr w:type="spellStart"/>
      <w:r w:rsidRPr="00346CBB">
        <w:t>deflatoren</w:t>
      </w:r>
      <w:proofErr w:type="spellEnd"/>
      <w:r w:rsidRPr="00346CBB">
        <w:t>. Forskjellen ligger kun i at man for helseforetakene ikke inkluderer pensjonskostnadene. Dette vil da erstatte den mer ad hoc tilnærmingen som brukes i beregningen av realinntektsvekst for helseforetakene.</w:t>
      </w:r>
    </w:p>
    <w:p w14:paraId="21B8176A" w14:textId="77777777" w:rsidR="003953D6" w:rsidRPr="00346CBB" w:rsidRDefault="003953D6" w:rsidP="00346CBB">
      <w:r w:rsidRPr="00346CBB">
        <w:t xml:space="preserve">Den justerte metoden vil ligge til grunn for Finansdepartementets arbeid med revidert budsjett for 2025 og statsbudsjettet for 2026. Departementet vil også oppdatere den historisk beregnede </w:t>
      </w:r>
      <w:proofErr w:type="spellStart"/>
      <w:r w:rsidRPr="00346CBB">
        <w:t>deflatoren</w:t>
      </w:r>
      <w:proofErr w:type="spellEnd"/>
      <w:r w:rsidRPr="00346CBB">
        <w:t>.</w:t>
      </w:r>
    </w:p>
    <w:p w14:paraId="2E67072A" w14:textId="72D96275" w:rsidR="003953D6" w:rsidRPr="00346CBB" w:rsidRDefault="003953D6" w:rsidP="00346CBB">
      <w:r w:rsidRPr="00346CBB">
        <w:t xml:space="preserve">Tabell 1 og figur 1 viser forskjellen mellom </w:t>
      </w:r>
      <w:proofErr w:type="spellStart"/>
      <w:r w:rsidRPr="00346CBB">
        <w:t>deflatoren</w:t>
      </w:r>
      <w:proofErr w:type="spellEnd"/>
      <w:r w:rsidRPr="00346CBB">
        <w:t xml:space="preserve"> med hhv. gammel og justert metode fra og med 2010. Jevnt over vil justert metode gi noe lavere </w:t>
      </w:r>
      <w:proofErr w:type="spellStart"/>
      <w:r w:rsidRPr="00346CBB">
        <w:t>deflator</w:t>
      </w:r>
      <w:proofErr w:type="spellEnd"/>
      <w:r w:rsidRPr="00346CBB">
        <w:t xml:space="preserve"> enn gammel metode. Det henger sammen med en mer riktig vekting av lønnskostnader. Tabell 2 viser sammensetningen av </w:t>
      </w:r>
      <w:proofErr w:type="spellStart"/>
      <w:r w:rsidRPr="00346CBB">
        <w:t>deflatoren</w:t>
      </w:r>
      <w:proofErr w:type="spellEnd"/>
      <w:r w:rsidRPr="00346CBB">
        <w:t xml:space="preserve"> for årene 2022 til 2024. For 2023 er påslaget fra arbeidsgiveravgiften beregnet til 0,5 prosentpoeng, noe som isolert sett bidrar til å øke </w:t>
      </w:r>
      <w:proofErr w:type="spellStart"/>
      <w:r w:rsidRPr="00346CBB">
        <w:t>deflatoren</w:t>
      </w:r>
      <w:proofErr w:type="spellEnd"/>
      <w:r w:rsidRPr="00346CBB">
        <w:t xml:space="preserve"> med 0,3 prosentpoeng. Det høye påslaget skyldes innføringen av den ekstra arbeidsgiveravgiften for lønnsinntekter over 750 000 kroner.</w:t>
      </w:r>
    </w:p>
    <w:p w14:paraId="418A9EF0" w14:textId="77777777" w:rsidR="003953D6" w:rsidRPr="00346CBB" w:rsidRDefault="003953D6" w:rsidP="00346CBB">
      <w:r w:rsidRPr="00346CBB">
        <w:t>Se også vedlegg 1 for beregning av den historiske prisveksten på kjøp av varer og tjenester inkl. investeringer for årene 2022–2024.</w:t>
      </w:r>
    </w:p>
    <w:p w14:paraId="7E003E5E" w14:textId="24872660" w:rsidR="003953D6" w:rsidRPr="00346CBB" w:rsidRDefault="00BE7760" w:rsidP="00346CBB">
      <w:r>
        <w:rPr>
          <w:noProof/>
        </w:rPr>
        <w:drawing>
          <wp:inline distT="0" distB="0" distL="0" distR="0" wp14:anchorId="0F1EBADD" wp14:editId="4550A7E2">
            <wp:extent cx="5210175" cy="2872740"/>
            <wp:effectExtent l="0" t="0" r="9525" b="3810"/>
            <wp:docPr id="564400498" name="Bilde 11" descr="Linjedia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400498" name="Bilde 11" descr="Linjediagram&#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0175" cy="2872740"/>
                    </a:xfrm>
                    <a:prstGeom prst="rect">
                      <a:avLst/>
                    </a:prstGeom>
                    <a:noFill/>
                    <a:ln>
                      <a:noFill/>
                    </a:ln>
                  </pic:spPr>
                </pic:pic>
              </a:graphicData>
            </a:graphic>
          </wp:inline>
        </w:drawing>
      </w:r>
    </w:p>
    <w:p w14:paraId="6A658C8A" w14:textId="77777777" w:rsidR="003953D6" w:rsidRPr="00346CBB" w:rsidRDefault="003953D6" w:rsidP="00346CBB">
      <w:pPr>
        <w:pStyle w:val="avsnitt-undertittel"/>
        <w:rPr>
          <w:rStyle w:val="kursiv"/>
        </w:rPr>
      </w:pPr>
      <w:r w:rsidRPr="00346CBB">
        <w:lastRenderedPageBreak/>
        <w:t xml:space="preserve">Figur 1 </w:t>
      </w:r>
      <w:proofErr w:type="spellStart"/>
      <w:r w:rsidRPr="00346CBB">
        <w:t>Deflator</w:t>
      </w:r>
      <w:proofErr w:type="spellEnd"/>
      <w:r w:rsidRPr="00346CBB">
        <w:t xml:space="preserve"> for helseforetakene med justert og gammel metode. Prosent</w:t>
      </w:r>
    </w:p>
    <w:p w14:paraId="54CD75A7" w14:textId="77777777" w:rsidR="003953D6" w:rsidRPr="00346CBB" w:rsidRDefault="003953D6" w:rsidP="00346CBB">
      <w:pPr>
        <w:pStyle w:val="avsnitt-undertittel"/>
        <w:rPr>
          <w:rStyle w:val="kursiv"/>
        </w:rPr>
      </w:pPr>
      <w:r w:rsidRPr="00346CBB">
        <w:t xml:space="preserve">Tabell 1 </w:t>
      </w:r>
      <w:proofErr w:type="spellStart"/>
      <w:r w:rsidRPr="00346CBB">
        <w:t>Deflator</w:t>
      </w:r>
      <w:proofErr w:type="spellEnd"/>
      <w:r w:rsidRPr="00346CBB">
        <w:t xml:space="preserve"> for regionale helseforetak. Gammel og justert metode. 2010–2024. Prosent</w:t>
      </w:r>
    </w:p>
    <w:tbl>
      <w:tblPr>
        <w:tblW w:w="5000" w:type="pct"/>
        <w:tblCellMar>
          <w:left w:w="0" w:type="dxa"/>
          <w:right w:w="0" w:type="dxa"/>
        </w:tblCellMar>
        <w:tblLook w:val="0000" w:firstRow="0" w:lastRow="0" w:firstColumn="0" w:lastColumn="0" w:noHBand="0" w:noVBand="0"/>
      </w:tblPr>
      <w:tblGrid>
        <w:gridCol w:w="1659"/>
        <w:gridCol w:w="3278"/>
        <w:gridCol w:w="3277"/>
      </w:tblGrid>
      <w:tr w:rsidR="00A4769D" w:rsidRPr="00346CBB" w14:paraId="6F22A710" w14:textId="77777777" w:rsidTr="00C9271A">
        <w:trPr>
          <w:trHeight w:val="396"/>
          <w:tblHeader/>
        </w:trPr>
        <w:tc>
          <w:tcPr>
            <w:tcW w:w="100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69277A9B" w14:textId="77777777" w:rsidR="003953D6" w:rsidRPr="00346CBB" w:rsidRDefault="003953D6" w:rsidP="00C9271A">
            <w:pPr>
              <w:jc w:val="right"/>
            </w:pPr>
          </w:p>
        </w:tc>
        <w:tc>
          <w:tcPr>
            <w:tcW w:w="199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A977E93" w14:textId="77777777" w:rsidR="003953D6" w:rsidRPr="00346CBB" w:rsidRDefault="003953D6" w:rsidP="00C9271A">
            <w:pPr>
              <w:pStyle w:val="TabellHode-kolonne"/>
              <w:jc w:val="right"/>
            </w:pPr>
            <w:r w:rsidRPr="00346CBB">
              <w:t>Gammel metode</w:t>
            </w:r>
          </w:p>
        </w:tc>
        <w:tc>
          <w:tcPr>
            <w:tcW w:w="1995"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0DFA752" w14:textId="77777777" w:rsidR="003953D6" w:rsidRPr="00346CBB" w:rsidRDefault="003953D6" w:rsidP="00C9271A">
            <w:pPr>
              <w:pStyle w:val="TabellHode-kolonne"/>
              <w:jc w:val="right"/>
            </w:pPr>
            <w:r w:rsidRPr="00346CBB">
              <w:t>Justert metode</w:t>
            </w:r>
          </w:p>
        </w:tc>
      </w:tr>
      <w:tr w:rsidR="00A4769D" w:rsidRPr="00346CBB" w14:paraId="4A526817" w14:textId="77777777" w:rsidTr="00346CBB">
        <w:trPr>
          <w:trHeight w:val="396"/>
        </w:trPr>
        <w:tc>
          <w:tcPr>
            <w:tcW w:w="100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F700C72" w14:textId="77777777" w:rsidR="003953D6" w:rsidRPr="00346CBB" w:rsidRDefault="003953D6" w:rsidP="00346CBB">
            <w:pPr>
              <w:pStyle w:val="TabellHode-rad"/>
            </w:pPr>
            <w:r w:rsidRPr="00346CBB">
              <w:t>2010</w:t>
            </w:r>
          </w:p>
        </w:tc>
        <w:tc>
          <w:tcPr>
            <w:tcW w:w="199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89A402A" w14:textId="77777777" w:rsidR="003953D6" w:rsidRPr="00346CBB" w:rsidRDefault="003953D6" w:rsidP="00346CBB">
            <w:pPr>
              <w:jc w:val="right"/>
            </w:pPr>
            <w:r w:rsidRPr="00346CBB">
              <w:t>3,6</w:t>
            </w:r>
          </w:p>
        </w:tc>
        <w:tc>
          <w:tcPr>
            <w:tcW w:w="1995"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09C616D" w14:textId="77777777" w:rsidR="003953D6" w:rsidRPr="00346CBB" w:rsidRDefault="003953D6" w:rsidP="00346CBB">
            <w:pPr>
              <w:jc w:val="right"/>
            </w:pPr>
            <w:r w:rsidRPr="00346CBB">
              <w:t>3,2</w:t>
            </w:r>
          </w:p>
        </w:tc>
      </w:tr>
      <w:tr w:rsidR="00A4769D" w:rsidRPr="00346CBB" w14:paraId="3CCF1ABC" w14:textId="77777777" w:rsidTr="00346CBB">
        <w:trPr>
          <w:trHeight w:val="396"/>
        </w:trPr>
        <w:tc>
          <w:tcPr>
            <w:tcW w:w="10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6701DDC" w14:textId="77777777" w:rsidR="003953D6" w:rsidRPr="00346CBB" w:rsidRDefault="003953D6" w:rsidP="00346CBB">
            <w:pPr>
              <w:pStyle w:val="TabellHode-rad"/>
            </w:pPr>
            <w:r w:rsidRPr="00346CBB">
              <w:t>2011</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6366328" w14:textId="77777777" w:rsidR="003953D6" w:rsidRPr="00346CBB" w:rsidRDefault="003953D6" w:rsidP="00346CBB">
            <w:pPr>
              <w:jc w:val="right"/>
            </w:pPr>
            <w:r w:rsidRPr="00346CBB">
              <w:t>3,4</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F86AE08" w14:textId="77777777" w:rsidR="003953D6" w:rsidRPr="00346CBB" w:rsidRDefault="003953D6" w:rsidP="00346CBB">
            <w:pPr>
              <w:jc w:val="right"/>
            </w:pPr>
            <w:r w:rsidRPr="00346CBB">
              <w:t>3,1</w:t>
            </w:r>
          </w:p>
        </w:tc>
      </w:tr>
      <w:tr w:rsidR="00A4769D" w:rsidRPr="00346CBB" w14:paraId="75464675" w14:textId="77777777" w:rsidTr="00346CBB">
        <w:trPr>
          <w:trHeight w:val="396"/>
        </w:trPr>
        <w:tc>
          <w:tcPr>
            <w:tcW w:w="10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041701E" w14:textId="77777777" w:rsidR="003953D6" w:rsidRPr="00346CBB" w:rsidRDefault="003953D6" w:rsidP="00346CBB">
            <w:pPr>
              <w:pStyle w:val="TabellHode-rad"/>
            </w:pPr>
            <w:r w:rsidRPr="00346CBB">
              <w:t>2012</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977163A" w14:textId="77777777" w:rsidR="003953D6" w:rsidRPr="00346CBB" w:rsidRDefault="003953D6" w:rsidP="00346CBB">
            <w:pPr>
              <w:jc w:val="right"/>
            </w:pPr>
            <w:r w:rsidRPr="00346CBB">
              <w:t>2,8</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89C7522" w14:textId="77777777" w:rsidR="003953D6" w:rsidRPr="00346CBB" w:rsidRDefault="003953D6" w:rsidP="00346CBB">
            <w:pPr>
              <w:jc w:val="right"/>
            </w:pPr>
            <w:r w:rsidRPr="00346CBB">
              <w:t>2,8</w:t>
            </w:r>
          </w:p>
        </w:tc>
      </w:tr>
      <w:tr w:rsidR="00A4769D" w:rsidRPr="00346CBB" w14:paraId="47013B4D" w14:textId="77777777" w:rsidTr="00346CBB">
        <w:trPr>
          <w:trHeight w:val="396"/>
        </w:trPr>
        <w:tc>
          <w:tcPr>
            <w:tcW w:w="10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409DDAF" w14:textId="77777777" w:rsidR="003953D6" w:rsidRPr="00346CBB" w:rsidRDefault="003953D6" w:rsidP="00346CBB">
            <w:pPr>
              <w:pStyle w:val="TabellHode-rad"/>
            </w:pPr>
            <w:r w:rsidRPr="00346CBB">
              <w:t>2013</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98A3AB2" w14:textId="77777777" w:rsidR="003953D6" w:rsidRPr="00346CBB" w:rsidRDefault="003953D6" w:rsidP="00346CBB">
            <w:pPr>
              <w:jc w:val="right"/>
            </w:pPr>
            <w:r w:rsidRPr="00346CBB">
              <w:t>3,4</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6FA9A61" w14:textId="77777777" w:rsidR="003953D6" w:rsidRPr="00346CBB" w:rsidRDefault="003953D6" w:rsidP="00346CBB">
            <w:pPr>
              <w:jc w:val="right"/>
            </w:pPr>
            <w:r w:rsidRPr="00346CBB">
              <w:t>3,2</w:t>
            </w:r>
          </w:p>
        </w:tc>
      </w:tr>
      <w:tr w:rsidR="00A4769D" w:rsidRPr="00346CBB" w14:paraId="46046917" w14:textId="77777777" w:rsidTr="00346CBB">
        <w:trPr>
          <w:trHeight w:val="396"/>
        </w:trPr>
        <w:tc>
          <w:tcPr>
            <w:tcW w:w="10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54CDE6E" w14:textId="77777777" w:rsidR="003953D6" w:rsidRPr="00346CBB" w:rsidRDefault="003953D6" w:rsidP="00346CBB">
            <w:pPr>
              <w:pStyle w:val="TabellHode-rad"/>
            </w:pPr>
            <w:r w:rsidRPr="00346CBB">
              <w:t>2014</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0FDD330" w14:textId="77777777" w:rsidR="003953D6" w:rsidRPr="00346CBB" w:rsidRDefault="003953D6" w:rsidP="00346CBB">
            <w:pPr>
              <w:jc w:val="right"/>
            </w:pPr>
            <w:r w:rsidRPr="00346CBB">
              <w:t>3,1</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49BBF3D" w14:textId="77777777" w:rsidR="003953D6" w:rsidRPr="00346CBB" w:rsidRDefault="003953D6" w:rsidP="00346CBB">
            <w:pPr>
              <w:jc w:val="right"/>
            </w:pPr>
            <w:r w:rsidRPr="00346CBB">
              <w:t>2,8</w:t>
            </w:r>
          </w:p>
        </w:tc>
      </w:tr>
      <w:tr w:rsidR="00A4769D" w:rsidRPr="00346CBB" w14:paraId="78C95B8C" w14:textId="77777777" w:rsidTr="00346CBB">
        <w:trPr>
          <w:trHeight w:val="396"/>
        </w:trPr>
        <w:tc>
          <w:tcPr>
            <w:tcW w:w="10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24080B5" w14:textId="77777777" w:rsidR="003953D6" w:rsidRPr="00346CBB" w:rsidRDefault="003953D6" w:rsidP="00346CBB">
            <w:pPr>
              <w:pStyle w:val="TabellHode-rad"/>
            </w:pPr>
            <w:r w:rsidRPr="00346CBB">
              <w:t>2015</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F966210" w14:textId="77777777" w:rsidR="003953D6" w:rsidRPr="00346CBB" w:rsidRDefault="003953D6" w:rsidP="00346CBB">
            <w:pPr>
              <w:jc w:val="right"/>
            </w:pPr>
            <w:r w:rsidRPr="00346CBB">
              <w:t>2,5</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73CF67F" w14:textId="77777777" w:rsidR="003953D6" w:rsidRPr="00346CBB" w:rsidRDefault="003953D6" w:rsidP="00346CBB">
            <w:pPr>
              <w:jc w:val="right"/>
            </w:pPr>
            <w:r w:rsidRPr="00346CBB">
              <w:t>2,2</w:t>
            </w:r>
          </w:p>
        </w:tc>
      </w:tr>
      <w:tr w:rsidR="00A4769D" w:rsidRPr="00346CBB" w14:paraId="1A6771B0" w14:textId="77777777" w:rsidTr="00346CBB">
        <w:trPr>
          <w:trHeight w:val="396"/>
        </w:trPr>
        <w:tc>
          <w:tcPr>
            <w:tcW w:w="10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FC9FBF9" w14:textId="77777777" w:rsidR="003953D6" w:rsidRPr="00346CBB" w:rsidRDefault="003953D6" w:rsidP="00346CBB">
            <w:pPr>
              <w:pStyle w:val="TabellHode-rad"/>
            </w:pPr>
            <w:r w:rsidRPr="00346CBB">
              <w:t>2016</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2D471DF" w14:textId="77777777" w:rsidR="003953D6" w:rsidRPr="00346CBB" w:rsidRDefault="003953D6" w:rsidP="00346CBB">
            <w:pPr>
              <w:jc w:val="right"/>
            </w:pPr>
            <w:r w:rsidRPr="00346CBB">
              <w:t>2,5</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B215FDE" w14:textId="77777777" w:rsidR="003953D6" w:rsidRPr="00346CBB" w:rsidRDefault="003953D6" w:rsidP="00346CBB">
            <w:pPr>
              <w:jc w:val="right"/>
            </w:pPr>
            <w:r w:rsidRPr="00346CBB">
              <w:t>2,2</w:t>
            </w:r>
          </w:p>
        </w:tc>
      </w:tr>
      <w:tr w:rsidR="00A4769D" w:rsidRPr="00346CBB" w14:paraId="022FB355" w14:textId="77777777" w:rsidTr="00346CBB">
        <w:trPr>
          <w:trHeight w:val="396"/>
        </w:trPr>
        <w:tc>
          <w:tcPr>
            <w:tcW w:w="10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D811C98" w14:textId="77777777" w:rsidR="003953D6" w:rsidRPr="00346CBB" w:rsidRDefault="003953D6" w:rsidP="00346CBB">
            <w:pPr>
              <w:pStyle w:val="TabellHode-rad"/>
            </w:pPr>
            <w:r w:rsidRPr="00346CBB">
              <w:t>2017</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D32BAC7" w14:textId="77777777" w:rsidR="003953D6" w:rsidRPr="00346CBB" w:rsidRDefault="003953D6" w:rsidP="00346CBB">
            <w:pPr>
              <w:jc w:val="right"/>
            </w:pPr>
            <w:r w:rsidRPr="00346CBB">
              <w:t>2,9</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E3429AE" w14:textId="77777777" w:rsidR="003953D6" w:rsidRPr="00346CBB" w:rsidRDefault="003953D6" w:rsidP="00346CBB">
            <w:pPr>
              <w:jc w:val="right"/>
            </w:pPr>
            <w:r w:rsidRPr="00346CBB">
              <w:t>2,7</w:t>
            </w:r>
          </w:p>
        </w:tc>
      </w:tr>
      <w:tr w:rsidR="00A4769D" w:rsidRPr="00346CBB" w14:paraId="0CDB9153" w14:textId="77777777" w:rsidTr="00346CBB">
        <w:trPr>
          <w:trHeight w:val="396"/>
        </w:trPr>
        <w:tc>
          <w:tcPr>
            <w:tcW w:w="10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AFF836A" w14:textId="77777777" w:rsidR="003953D6" w:rsidRPr="00346CBB" w:rsidRDefault="003953D6" w:rsidP="00346CBB">
            <w:pPr>
              <w:pStyle w:val="TabellHode-rad"/>
            </w:pPr>
            <w:r w:rsidRPr="00346CBB">
              <w:t>2018</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7617AEA" w14:textId="77777777" w:rsidR="003953D6" w:rsidRPr="00346CBB" w:rsidRDefault="003953D6" w:rsidP="00346CBB">
            <w:pPr>
              <w:jc w:val="right"/>
            </w:pPr>
            <w:r w:rsidRPr="00346CBB">
              <w:t>3,4</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1B521B9" w14:textId="77777777" w:rsidR="003953D6" w:rsidRPr="00346CBB" w:rsidRDefault="003953D6" w:rsidP="00346CBB">
            <w:pPr>
              <w:jc w:val="right"/>
            </w:pPr>
            <w:r w:rsidRPr="00346CBB">
              <w:t>2,9</w:t>
            </w:r>
          </w:p>
        </w:tc>
      </w:tr>
      <w:tr w:rsidR="00A4769D" w:rsidRPr="00346CBB" w14:paraId="0EB809C5" w14:textId="77777777" w:rsidTr="00346CBB">
        <w:trPr>
          <w:trHeight w:val="396"/>
        </w:trPr>
        <w:tc>
          <w:tcPr>
            <w:tcW w:w="10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E62CBD5" w14:textId="77777777" w:rsidR="003953D6" w:rsidRPr="00346CBB" w:rsidRDefault="003953D6" w:rsidP="00346CBB">
            <w:pPr>
              <w:pStyle w:val="TabellHode-rad"/>
            </w:pPr>
            <w:r w:rsidRPr="00346CBB">
              <w:t>2019</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F328A71" w14:textId="77777777" w:rsidR="003953D6" w:rsidRPr="00346CBB" w:rsidRDefault="003953D6" w:rsidP="00346CBB">
            <w:pPr>
              <w:jc w:val="right"/>
            </w:pPr>
            <w:r w:rsidRPr="00346CBB">
              <w:t>3,1</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0F5BF49" w14:textId="77777777" w:rsidR="003953D6" w:rsidRPr="00346CBB" w:rsidRDefault="003953D6" w:rsidP="00346CBB">
            <w:pPr>
              <w:jc w:val="right"/>
            </w:pPr>
            <w:r w:rsidRPr="00346CBB">
              <w:t>3,0</w:t>
            </w:r>
          </w:p>
        </w:tc>
      </w:tr>
      <w:tr w:rsidR="00A4769D" w:rsidRPr="00346CBB" w14:paraId="6C01BE88" w14:textId="77777777" w:rsidTr="00346CBB">
        <w:trPr>
          <w:trHeight w:val="396"/>
        </w:trPr>
        <w:tc>
          <w:tcPr>
            <w:tcW w:w="10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55B9186" w14:textId="77777777" w:rsidR="003953D6" w:rsidRPr="00346CBB" w:rsidRDefault="003953D6" w:rsidP="00346CBB">
            <w:pPr>
              <w:pStyle w:val="TabellHode-rad"/>
            </w:pPr>
            <w:r w:rsidRPr="00346CBB">
              <w:t>2020</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4EA9C0B" w14:textId="77777777" w:rsidR="003953D6" w:rsidRPr="00346CBB" w:rsidRDefault="003953D6" w:rsidP="00346CBB">
            <w:pPr>
              <w:jc w:val="right"/>
            </w:pPr>
            <w:r w:rsidRPr="00346CBB">
              <w:t>1,4</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7712E16" w14:textId="77777777" w:rsidR="003953D6" w:rsidRPr="00346CBB" w:rsidRDefault="003953D6" w:rsidP="00346CBB">
            <w:pPr>
              <w:jc w:val="right"/>
            </w:pPr>
            <w:r w:rsidRPr="00346CBB">
              <w:t>1,6</w:t>
            </w:r>
          </w:p>
        </w:tc>
      </w:tr>
      <w:tr w:rsidR="00A4769D" w:rsidRPr="00346CBB" w14:paraId="3908F335" w14:textId="77777777" w:rsidTr="00346CBB">
        <w:trPr>
          <w:trHeight w:val="396"/>
        </w:trPr>
        <w:tc>
          <w:tcPr>
            <w:tcW w:w="10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9F75E9F" w14:textId="77777777" w:rsidR="003953D6" w:rsidRPr="00346CBB" w:rsidRDefault="003953D6" w:rsidP="00346CBB">
            <w:pPr>
              <w:pStyle w:val="TabellHode-rad"/>
            </w:pPr>
            <w:r w:rsidRPr="00346CBB">
              <w:t>2021</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1F5ACF0" w14:textId="77777777" w:rsidR="003953D6" w:rsidRPr="00346CBB" w:rsidRDefault="003953D6" w:rsidP="00346CBB">
            <w:pPr>
              <w:jc w:val="right"/>
            </w:pPr>
            <w:r w:rsidRPr="00346CBB">
              <w:t>4,9</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8F84F5A" w14:textId="77777777" w:rsidR="003953D6" w:rsidRPr="00346CBB" w:rsidRDefault="003953D6" w:rsidP="00346CBB">
            <w:pPr>
              <w:jc w:val="right"/>
            </w:pPr>
            <w:r w:rsidRPr="00346CBB">
              <w:t>3,4</w:t>
            </w:r>
          </w:p>
        </w:tc>
      </w:tr>
      <w:tr w:rsidR="00A4769D" w:rsidRPr="00346CBB" w14:paraId="69F08295" w14:textId="77777777" w:rsidTr="00346CBB">
        <w:trPr>
          <w:trHeight w:val="396"/>
        </w:trPr>
        <w:tc>
          <w:tcPr>
            <w:tcW w:w="10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76704FB" w14:textId="77777777" w:rsidR="003953D6" w:rsidRPr="00346CBB" w:rsidRDefault="003953D6" w:rsidP="00346CBB">
            <w:pPr>
              <w:pStyle w:val="TabellHode-rad"/>
            </w:pPr>
            <w:r w:rsidRPr="00346CBB">
              <w:t>2022</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636EB06" w14:textId="77777777" w:rsidR="003953D6" w:rsidRPr="00346CBB" w:rsidRDefault="003953D6" w:rsidP="00346CBB">
            <w:pPr>
              <w:jc w:val="right"/>
            </w:pPr>
            <w:r w:rsidRPr="00346CBB">
              <w:t>6,2</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3E316D9" w14:textId="77777777" w:rsidR="003953D6" w:rsidRPr="00346CBB" w:rsidRDefault="003953D6" w:rsidP="00346CBB">
            <w:pPr>
              <w:jc w:val="right"/>
            </w:pPr>
            <w:r w:rsidRPr="00346CBB">
              <w:t>5,1</w:t>
            </w:r>
          </w:p>
        </w:tc>
      </w:tr>
      <w:tr w:rsidR="00A4769D" w:rsidRPr="00346CBB" w14:paraId="7B8F2C1B" w14:textId="77777777" w:rsidTr="00346CBB">
        <w:trPr>
          <w:trHeight w:val="396"/>
        </w:trPr>
        <w:tc>
          <w:tcPr>
            <w:tcW w:w="10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ACE82CB" w14:textId="77777777" w:rsidR="003953D6" w:rsidRPr="00346CBB" w:rsidRDefault="003953D6" w:rsidP="00346CBB">
            <w:pPr>
              <w:pStyle w:val="TabellHode-rad"/>
            </w:pPr>
            <w:r w:rsidRPr="00346CBB">
              <w:lastRenderedPageBreak/>
              <w:t>2023</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F7C7877" w14:textId="77777777" w:rsidR="003953D6" w:rsidRPr="00346CBB" w:rsidRDefault="003953D6" w:rsidP="00346CBB">
            <w:pPr>
              <w:jc w:val="right"/>
            </w:pPr>
            <w:r w:rsidRPr="00346CBB">
              <w:t>4,5</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5265B74" w14:textId="77777777" w:rsidR="003953D6" w:rsidRPr="00346CBB" w:rsidRDefault="003953D6" w:rsidP="00346CBB">
            <w:pPr>
              <w:jc w:val="right"/>
            </w:pPr>
            <w:r w:rsidRPr="00346CBB">
              <w:t>5,6</w:t>
            </w:r>
          </w:p>
        </w:tc>
      </w:tr>
      <w:tr w:rsidR="00A4769D" w:rsidRPr="00346CBB" w14:paraId="3E0DBA60" w14:textId="77777777" w:rsidTr="00346CBB">
        <w:trPr>
          <w:trHeight w:val="396"/>
        </w:trPr>
        <w:tc>
          <w:tcPr>
            <w:tcW w:w="100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E9C0623" w14:textId="77777777" w:rsidR="003953D6" w:rsidRPr="00346CBB" w:rsidRDefault="003953D6" w:rsidP="00346CBB">
            <w:pPr>
              <w:pStyle w:val="TabellHode-rad"/>
            </w:pPr>
            <w:r w:rsidRPr="00346CBB">
              <w:t>2024</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2A45026" w14:textId="77777777" w:rsidR="003953D6" w:rsidRPr="00346CBB" w:rsidRDefault="003953D6" w:rsidP="00346CBB">
            <w:pPr>
              <w:jc w:val="right"/>
            </w:pPr>
            <w:r w:rsidRPr="00346CBB">
              <w:t>4,7</w:t>
            </w:r>
          </w:p>
        </w:tc>
        <w:tc>
          <w:tcPr>
            <w:tcW w:w="1995"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4A376B4" w14:textId="77777777" w:rsidR="003953D6" w:rsidRPr="00346CBB" w:rsidRDefault="003953D6" w:rsidP="00346CBB">
            <w:pPr>
              <w:jc w:val="right"/>
            </w:pPr>
            <w:r w:rsidRPr="00346CBB">
              <w:t>4,6</w:t>
            </w:r>
          </w:p>
        </w:tc>
      </w:tr>
    </w:tbl>
    <w:p w14:paraId="2FB3BD55" w14:textId="77777777" w:rsidR="003953D6" w:rsidRPr="00346CBB" w:rsidRDefault="003953D6" w:rsidP="00C9271A">
      <w:pPr>
        <w:jc w:val="right"/>
      </w:pPr>
    </w:p>
    <w:p w14:paraId="1D733229" w14:textId="77777777" w:rsidR="003953D6" w:rsidRPr="00346CBB" w:rsidRDefault="003953D6" w:rsidP="00346CBB"/>
    <w:p w14:paraId="6757FEEC" w14:textId="77777777" w:rsidR="003953D6" w:rsidRPr="00346CBB" w:rsidRDefault="003953D6" w:rsidP="00346CBB">
      <w:pPr>
        <w:pStyle w:val="avsnitt-undertittel"/>
        <w:rPr>
          <w:rStyle w:val="kursiv"/>
        </w:rPr>
      </w:pPr>
      <w:r w:rsidRPr="00346CBB">
        <w:t xml:space="preserve">Tabell 2 </w:t>
      </w:r>
      <w:proofErr w:type="spellStart"/>
      <w:r w:rsidRPr="00346CBB">
        <w:t>Deflatoren</w:t>
      </w:r>
      <w:proofErr w:type="spellEnd"/>
      <w:r w:rsidRPr="00346CBB">
        <w:t xml:space="preserve"> for helseforetakene med justert metode. 2022–2024. Prosent</w:t>
      </w:r>
    </w:p>
    <w:tbl>
      <w:tblPr>
        <w:tblW w:w="5000" w:type="pct"/>
        <w:tblCellMar>
          <w:left w:w="0" w:type="dxa"/>
          <w:right w:w="0" w:type="dxa"/>
        </w:tblCellMar>
        <w:tblLook w:val="0000" w:firstRow="0" w:lastRow="0" w:firstColumn="0" w:lastColumn="0" w:noHBand="0" w:noVBand="0"/>
      </w:tblPr>
      <w:tblGrid>
        <w:gridCol w:w="3765"/>
        <w:gridCol w:w="1483"/>
        <w:gridCol w:w="1483"/>
        <w:gridCol w:w="1483"/>
      </w:tblGrid>
      <w:tr w:rsidR="00A4769D" w:rsidRPr="00346CBB" w14:paraId="64C5E555" w14:textId="77777777" w:rsidTr="00C9271A">
        <w:trPr>
          <w:trHeight w:val="396"/>
          <w:tblHeader/>
        </w:trPr>
        <w:tc>
          <w:tcPr>
            <w:tcW w:w="2291"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center"/>
          </w:tcPr>
          <w:p w14:paraId="35DB8E22" w14:textId="77777777" w:rsidR="003953D6" w:rsidRPr="00346CBB" w:rsidRDefault="003953D6" w:rsidP="00C9271A">
            <w:pPr>
              <w:jc w:val="right"/>
            </w:pPr>
          </w:p>
        </w:tc>
        <w:tc>
          <w:tcPr>
            <w:tcW w:w="903"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2E8857E" w14:textId="77777777" w:rsidR="003953D6" w:rsidRPr="00346CBB" w:rsidRDefault="003953D6" w:rsidP="00C9271A">
            <w:pPr>
              <w:pStyle w:val="TabellHode-kolonne"/>
              <w:jc w:val="right"/>
            </w:pPr>
            <w:r w:rsidRPr="00346CBB">
              <w:t>2022</w:t>
            </w:r>
          </w:p>
        </w:tc>
        <w:tc>
          <w:tcPr>
            <w:tcW w:w="903"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D561620" w14:textId="77777777" w:rsidR="003953D6" w:rsidRPr="00346CBB" w:rsidRDefault="003953D6" w:rsidP="00C9271A">
            <w:pPr>
              <w:pStyle w:val="TabellHode-kolonne"/>
              <w:jc w:val="right"/>
            </w:pPr>
            <w:r w:rsidRPr="00346CBB">
              <w:t>2023</w:t>
            </w:r>
          </w:p>
        </w:tc>
        <w:tc>
          <w:tcPr>
            <w:tcW w:w="903"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A9BC449" w14:textId="77777777" w:rsidR="003953D6" w:rsidRPr="00346CBB" w:rsidRDefault="003953D6" w:rsidP="00C9271A">
            <w:pPr>
              <w:pStyle w:val="TabellHode-kolonne"/>
              <w:jc w:val="right"/>
            </w:pPr>
            <w:r w:rsidRPr="00346CBB">
              <w:t>2024</w:t>
            </w:r>
          </w:p>
        </w:tc>
      </w:tr>
      <w:tr w:rsidR="00A4769D" w:rsidRPr="00346CBB" w14:paraId="5890B56D" w14:textId="77777777" w:rsidTr="00346CBB">
        <w:trPr>
          <w:trHeight w:val="396"/>
        </w:trPr>
        <w:tc>
          <w:tcPr>
            <w:tcW w:w="2291"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6FBCC4B" w14:textId="77777777" w:rsidR="003953D6" w:rsidRPr="00346CBB" w:rsidRDefault="003953D6" w:rsidP="00346CBB">
            <w:pPr>
              <w:pStyle w:val="TabellHode-rad"/>
            </w:pPr>
            <w:proofErr w:type="spellStart"/>
            <w:r w:rsidRPr="00346CBB">
              <w:rPr>
                <w:rStyle w:val="kursiv"/>
              </w:rPr>
              <w:t>Deflator</w:t>
            </w:r>
            <w:proofErr w:type="spellEnd"/>
          </w:p>
        </w:tc>
        <w:tc>
          <w:tcPr>
            <w:tcW w:w="903"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4D907A0" w14:textId="77777777" w:rsidR="003953D6" w:rsidRPr="00346CBB" w:rsidRDefault="003953D6" w:rsidP="00346CBB">
            <w:pPr>
              <w:jc w:val="right"/>
            </w:pPr>
            <w:r w:rsidRPr="00346CBB">
              <w:rPr>
                <w:rStyle w:val="kursiv"/>
              </w:rPr>
              <w:t>5,1</w:t>
            </w:r>
          </w:p>
        </w:tc>
        <w:tc>
          <w:tcPr>
            <w:tcW w:w="903"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5066FAD" w14:textId="77777777" w:rsidR="003953D6" w:rsidRPr="00346CBB" w:rsidRDefault="003953D6" w:rsidP="00346CBB">
            <w:pPr>
              <w:jc w:val="right"/>
            </w:pPr>
            <w:r w:rsidRPr="00346CBB">
              <w:rPr>
                <w:rStyle w:val="kursiv"/>
              </w:rPr>
              <w:t>5,6</w:t>
            </w:r>
          </w:p>
        </w:tc>
        <w:tc>
          <w:tcPr>
            <w:tcW w:w="903"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2F6FE91" w14:textId="77777777" w:rsidR="003953D6" w:rsidRPr="00346CBB" w:rsidRDefault="003953D6" w:rsidP="00346CBB">
            <w:pPr>
              <w:jc w:val="right"/>
            </w:pPr>
            <w:r w:rsidRPr="00346CBB">
              <w:rPr>
                <w:rStyle w:val="kursiv"/>
              </w:rPr>
              <w:t>4,6</w:t>
            </w:r>
          </w:p>
        </w:tc>
      </w:tr>
      <w:tr w:rsidR="00A4769D" w:rsidRPr="00346CBB" w14:paraId="3C7000C5" w14:textId="77777777" w:rsidTr="00346CBB">
        <w:trPr>
          <w:trHeight w:val="396"/>
        </w:trPr>
        <w:tc>
          <w:tcPr>
            <w:tcW w:w="229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28CEBA5" w14:textId="77777777" w:rsidR="003953D6" w:rsidRPr="00346CBB" w:rsidRDefault="003953D6" w:rsidP="00346CBB">
            <w:pPr>
              <w:pStyle w:val="TabellHode-rad"/>
            </w:pPr>
            <w:r w:rsidRPr="00346CBB">
              <w:t>Vekst i lønnskostnader ekskl. pensjon</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3338E9A4" w14:textId="77777777" w:rsidR="003953D6" w:rsidRPr="00346CBB" w:rsidRDefault="003953D6" w:rsidP="00346CBB">
            <w:pPr>
              <w:jc w:val="right"/>
            </w:pPr>
            <w:r w:rsidRPr="00346CBB">
              <w:t>4,5</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968041C" w14:textId="77777777" w:rsidR="003953D6" w:rsidRPr="00346CBB" w:rsidRDefault="003953D6" w:rsidP="00346CBB">
            <w:pPr>
              <w:jc w:val="right"/>
            </w:pPr>
            <w:r w:rsidRPr="00346CBB">
              <w:t>6,3</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6725D3F" w14:textId="77777777" w:rsidR="003953D6" w:rsidRPr="00346CBB" w:rsidRDefault="003953D6" w:rsidP="00346CBB">
            <w:pPr>
              <w:jc w:val="right"/>
            </w:pPr>
            <w:r w:rsidRPr="00346CBB">
              <w:t>5,6</w:t>
            </w:r>
          </w:p>
        </w:tc>
      </w:tr>
      <w:tr w:rsidR="00A4769D" w:rsidRPr="00346CBB" w14:paraId="34F6B0DF" w14:textId="77777777" w:rsidTr="00346CBB">
        <w:trPr>
          <w:trHeight w:val="396"/>
        </w:trPr>
        <w:tc>
          <w:tcPr>
            <w:tcW w:w="229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FDA58F7" w14:textId="77777777" w:rsidR="003953D6" w:rsidRPr="00346CBB" w:rsidRDefault="003953D6" w:rsidP="00346CBB">
            <w:pPr>
              <w:pStyle w:val="TabellHode-rad"/>
            </w:pPr>
            <w:r w:rsidRPr="00346CBB">
              <w:tab/>
              <w:t>Årslønnsvekst (TBU-inntekt)</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693B593" w14:textId="77777777" w:rsidR="003953D6" w:rsidRPr="00346CBB" w:rsidRDefault="003953D6" w:rsidP="00346CBB">
            <w:pPr>
              <w:jc w:val="right"/>
            </w:pPr>
            <w:r w:rsidRPr="00346CBB">
              <w:t>4,5</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BA9AAEF" w14:textId="77777777" w:rsidR="003953D6" w:rsidRPr="00346CBB" w:rsidRDefault="003953D6" w:rsidP="00346CBB">
            <w:pPr>
              <w:jc w:val="right"/>
            </w:pPr>
            <w:r w:rsidRPr="00346CBB">
              <w:t>5,8</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70F6732" w14:textId="77777777" w:rsidR="003953D6" w:rsidRPr="00346CBB" w:rsidRDefault="003953D6" w:rsidP="00346CBB">
            <w:pPr>
              <w:jc w:val="right"/>
            </w:pPr>
            <w:r w:rsidRPr="00346CBB">
              <w:t>5,6</w:t>
            </w:r>
          </w:p>
        </w:tc>
      </w:tr>
      <w:tr w:rsidR="00A4769D" w:rsidRPr="00346CBB" w14:paraId="664C6376" w14:textId="77777777" w:rsidTr="00346CBB">
        <w:trPr>
          <w:trHeight w:val="396"/>
        </w:trPr>
        <w:tc>
          <w:tcPr>
            <w:tcW w:w="229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6EC2E54" w14:textId="77777777" w:rsidR="003953D6" w:rsidRPr="00346CBB" w:rsidRDefault="003953D6" w:rsidP="00346CBB">
            <w:pPr>
              <w:pStyle w:val="TabellHode-rad"/>
            </w:pPr>
            <w:r w:rsidRPr="00346CBB">
              <w:tab/>
              <w:t>Bidrag fra arbeidsgiveravgift</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DBA4C1E" w14:textId="77777777" w:rsidR="003953D6" w:rsidRPr="00346CBB" w:rsidRDefault="003953D6" w:rsidP="00346CBB">
            <w:pPr>
              <w:jc w:val="right"/>
            </w:pPr>
            <w:r w:rsidRPr="00346CBB">
              <w:t>0,0</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4F0701A0" w14:textId="77777777" w:rsidR="003953D6" w:rsidRPr="00346CBB" w:rsidRDefault="003953D6" w:rsidP="00346CBB">
            <w:pPr>
              <w:jc w:val="right"/>
            </w:pPr>
            <w:r w:rsidRPr="00346CBB">
              <w:t>0,5</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AD63216" w14:textId="77777777" w:rsidR="003953D6" w:rsidRPr="00346CBB" w:rsidRDefault="003953D6" w:rsidP="00346CBB">
            <w:pPr>
              <w:jc w:val="right"/>
            </w:pPr>
            <w:r w:rsidRPr="00346CBB">
              <w:t>0,0</w:t>
            </w:r>
          </w:p>
        </w:tc>
      </w:tr>
      <w:tr w:rsidR="00A4769D" w:rsidRPr="00346CBB" w14:paraId="0D10C2B0" w14:textId="77777777" w:rsidTr="00346CBB">
        <w:trPr>
          <w:trHeight w:val="396"/>
        </w:trPr>
        <w:tc>
          <w:tcPr>
            <w:tcW w:w="229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B908E2B" w14:textId="77777777" w:rsidR="003953D6" w:rsidRPr="00346CBB" w:rsidRDefault="003953D6" w:rsidP="00346CBB">
            <w:pPr>
              <w:pStyle w:val="TabellHode-rad"/>
            </w:pPr>
            <w:r w:rsidRPr="00346CBB">
              <w:t>Prisvekst kjøp av varer og tjenester</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3AADB78" w14:textId="77777777" w:rsidR="003953D6" w:rsidRPr="00346CBB" w:rsidRDefault="003953D6" w:rsidP="00346CBB">
            <w:pPr>
              <w:jc w:val="right"/>
            </w:pPr>
            <w:r w:rsidRPr="00346CBB">
              <w:t>5,9</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CB247E3" w14:textId="77777777" w:rsidR="003953D6" w:rsidRPr="00346CBB" w:rsidRDefault="003953D6" w:rsidP="00346CBB">
            <w:pPr>
              <w:jc w:val="right"/>
            </w:pPr>
            <w:r w:rsidRPr="00346CBB">
              <w:t>4,7</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7E7C9944" w14:textId="77777777" w:rsidR="003953D6" w:rsidRPr="00346CBB" w:rsidRDefault="003953D6" w:rsidP="00346CBB">
            <w:pPr>
              <w:jc w:val="right"/>
            </w:pPr>
            <w:r w:rsidRPr="00346CBB">
              <w:t>3,4</w:t>
            </w:r>
          </w:p>
        </w:tc>
      </w:tr>
      <w:tr w:rsidR="00A4769D" w:rsidRPr="00346CBB" w14:paraId="09BC4FD0" w14:textId="77777777" w:rsidTr="00346CBB">
        <w:trPr>
          <w:trHeight w:val="396"/>
        </w:trPr>
        <w:tc>
          <w:tcPr>
            <w:tcW w:w="229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7098C83" w14:textId="77777777" w:rsidR="003953D6" w:rsidRPr="00346CBB" w:rsidRDefault="003953D6" w:rsidP="00346CBB">
            <w:pPr>
              <w:pStyle w:val="TabellHode-rad"/>
            </w:pPr>
            <w:r w:rsidRPr="00346CBB">
              <w:t>Lønnsandel i prosent</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4606EBC" w14:textId="77777777" w:rsidR="003953D6" w:rsidRPr="00346CBB" w:rsidRDefault="003953D6" w:rsidP="00346CBB">
            <w:pPr>
              <w:jc w:val="right"/>
            </w:pPr>
            <w:r w:rsidRPr="00346CBB">
              <w:t>57,4</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2284E06A" w14:textId="77777777" w:rsidR="003953D6" w:rsidRPr="00346CBB" w:rsidRDefault="003953D6" w:rsidP="00346CBB">
            <w:pPr>
              <w:jc w:val="right"/>
            </w:pPr>
            <w:r w:rsidRPr="00346CBB">
              <w:t>56,6</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EA20C3C" w14:textId="77777777" w:rsidR="003953D6" w:rsidRPr="00346CBB" w:rsidRDefault="003953D6" w:rsidP="00346CBB">
            <w:pPr>
              <w:jc w:val="right"/>
            </w:pPr>
            <w:r w:rsidRPr="00346CBB">
              <w:t>54,7</w:t>
            </w:r>
          </w:p>
        </w:tc>
      </w:tr>
      <w:tr w:rsidR="00A4769D" w:rsidRPr="00346CBB" w14:paraId="687FBBBA" w14:textId="77777777" w:rsidTr="00346CBB">
        <w:trPr>
          <w:trHeight w:val="396"/>
        </w:trPr>
        <w:tc>
          <w:tcPr>
            <w:tcW w:w="229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84E9543" w14:textId="77777777" w:rsidR="003953D6" w:rsidRPr="00346CBB" w:rsidRDefault="003953D6" w:rsidP="00346CBB">
            <w:pPr>
              <w:pStyle w:val="NoParagraphStyle"/>
            </w:pP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9C0F5BF" w14:textId="77777777" w:rsidR="003953D6" w:rsidRPr="00346CBB" w:rsidRDefault="003953D6" w:rsidP="00346CBB">
            <w:pPr>
              <w:pStyle w:val="NoParagraphStyle"/>
            </w:pP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AA06207" w14:textId="77777777" w:rsidR="003953D6" w:rsidRPr="00346CBB" w:rsidRDefault="003953D6" w:rsidP="00346CBB">
            <w:pPr>
              <w:pStyle w:val="NoParagraphStyle"/>
            </w:pP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5DD5E84" w14:textId="77777777" w:rsidR="003953D6" w:rsidRPr="00346CBB" w:rsidRDefault="003953D6" w:rsidP="00C9271A">
            <w:pPr>
              <w:jc w:val="right"/>
            </w:pPr>
          </w:p>
        </w:tc>
      </w:tr>
      <w:tr w:rsidR="00A4769D" w:rsidRPr="00346CBB" w14:paraId="410AEC00" w14:textId="77777777" w:rsidTr="00346CBB">
        <w:trPr>
          <w:trHeight w:val="396"/>
        </w:trPr>
        <w:tc>
          <w:tcPr>
            <w:tcW w:w="2291"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0751BD3E" w14:textId="77777777" w:rsidR="003953D6" w:rsidRPr="00346CBB" w:rsidRDefault="003953D6" w:rsidP="00346CBB">
            <w:pPr>
              <w:pStyle w:val="TabellHode-rad"/>
            </w:pPr>
            <w:proofErr w:type="spellStart"/>
            <w:r w:rsidRPr="00346CBB">
              <w:rPr>
                <w:rStyle w:val="kursiv"/>
              </w:rPr>
              <w:t>Deflator</w:t>
            </w:r>
            <w:proofErr w:type="spellEnd"/>
            <w:r w:rsidRPr="00346CBB">
              <w:rPr>
                <w:rStyle w:val="kursiv"/>
              </w:rPr>
              <w:t xml:space="preserve"> i opprinnelig statsbudsjett</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65D5B1DD" w14:textId="77777777" w:rsidR="003953D6" w:rsidRPr="00346CBB" w:rsidRDefault="003953D6" w:rsidP="00346CBB">
            <w:pPr>
              <w:jc w:val="right"/>
            </w:pPr>
            <w:r w:rsidRPr="00346CBB">
              <w:rPr>
                <w:rStyle w:val="kursiv"/>
              </w:rPr>
              <w:t>2,7</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521549EB" w14:textId="77777777" w:rsidR="003953D6" w:rsidRPr="00346CBB" w:rsidRDefault="003953D6" w:rsidP="00346CBB">
            <w:pPr>
              <w:jc w:val="right"/>
            </w:pPr>
            <w:r w:rsidRPr="00346CBB">
              <w:rPr>
                <w:rStyle w:val="kursiv"/>
              </w:rPr>
              <w:t>3,8</w:t>
            </w:r>
          </w:p>
        </w:tc>
        <w:tc>
          <w:tcPr>
            <w:tcW w:w="903"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center"/>
          </w:tcPr>
          <w:p w14:paraId="15C1A606" w14:textId="77777777" w:rsidR="003953D6" w:rsidRPr="00346CBB" w:rsidRDefault="003953D6" w:rsidP="00346CBB">
            <w:pPr>
              <w:jc w:val="right"/>
            </w:pPr>
            <w:r w:rsidRPr="00346CBB">
              <w:rPr>
                <w:rStyle w:val="kursiv"/>
              </w:rPr>
              <w:t>4,3</w:t>
            </w:r>
          </w:p>
        </w:tc>
      </w:tr>
    </w:tbl>
    <w:p w14:paraId="5B0CA233" w14:textId="77777777" w:rsidR="003953D6" w:rsidRPr="00346CBB" w:rsidRDefault="003953D6" w:rsidP="00C9271A">
      <w:pPr>
        <w:jc w:val="right"/>
      </w:pPr>
    </w:p>
    <w:p w14:paraId="0EB77571" w14:textId="77777777" w:rsidR="003953D6" w:rsidRPr="00346CBB" w:rsidRDefault="003953D6" w:rsidP="00346CBB">
      <w:pPr>
        <w:pStyle w:val="avsnitt-undertittel"/>
      </w:pPr>
      <w:r w:rsidRPr="00346CBB">
        <w:lastRenderedPageBreak/>
        <w:t>Beregning av prisvekst på kjøp av varer og tjenester</w:t>
      </w:r>
    </w:p>
    <w:tbl>
      <w:tblPr>
        <w:tblW w:w="5000" w:type="pct"/>
        <w:tblCellMar>
          <w:left w:w="0" w:type="dxa"/>
          <w:right w:w="0" w:type="dxa"/>
        </w:tblCellMar>
        <w:tblLook w:val="0000" w:firstRow="0" w:lastRow="0" w:firstColumn="0" w:lastColumn="0" w:noHBand="0" w:noVBand="0"/>
      </w:tblPr>
      <w:tblGrid>
        <w:gridCol w:w="1759"/>
        <w:gridCol w:w="698"/>
        <w:gridCol w:w="698"/>
        <w:gridCol w:w="698"/>
        <w:gridCol w:w="664"/>
        <w:gridCol w:w="664"/>
        <w:gridCol w:w="664"/>
        <w:gridCol w:w="617"/>
        <w:gridCol w:w="1752"/>
      </w:tblGrid>
      <w:tr w:rsidR="00A4769D" w:rsidRPr="00346CBB" w14:paraId="4ADF33BA" w14:textId="77777777" w:rsidTr="00C9271A">
        <w:trPr>
          <w:trHeight w:val="396"/>
          <w:tblHeader/>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F212DA5" w14:textId="77777777" w:rsidR="003953D6" w:rsidRPr="00346CBB" w:rsidRDefault="003953D6" w:rsidP="00C9271A">
            <w:pPr>
              <w:jc w:val="right"/>
            </w:pPr>
          </w:p>
        </w:tc>
        <w:tc>
          <w:tcPr>
            <w:tcW w:w="1196" w:type="pct"/>
            <w:gridSpan w:val="3"/>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6E0D242" w14:textId="77777777" w:rsidR="003953D6" w:rsidRPr="00346CBB" w:rsidRDefault="003953D6" w:rsidP="00C9271A">
            <w:pPr>
              <w:pStyle w:val="TabellHode-kolonne"/>
              <w:jc w:val="center"/>
            </w:pPr>
            <w:r w:rsidRPr="00346CBB">
              <w:t>Utgiftsandeler i helseforetakene</w:t>
            </w:r>
          </w:p>
        </w:tc>
        <w:tc>
          <w:tcPr>
            <w:tcW w:w="1196" w:type="pct"/>
            <w:gridSpan w:val="3"/>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9EEF41D" w14:textId="77777777" w:rsidR="003953D6" w:rsidRPr="00346CBB" w:rsidRDefault="003953D6" w:rsidP="00C9271A">
            <w:pPr>
              <w:pStyle w:val="TabellHode-kolonne"/>
              <w:jc w:val="center"/>
            </w:pPr>
            <w:r w:rsidRPr="00346CBB">
              <w:t>Prisvekst</w:t>
            </w:r>
          </w:p>
        </w:tc>
        <w:tc>
          <w:tcPr>
            <w:tcW w:w="1506" w:type="pct"/>
            <w:gridSpan w:val="2"/>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7F17B09B" w14:textId="77777777" w:rsidR="003953D6" w:rsidRPr="00346CBB" w:rsidRDefault="003953D6" w:rsidP="00C9271A">
            <w:pPr>
              <w:pStyle w:val="TabellHode-kolonne"/>
              <w:jc w:val="center"/>
            </w:pPr>
            <w:r w:rsidRPr="00346CBB">
              <w:t>Kilder for prisdata</w:t>
            </w:r>
          </w:p>
        </w:tc>
      </w:tr>
      <w:tr w:rsidR="00A4769D" w:rsidRPr="00346CBB" w14:paraId="0143426C" w14:textId="77777777" w:rsidTr="00C9271A">
        <w:trPr>
          <w:trHeight w:val="396"/>
          <w:tblHeader/>
        </w:trPr>
        <w:tc>
          <w:tcPr>
            <w:tcW w:w="1102"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FD04580" w14:textId="77777777" w:rsidR="003953D6" w:rsidRPr="00346CBB" w:rsidRDefault="003953D6" w:rsidP="00346CBB">
            <w:pPr>
              <w:pStyle w:val="TabellHode-rad"/>
            </w:pPr>
            <w:r w:rsidRPr="00346CBB">
              <w:t>Vare og tjenestegrupper</w:t>
            </w:r>
          </w:p>
        </w:tc>
        <w:tc>
          <w:tcPr>
            <w:tcW w:w="399" w:type="pct"/>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4074506" w14:textId="77777777" w:rsidR="003953D6" w:rsidRPr="00346CBB" w:rsidRDefault="003953D6" w:rsidP="00C9271A">
            <w:pPr>
              <w:pStyle w:val="TabellHode-kolonne"/>
              <w:jc w:val="right"/>
            </w:pPr>
            <w:r w:rsidRPr="00346CBB">
              <w:t>2022</w:t>
            </w:r>
          </w:p>
        </w:tc>
        <w:tc>
          <w:tcPr>
            <w:tcW w:w="399" w:type="pct"/>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5EFC508" w14:textId="77777777" w:rsidR="003953D6" w:rsidRPr="00346CBB" w:rsidRDefault="003953D6" w:rsidP="00C9271A">
            <w:pPr>
              <w:pStyle w:val="TabellHode-kolonne"/>
              <w:jc w:val="right"/>
            </w:pPr>
            <w:r w:rsidRPr="00346CBB">
              <w:t>2023</w:t>
            </w:r>
          </w:p>
        </w:tc>
        <w:tc>
          <w:tcPr>
            <w:tcW w:w="399" w:type="pct"/>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A66932F" w14:textId="77777777" w:rsidR="003953D6" w:rsidRPr="00346CBB" w:rsidRDefault="003953D6" w:rsidP="00C9271A">
            <w:pPr>
              <w:pStyle w:val="TabellHode-kolonne"/>
              <w:jc w:val="right"/>
            </w:pPr>
            <w:r w:rsidRPr="00346CBB">
              <w:t>2024</w:t>
            </w:r>
          </w:p>
        </w:tc>
        <w:tc>
          <w:tcPr>
            <w:tcW w:w="399" w:type="pct"/>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C292C4B" w14:textId="77777777" w:rsidR="003953D6" w:rsidRPr="00346CBB" w:rsidRDefault="003953D6" w:rsidP="00C9271A">
            <w:pPr>
              <w:pStyle w:val="TabellHode-kolonne"/>
              <w:jc w:val="right"/>
            </w:pPr>
            <w:r w:rsidRPr="00346CBB">
              <w:t>2022</w:t>
            </w:r>
          </w:p>
        </w:tc>
        <w:tc>
          <w:tcPr>
            <w:tcW w:w="399" w:type="pct"/>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2951842" w14:textId="77777777" w:rsidR="003953D6" w:rsidRPr="00346CBB" w:rsidRDefault="003953D6" w:rsidP="00C9271A">
            <w:pPr>
              <w:pStyle w:val="TabellHode-kolonne"/>
              <w:jc w:val="right"/>
            </w:pPr>
            <w:r w:rsidRPr="00346CBB">
              <w:t>2023</w:t>
            </w:r>
          </w:p>
        </w:tc>
        <w:tc>
          <w:tcPr>
            <w:tcW w:w="399" w:type="pct"/>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CD05BBE" w14:textId="77777777" w:rsidR="003953D6" w:rsidRPr="00346CBB" w:rsidRDefault="003953D6" w:rsidP="00C9271A">
            <w:pPr>
              <w:pStyle w:val="TabellHode-kolonne"/>
              <w:jc w:val="right"/>
            </w:pPr>
            <w:r w:rsidRPr="00346CBB">
              <w:t>2024</w:t>
            </w:r>
          </w:p>
        </w:tc>
        <w:tc>
          <w:tcPr>
            <w:tcW w:w="404" w:type="pct"/>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505C519B" w14:textId="77777777" w:rsidR="003953D6" w:rsidRPr="00346CBB" w:rsidRDefault="003953D6" w:rsidP="00346CBB">
            <w:pPr>
              <w:pStyle w:val="NoParagraphStyle"/>
            </w:pPr>
          </w:p>
        </w:tc>
        <w:tc>
          <w:tcPr>
            <w:tcW w:w="1102" w:type="pct"/>
            <w:tcBorders>
              <w:top w:val="single" w:sz="8"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0B38007" w14:textId="77777777" w:rsidR="003953D6" w:rsidRPr="00346CBB" w:rsidRDefault="003953D6" w:rsidP="00C9271A">
            <w:pPr>
              <w:jc w:val="right"/>
            </w:pPr>
          </w:p>
        </w:tc>
      </w:tr>
      <w:tr w:rsidR="00A4769D" w:rsidRPr="00346CBB" w14:paraId="754A141F" w14:textId="77777777" w:rsidTr="00C9271A">
        <w:trPr>
          <w:trHeight w:val="396"/>
        </w:trPr>
        <w:tc>
          <w:tcPr>
            <w:tcW w:w="1102"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C57CD5B" w14:textId="77777777" w:rsidR="003953D6" w:rsidRPr="00346CBB" w:rsidRDefault="003953D6" w:rsidP="00346CBB">
            <w:pPr>
              <w:pStyle w:val="TabellHode-rad"/>
            </w:pPr>
            <w:r w:rsidRPr="00346CBB">
              <w:t>Kontormateriell</w:t>
            </w:r>
          </w:p>
        </w:tc>
        <w:tc>
          <w:tcPr>
            <w:tcW w:w="39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F6DC9CD" w14:textId="77777777" w:rsidR="003953D6" w:rsidRPr="00346CBB" w:rsidRDefault="003953D6" w:rsidP="00346CBB">
            <w:pPr>
              <w:jc w:val="right"/>
            </w:pPr>
            <w:r w:rsidRPr="00346CBB">
              <w:t>0,7</w:t>
            </w:r>
          </w:p>
        </w:tc>
        <w:tc>
          <w:tcPr>
            <w:tcW w:w="39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1E38F57" w14:textId="77777777" w:rsidR="003953D6" w:rsidRPr="00346CBB" w:rsidRDefault="003953D6" w:rsidP="00346CBB">
            <w:pPr>
              <w:jc w:val="right"/>
            </w:pPr>
            <w:r w:rsidRPr="00346CBB">
              <w:t>0,7</w:t>
            </w:r>
          </w:p>
        </w:tc>
        <w:tc>
          <w:tcPr>
            <w:tcW w:w="39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1FEE37C" w14:textId="77777777" w:rsidR="003953D6" w:rsidRPr="00346CBB" w:rsidRDefault="003953D6" w:rsidP="00346CBB">
            <w:pPr>
              <w:jc w:val="right"/>
            </w:pPr>
            <w:r w:rsidRPr="00346CBB">
              <w:t>0,6</w:t>
            </w:r>
          </w:p>
        </w:tc>
        <w:tc>
          <w:tcPr>
            <w:tcW w:w="39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A69CE95" w14:textId="77777777" w:rsidR="003953D6" w:rsidRPr="00346CBB" w:rsidRDefault="003953D6" w:rsidP="00346CBB">
            <w:pPr>
              <w:jc w:val="right"/>
            </w:pPr>
            <w:r w:rsidRPr="00346CBB">
              <w:t>4,9</w:t>
            </w:r>
          </w:p>
        </w:tc>
        <w:tc>
          <w:tcPr>
            <w:tcW w:w="39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8270F5B" w14:textId="77777777" w:rsidR="003953D6" w:rsidRPr="00346CBB" w:rsidRDefault="003953D6" w:rsidP="00346CBB">
            <w:pPr>
              <w:jc w:val="right"/>
            </w:pPr>
            <w:r w:rsidRPr="00346CBB">
              <w:t>6,8</w:t>
            </w:r>
          </w:p>
        </w:tc>
        <w:tc>
          <w:tcPr>
            <w:tcW w:w="39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D84FF1B" w14:textId="77777777" w:rsidR="003953D6" w:rsidRPr="00346CBB" w:rsidRDefault="003953D6" w:rsidP="00346CBB">
            <w:pPr>
              <w:jc w:val="right"/>
            </w:pPr>
            <w:r w:rsidRPr="00346CBB">
              <w:t>4,5</w:t>
            </w:r>
          </w:p>
        </w:tc>
        <w:tc>
          <w:tcPr>
            <w:tcW w:w="404"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23BA1FA" w14:textId="77777777" w:rsidR="003953D6" w:rsidRPr="00346CBB" w:rsidRDefault="003953D6" w:rsidP="00C9271A">
            <w:r w:rsidRPr="00346CBB">
              <w:t>KPI</w:t>
            </w:r>
          </w:p>
        </w:tc>
        <w:tc>
          <w:tcPr>
            <w:tcW w:w="1102"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4C1AE56" w14:textId="77777777" w:rsidR="003953D6" w:rsidRPr="00346CBB" w:rsidRDefault="003953D6" w:rsidP="00C9271A">
            <w:r w:rsidRPr="00346CBB">
              <w:t>Aviser, bøker og papirvarer (09.5)</w:t>
            </w:r>
          </w:p>
        </w:tc>
      </w:tr>
      <w:tr w:rsidR="00A4769D" w:rsidRPr="00346CBB" w14:paraId="696469DC"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5F2E545" w14:textId="77777777" w:rsidR="003953D6" w:rsidRPr="00346CBB" w:rsidRDefault="003953D6" w:rsidP="00346CBB">
            <w:pPr>
              <w:pStyle w:val="TabellHode-rad"/>
            </w:pPr>
            <w:r w:rsidRPr="00346CBB">
              <w:t>Undervisningsmateriell</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2525338" w14:textId="77777777" w:rsidR="003953D6" w:rsidRPr="00346CBB" w:rsidRDefault="003953D6" w:rsidP="00346CBB">
            <w:pPr>
              <w:jc w:val="right"/>
            </w:pPr>
            <w:r w:rsidRPr="00346CBB">
              <w:t>0,0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B4F6C4C" w14:textId="77777777" w:rsidR="003953D6" w:rsidRPr="00346CBB" w:rsidRDefault="003953D6" w:rsidP="00346CBB">
            <w:pPr>
              <w:jc w:val="right"/>
            </w:pPr>
            <w:r w:rsidRPr="00346CBB">
              <w:t>0,0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0FAA175" w14:textId="77777777" w:rsidR="003953D6" w:rsidRPr="00346CBB" w:rsidRDefault="003953D6" w:rsidP="00346CBB">
            <w:pPr>
              <w:jc w:val="right"/>
            </w:pPr>
            <w:r w:rsidRPr="00346CBB">
              <w:t>0,0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A10FD78" w14:textId="77777777" w:rsidR="003953D6" w:rsidRPr="00346CBB" w:rsidRDefault="003953D6" w:rsidP="00346CBB">
            <w:pPr>
              <w:jc w:val="right"/>
            </w:pPr>
            <w:r w:rsidRPr="00346CBB">
              <w:t>4,9</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8D890A7" w14:textId="77777777" w:rsidR="003953D6" w:rsidRPr="00346CBB" w:rsidRDefault="003953D6" w:rsidP="00346CBB">
            <w:pPr>
              <w:jc w:val="right"/>
            </w:pPr>
            <w:r w:rsidRPr="00346CBB">
              <w:t>6,8</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7322904" w14:textId="77777777" w:rsidR="003953D6" w:rsidRPr="00346CBB" w:rsidRDefault="003953D6" w:rsidP="00346CBB">
            <w:pPr>
              <w:jc w:val="right"/>
            </w:pPr>
            <w:r w:rsidRPr="00346CBB">
              <w:t>4,5</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A5C49D5" w14:textId="77777777" w:rsidR="003953D6" w:rsidRPr="00346CBB" w:rsidRDefault="003953D6" w:rsidP="00C9271A">
            <w:r w:rsidRPr="00346CBB">
              <w:t>KPI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1893FE0" w14:textId="77777777" w:rsidR="003953D6" w:rsidRPr="00346CBB" w:rsidRDefault="003953D6" w:rsidP="00C9271A">
            <w:r w:rsidRPr="00346CBB">
              <w:t>Aviser, bøker og papirvarer (09.5)</w:t>
            </w:r>
          </w:p>
        </w:tc>
      </w:tr>
      <w:tr w:rsidR="00A4769D" w:rsidRPr="00346CBB" w14:paraId="0FB0DFAA"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C3E15EE" w14:textId="77777777" w:rsidR="003953D6" w:rsidRPr="00346CBB" w:rsidRDefault="003953D6" w:rsidP="00346CBB">
            <w:pPr>
              <w:pStyle w:val="TabellHode-rad"/>
            </w:pPr>
            <w:r w:rsidRPr="00346CBB">
              <w:t>Medisinsk forbruksmateriell</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4DC32B7" w14:textId="77777777" w:rsidR="003953D6" w:rsidRPr="00346CBB" w:rsidRDefault="003953D6" w:rsidP="00346CBB">
            <w:pPr>
              <w:jc w:val="right"/>
            </w:pPr>
            <w:r w:rsidRPr="00346CBB">
              <w:t>15,7</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E925580" w14:textId="77777777" w:rsidR="003953D6" w:rsidRPr="00346CBB" w:rsidRDefault="003953D6" w:rsidP="00346CBB">
            <w:pPr>
              <w:jc w:val="right"/>
            </w:pPr>
            <w:r w:rsidRPr="00346CBB">
              <w:t>14,2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EE6B9C3" w14:textId="77777777" w:rsidR="003953D6" w:rsidRPr="00346CBB" w:rsidRDefault="003953D6" w:rsidP="00346CBB">
            <w:pPr>
              <w:jc w:val="right"/>
            </w:pPr>
            <w:r w:rsidRPr="00346CBB">
              <w:t>12,8</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4713267" w14:textId="77777777" w:rsidR="003953D6" w:rsidRPr="00346CBB" w:rsidRDefault="003953D6" w:rsidP="00346CBB">
            <w:pPr>
              <w:jc w:val="right"/>
            </w:pPr>
            <w:r w:rsidRPr="00346CBB">
              <w:t>2,4</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5A7549C" w14:textId="77777777" w:rsidR="003953D6" w:rsidRPr="00346CBB" w:rsidRDefault="003953D6" w:rsidP="00346CBB">
            <w:pPr>
              <w:jc w:val="right"/>
            </w:pPr>
            <w:r w:rsidRPr="00346CBB">
              <w:t>4,7</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F65D18C" w14:textId="77777777" w:rsidR="003953D6" w:rsidRPr="00346CBB" w:rsidRDefault="003953D6" w:rsidP="00346CBB">
            <w:pPr>
              <w:jc w:val="right"/>
            </w:pPr>
            <w:r w:rsidRPr="00346CBB">
              <w:t>5,2</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024986A" w14:textId="77777777" w:rsidR="003953D6" w:rsidRPr="00346CBB" w:rsidRDefault="003953D6" w:rsidP="00C9271A">
            <w:r w:rsidRPr="00346CBB">
              <w:t>KPI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6F7E8F6" w14:textId="77777777" w:rsidR="003953D6" w:rsidRPr="00346CBB" w:rsidRDefault="003953D6" w:rsidP="00C9271A">
            <w:r w:rsidRPr="00346CBB">
              <w:t>Medisinske produkter mv (06.1)</w:t>
            </w:r>
          </w:p>
        </w:tc>
      </w:tr>
      <w:tr w:rsidR="00A4769D" w:rsidRPr="00346CBB" w14:paraId="3C998704"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F813C60" w14:textId="77777777" w:rsidR="003953D6" w:rsidRPr="00346CBB" w:rsidRDefault="003953D6" w:rsidP="00346CBB">
            <w:pPr>
              <w:pStyle w:val="TabellHode-rad"/>
            </w:pPr>
            <w:r w:rsidRPr="00346CBB">
              <w:t>Legemidler</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BF5EA84" w14:textId="77777777" w:rsidR="003953D6" w:rsidRPr="00346CBB" w:rsidRDefault="003953D6" w:rsidP="00346CBB">
            <w:pPr>
              <w:jc w:val="right"/>
            </w:pPr>
            <w:r w:rsidRPr="00346CBB">
              <w:t>17,5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432BA45" w14:textId="77777777" w:rsidR="003953D6" w:rsidRPr="00346CBB" w:rsidRDefault="003953D6" w:rsidP="00346CBB">
            <w:pPr>
              <w:jc w:val="right"/>
            </w:pPr>
            <w:r w:rsidRPr="00346CBB">
              <w:t>16,0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920CDB2" w14:textId="77777777" w:rsidR="003953D6" w:rsidRPr="00346CBB" w:rsidRDefault="003953D6" w:rsidP="00346CBB">
            <w:pPr>
              <w:jc w:val="right"/>
            </w:pPr>
            <w:r w:rsidRPr="00346CBB">
              <w:t>14,5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A7FFD55" w14:textId="77777777" w:rsidR="003953D6" w:rsidRPr="00346CBB" w:rsidRDefault="003953D6" w:rsidP="00346CBB">
            <w:pPr>
              <w:jc w:val="right"/>
            </w:pPr>
            <w:r w:rsidRPr="00346CBB">
              <w:t>2,4</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B266D49" w14:textId="77777777" w:rsidR="003953D6" w:rsidRPr="00346CBB" w:rsidRDefault="003953D6" w:rsidP="00346CBB">
            <w:pPr>
              <w:jc w:val="right"/>
            </w:pPr>
            <w:r w:rsidRPr="00346CBB">
              <w:t>4,7</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C3B6754" w14:textId="77777777" w:rsidR="003953D6" w:rsidRPr="00346CBB" w:rsidRDefault="003953D6" w:rsidP="00346CBB">
            <w:pPr>
              <w:jc w:val="right"/>
            </w:pPr>
            <w:r w:rsidRPr="00346CBB">
              <w:t>5,2</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DF7EB3D" w14:textId="77777777" w:rsidR="003953D6" w:rsidRPr="00346CBB" w:rsidRDefault="003953D6" w:rsidP="00C9271A">
            <w:r w:rsidRPr="00346CBB">
              <w:t>KPI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B086863" w14:textId="77777777" w:rsidR="003953D6" w:rsidRPr="00346CBB" w:rsidRDefault="003953D6" w:rsidP="00C9271A">
            <w:r w:rsidRPr="00346CBB">
              <w:t>Medisinske produkter mv (06.1)</w:t>
            </w:r>
          </w:p>
        </w:tc>
      </w:tr>
      <w:tr w:rsidR="00A4769D" w:rsidRPr="00346CBB" w14:paraId="260D2587"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8DD7167" w14:textId="77777777" w:rsidR="003953D6" w:rsidRPr="00346CBB" w:rsidRDefault="003953D6" w:rsidP="00346CBB">
            <w:pPr>
              <w:pStyle w:val="TabellHode-rad"/>
            </w:pPr>
            <w:r w:rsidRPr="00346CBB">
              <w:t>Matvarer</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2546B2A" w14:textId="77777777" w:rsidR="003953D6" w:rsidRPr="00346CBB" w:rsidRDefault="003953D6" w:rsidP="00346CBB">
            <w:pPr>
              <w:jc w:val="right"/>
            </w:pPr>
            <w:r w:rsidRPr="00346CBB">
              <w:t>1,1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B9FEF91" w14:textId="77777777" w:rsidR="003953D6" w:rsidRPr="00346CBB" w:rsidRDefault="003953D6" w:rsidP="00346CBB">
            <w:pPr>
              <w:jc w:val="right"/>
            </w:pPr>
            <w:r w:rsidRPr="00346CBB">
              <w:t>1,1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1B66830" w14:textId="77777777" w:rsidR="003953D6" w:rsidRPr="00346CBB" w:rsidRDefault="003953D6" w:rsidP="00346CBB">
            <w:pPr>
              <w:jc w:val="right"/>
            </w:pPr>
            <w:r w:rsidRPr="00346CBB">
              <w:t>1,1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DC7E376" w14:textId="77777777" w:rsidR="003953D6" w:rsidRPr="00346CBB" w:rsidRDefault="003953D6" w:rsidP="00346CBB">
            <w:pPr>
              <w:jc w:val="right"/>
            </w:pPr>
            <w:r w:rsidRPr="00346CBB">
              <w:t>6,5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86E0087" w14:textId="77777777" w:rsidR="003953D6" w:rsidRPr="00346CBB" w:rsidRDefault="003953D6" w:rsidP="00346CBB">
            <w:pPr>
              <w:jc w:val="right"/>
            </w:pPr>
            <w:r w:rsidRPr="00346CBB">
              <w:t>9,8</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F173302" w14:textId="77777777" w:rsidR="003953D6" w:rsidRPr="00346CBB" w:rsidRDefault="003953D6" w:rsidP="00346CBB">
            <w:pPr>
              <w:jc w:val="right"/>
            </w:pPr>
            <w:r w:rsidRPr="00346CBB">
              <w:t>5,3</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80C7FCA" w14:textId="77777777" w:rsidR="003953D6" w:rsidRPr="00346CBB" w:rsidRDefault="003953D6" w:rsidP="00C9271A">
            <w:r w:rsidRPr="00346CBB">
              <w:t>KPI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28F145D" w14:textId="77777777" w:rsidR="003953D6" w:rsidRPr="00346CBB" w:rsidRDefault="003953D6" w:rsidP="00C9271A">
            <w:r w:rsidRPr="00346CBB">
              <w:t xml:space="preserve">Matvarer/alkoholfrie </w:t>
            </w:r>
            <w:proofErr w:type="spellStart"/>
            <w:proofErr w:type="gramStart"/>
            <w:r w:rsidRPr="00346CBB">
              <w:t>dr.varer</w:t>
            </w:r>
            <w:proofErr w:type="spellEnd"/>
            <w:proofErr w:type="gramEnd"/>
            <w:r w:rsidRPr="00346CBB">
              <w:t xml:space="preserve"> (01)</w:t>
            </w:r>
          </w:p>
        </w:tc>
      </w:tr>
      <w:tr w:rsidR="00A4769D" w:rsidRPr="00346CBB" w14:paraId="1A31F42F"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1657B8A" w14:textId="77777777" w:rsidR="003953D6" w:rsidRPr="00346CBB" w:rsidRDefault="003953D6" w:rsidP="00346CBB">
            <w:pPr>
              <w:pStyle w:val="TabellHode-rad"/>
            </w:pPr>
            <w:r w:rsidRPr="00346CBB">
              <w:t>Annet forbruksmateriell/råvarer og tjenester</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D4152A0" w14:textId="77777777" w:rsidR="003953D6" w:rsidRPr="00346CBB" w:rsidRDefault="003953D6" w:rsidP="00346CBB">
            <w:pPr>
              <w:jc w:val="right"/>
            </w:pPr>
            <w:r w:rsidRPr="00346CBB">
              <w:t>1,8</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E0B7069" w14:textId="77777777" w:rsidR="003953D6" w:rsidRPr="00346CBB" w:rsidRDefault="003953D6" w:rsidP="00346CBB">
            <w:pPr>
              <w:jc w:val="right"/>
            </w:pPr>
            <w:r w:rsidRPr="00346CBB">
              <w:t>1,9</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7E42D09" w14:textId="77777777" w:rsidR="003953D6" w:rsidRPr="00346CBB" w:rsidRDefault="003953D6" w:rsidP="00346CBB">
            <w:pPr>
              <w:jc w:val="right"/>
            </w:pPr>
            <w:r w:rsidRPr="00346CBB">
              <w:t>1,7</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7A07149" w14:textId="77777777" w:rsidR="003953D6" w:rsidRPr="00346CBB" w:rsidRDefault="003953D6" w:rsidP="00346CBB">
            <w:pPr>
              <w:jc w:val="right"/>
            </w:pPr>
            <w:r w:rsidRPr="00346CBB">
              <w:t>6,5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126CE24" w14:textId="77777777" w:rsidR="003953D6" w:rsidRPr="00346CBB" w:rsidRDefault="003953D6" w:rsidP="00346CBB">
            <w:pPr>
              <w:jc w:val="right"/>
            </w:pPr>
            <w:r w:rsidRPr="00346CBB">
              <w:t>8,5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8BF25FF" w14:textId="77777777" w:rsidR="003953D6" w:rsidRPr="00346CBB" w:rsidRDefault="003953D6" w:rsidP="00346CBB">
            <w:pPr>
              <w:jc w:val="right"/>
            </w:pPr>
            <w:r w:rsidRPr="00346CBB">
              <w:t>2,7</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821AFA1" w14:textId="77777777" w:rsidR="003953D6" w:rsidRPr="00346CBB" w:rsidRDefault="003953D6" w:rsidP="00C9271A">
            <w:r w:rsidRPr="00346CBB">
              <w:t>KPI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F5BA768" w14:textId="77777777" w:rsidR="003953D6" w:rsidRPr="00346CBB" w:rsidRDefault="003953D6" w:rsidP="00C9271A">
            <w:r w:rsidRPr="00346CBB">
              <w:t xml:space="preserve">Møbler, </w:t>
            </w:r>
            <w:proofErr w:type="spellStart"/>
            <w:proofErr w:type="gramStart"/>
            <w:r w:rsidRPr="00346CBB">
              <w:t>hush.artikler</w:t>
            </w:r>
            <w:proofErr w:type="spellEnd"/>
            <w:proofErr w:type="gramEnd"/>
            <w:r w:rsidRPr="00346CBB">
              <w:t xml:space="preserve"> mv. (05)</w:t>
            </w:r>
          </w:p>
        </w:tc>
      </w:tr>
      <w:tr w:rsidR="00A4769D" w:rsidRPr="00346CBB" w14:paraId="1A989E46"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97179C8" w14:textId="77777777" w:rsidR="003953D6" w:rsidRPr="00346CBB" w:rsidRDefault="003953D6" w:rsidP="00346CBB">
            <w:pPr>
              <w:pStyle w:val="TabellHode-rad"/>
            </w:pPr>
            <w:r w:rsidRPr="00346CBB">
              <w:lastRenderedPageBreak/>
              <w:t>Post, banktjenester og telefon</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159A4CD" w14:textId="77777777" w:rsidR="003953D6" w:rsidRPr="00346CBB" w:rsidRDefault="003953D6" w:rsidP="00346CBB">
            <w:pPr>
              <w:jc w:val="right"/>
            </w:pPr>
            <w:r w:rsidRPr="00346CBB">
              <w:t>1,6</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71440B0" w14:textId="77777777" w:rsidR="003953D6" w:rsidRPr="00346CBB" w:rsidRDefault="003953D6" w:rsidP="00346CBB">
            <w:pPr>
              <w:jc w:val="right"/>
            </w:pPr>
            <w:r w:rsidRPr="00346CBB">
              <w:t>1,2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F026F36" w14:textId="77777777" w:rsidR="003953D6" w:rsidRPr="00346CBB" w:rsidRDefault="003953D6" w:rsidP="00346CBB">
            <w:pPr>
              <w:jc w:val="right"/>
            </w:pPr>
            <w:r w:rsidRPr="00346CBB">
              <w:t>1,1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B714B33" w14:textId="77777777" w:rsidR="003953D6" w:rsidRPr="00346CBB" w:rsidRDefault="003953D6" w:rsidP="00346CBB">
            <w:pPr>
              <w:jc w:val="right"/>
            </w:pPr>
            <w:r w:rsidRPr="00346CBB">
              <w:t>1,0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45EC29C" w14:textId="77777777" w:rsidR="003953D6" w:rsidRPr="00346CBB" w:rsidRDefault="003953D6" w:rsidP="00346CBB">
            <w:pPr>
              <w:jc w:val="right"/>
            </w:pPr>
            <w:r w:rsidRPr="00346CBB">
              <w:t>5,1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25CC7C4" w14:textId="77777777" w:rsidR="003953D6" w:rsidRPr="00346CBB" w:rsidRDefault="003953D6" w:rsidP="00346CBB">
            <w:pPr>
              <w:jc w:val="right"/>
            </w:pPr>
            <w:r w:rsidRPr="00346CBB">
              <w:t>0,9</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C689606" w14:textId="77777777" w:rsidR="003953D6" w:rsidRPr="00346CBB" w:rsidRDefault="003953D6" w:rsidP="00C9271A">
            <w:r w:rsidRPr="00346CBB">
              <w:t>KPI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3504CA1" w14:textId="77777777" w:rsidR="003953D6" w:rsidRPr="00346CBB" w:rsidRDefault="003953D6" w:rsidP="00C9271A">
            <w:r w:rsidRPr="00346CBB">
              <w:t>*</w:t>
            </w:r>
          </w:p>
        </w:tc>
      </w:tr>
      <w:tr w:rsidR="00A4769D" w:rsidRPr="00346CBB" w14:paraId="701D36DC"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BFC987A" w14:textId="77777777" w:rsidR="003953D6" w:rsidRPr="00346CBB" w:rsidRDefault="003953D6" w:rsidP="00346CBB">
            <w:pPr>
              <w:pStyle w:val="TabellHode-rad"/>
            </w:pPr>
            <w:r w:rsidRPr="00346CBB">
              <w:t>Annonse, reklame, informasjon</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472713D" w14:textId="77777777" w:rsidR="003953D6" w:rsidRPr="00346CBB" w:rsidRDefault="003953D6" w:rsidP="00346CBB">
            <w:pPr>
              <w:jc w:val="right"/>
            </w:pPr>
            <w:r w:rsidRPr="00346CBB">
              <w:t>0,0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56F00CF" w14:textId="77777777" w:rsidR="003953D6" w:rsidRPr="00346CBB" w:rsidRDefault="003953D6" w:rsidP="00346CBB">
            <w:pPr>
              <w:jc w:val="right"/>
            </w:pPr>
            <w:r w:rsidRPr="00346CBB">
              <w:t>0,0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E7EE242" w14:textId="77777777" w:rsidR="003953D6" w:rsidRPr="00346CBB" w:rsidRDefault="003953D6" w:rsidP="00346CBB">
            <w:pPr>
              <w:jc w:val="right"/>
            </w:pPr>
            <w:r w:rsidRPr="00346CBB">
              <w:t>0,0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4BAEEBE" w14:textId="77777777" w:rsidR="003953D6" w:rsidRPr="00346CBB" w:rsidRDefault="003953D6" w:rsidP="00346CBB">
            <w:pPr>
              <w:jc w:val="right"/>
            </w:pPr>
            <w:r w:rsidRPr="00346CBB">
              <w:t>7,2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265D706" w14:textId="77777777" w:rsidR="003953D6" w:rsidRPr="00346CBB" w:rsidRDefault="003953D6" w:rsidP="00346CBB">
            <w:pPr>
              <w:jc w:val="right"/>
            </w:pPr>
            <w:r w:rsidRPr="00346CBB">
              <w:t>7,8</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7F6DF83" w14:textId="77777777" w:rsidR="003953D6" w:rsidRPr="00346CBB" w:rsidRDefault="003953D6" w:rsidP="00346CBB">
            <w:pPr>
              <w:jc w:val="right"/>
            </w:pPr>
            <w:r w:rsidRPr="00346CBB">
              <w:t>6,4</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4E998BB" w14:textId="77777777" w:rsidR="003953D6" w:rsidRPr="00346CBB" w:rsidRDefault="003953D6" w:rsidP="00C9271A">
            <w:r w:rsidRPr="00346CBB">
              <w:t>KPI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095063E" w14:textId="77777777" w:rsidR="003953D6" w:rsidRPr="00346CBB" w:rsidRDefault="003953D6" w:rsidP="00C9271A">
            <w:r w:rsidRPr="00346CBB">
              <w:t>Andre konsumvarer, kultur fritid (09.2)</w:t>
            </w:r>
          </w:p>
        </w:tc>
      </w:tr>
      <w:tr w:rsidR="00A4769D" w:rsidRPr="00346CBB" w14:paraId="6CB1C6B3"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BCE9AEC" w14:textId="77777777" w:rsidR="003953D6" w:rsidRPr="00346CBB" w:rsidRDefault="003953D6" w:rsidP="00346CBB">
            <w:pPr>
              <w:pStyle w:val="TabellHode-rad"/>
            </w:pPr>
            <w:r w:rsidRPr="00346CBB">
              <w:t>Opplæring, kurs mv.</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01A1EA3" w14:textId="77777777" w:rsidR="003953D6" w:rsidRPr="00346CBB" w:rsidRDefault="003953D6" w:rsidP="00346CBB">
            <w:pPr>
              <w:jc w:val="right"/>
            </w:pPr>
            <w:r w:rsidRPr="00346CBB">
              <w:t>0,9</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51610F4" w14:textId="77777777" w:rsidR="003953D6" w:rsidRPr="00346CBB" w:rsidRDefault="003953D6" w:rsidP="00346CBB">
            <w:pPr>
              <w:jc w:val="right"/>
            </w:pPr>
            <w:r w:rsidRPr="00346CBB">
              <w:t>1,1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A955441" w14:textId="77777777" w:rsidR="003953D6" w:rsidRPr="00346CBB" w:rsidRDefault="003953D6" w:rsidP="00346CBB">
            <w:pPr>
              <w:jc w:val="right"/>
            </w:pPr>
            <w:r w:rsidRPr="00346CBB">
              <w:t>1,0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DCE25F0" w14:textId="77777777" w:rsidR="003953D6" w:rsidRPr="00346CBB" w:rsidRDefault="003953D6" w:rsidP="00346CBB">
            <w:pPr>
              <w:jc w:val="right"/>
            </w:pPr>
            <w:r w:rsidRPr="00346CBB">
              <w:t>4,5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89270B4" w14:textId="77777777" w:rsidR="003953D6" w:rsidRPr="00346CBB" w:rsidRDefault="003953D6" w:rsidP="00346CBB">
            <w:pPr>
              <w:jc w:val="right"/>
            </w:pPr>
            <w:r w:rsidRPr="00346CBB">
              <w:t>8,8</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4FAA7CB" w14:textId="77777777" w:rsidR="003953D6" w:rsidRPr="00346CBB" w:rsidRDefault="003953D6" w:rsidP="00346CBB">
            <w:pPr>
              <w:jc w:val="right"/>
            </w:pPr>
            <w:r w:rsidRPr="00346CBB">
              <w:t>7,6</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F0400FF" w14:textId="77777777" w:rsidR="003953D6" w:rsidRPr="00346CBB" w:rsidRDefault="003953D6" w:rsidP="00C9271A">
            <w:r w:rsidRPr="00346CBB">
              <w:t>KPI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7A6FFD7" w14:textId="77777777" w:rsidR="003953D6" w:rsidRPr="00346CBB" w:rsidRDefault="003953D6" w:rsidP="00C9271A">
            <w:r w:rsidRPr="00346CBB">
              <w:t>Tjenester, kultur fritid (09.4)</w:t>
            </w:r>
          </w:p>
        </w:tc>
      </w:tr>
      <w:tr w:rsidR="00A4769D" w:rsidRPr="00346CBB" w14:paraId="3F60A991"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B20BAEF" w14:textId="77777777" w:rsidR="003953D6" w:rsidRPr="00346CBB" w:rsidRDefault="003953D6" w:rsidP="00346CBB">
            <w:pPr>
              <w:pStyle w:val="TabellHode-rad"/>
            </w:pPr>
            <w:r w:rsidRPr="00346CBB">
              <w:t>Utgifter og godtgjørelser for reiser, diett, bil mv.</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1B0510C" w14:textId="77777777" w:rsidR="003953D6" w:rsidRPr="00346CBB" w:rsidRDefault="003953D6" w:rsidP="00346CBB">
            <w:pPr>
              <w:jc w:val="right"/>
            </w:pPr>
            <w:r w:rsidRPr="00346CBB">
              <w:t>0,4</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421F454" w14:textId="77777777" w:rsidR="003953D6" w:rsidRPr="00346CBB" w:rsidRDefault="003953D6" w:rsidP="00346CBB">
            <w:pPr>
              <w:jc w:val="right"/>
            </w:pPr>
            <w:r w:rsidRPr="00346CBB">
              <w:t>0,7</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5A7127B" w14:textId="77777777" w:rsidR="003953D6" w:rsidRPr="00346CBB" w:rsidRDefault="003953D6" w:rsidP="00346CBB">
            <w:pPr>
              <w:jc w:val="right"/>
            </w:pPr>
            <w:r w:rsidRPr="00346CBB">
              <w:t>0,7</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57CDBF6" w14:textId="77777777" w:rsidR="003953D6" w:rsidRPr="00346CBB" w:rsidRDefault="003953D6" w:rsidP="00346CBB">
            <w:pPr>
              <w:jc w:val="right"/>
            </w:pPr>
            <w:r w:rsidRPr="00346CBB">
              <w:t>6,9</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20F6010" w14:textId="77777777" w:rsidR="003953D6" w:rsidRPr="00346CBB" w:rsidRDefault="003953D6" w:rsidP="00346CBB">
            <w:pPr>
              <w:jc w:val="right"/>
            </w:pPr>
            <w:r w:rsidRPr="00346CBB">
              <w:t>9,9</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2E4E44F" w14:textId="77777777" w:rsidR="003953D6" w:rsidRPr="00346CBB" w:rsidRDefault="003953D6" w:rsidP="00346CBB">
            <w:pPr>
              <w:jc w:val="right"/>
            </w:pPr>
            <w:r w:rsidRPr="00346CBB">
              <w:t>2,7</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21781C5" w14:textId="77777777" w:rsidR="003953D6" w:rsidRPr="00346CBB" w:rsidRDefault="003953D6" w:rsidP="00C9271A">
            <w:r w:rsidRPr="00346CBB">
              <w:t>KPI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ADA2F98" w14:textId="77777777" w:rsidR="003953D6" w:rsidRPr="00346CBB" w:rsidRDefault="003953D6" w:rsidP="00C9271A">
            <w:r w:rsidRPr="00346CBB">
              <w:t>**</w:t>
            </w:r>
          </w:p>
        </w:tc>
      </w:tr>
      <w:tr w:rsidR="00A4769D" w:rsidRPr="00346CBB" w14:paraId="231A620E"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A560739" w14:textId="77777777" w:rsidR="003953D6" w:rsidRPr="00346CBB" w:rsidRDefault="003953D6" w:rsidP="00346CBB">
            <w:pPr>
              <w:pStyle w:val="TabellHode-rad"/>
            </w:pPr>
            <w:r w:rsidRPr="00346CBB">
              <w:t>Transport/drift av egne transportmidler</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16016F5" w14:textId="77777777" w:rsidR="003953D6" w:rsidRPr="00346CBB" w:rsidRDefault="003953D6" w:rsidP="00346CBB">
            <w:pPr>
              <w:jc w:val="right"/>
            </w:pPr>
            <w:r w:rsidRPr="00346CBB">
              <w:t>0,6</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E5D9B94" w14:textId="77777777" w:rsidR="003953D6" w:rsidRPr="00346CBB" w:rsidRDefault="003953D6" w:rsidP="00346CBB">
            <w:pPr>
              <w:jc w:val="right"/>
            </w:pPr>
            <w:r w:rsidRPr="00346CBB">
              <w:t>0,6</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8267028" w14:textId="77777777" w:rsidR="003953D6" w:rsidRPr="00346CBB" w:rsidRDefault="003953D6" w:rsidP="00346CBB">
            <w:pPr>
              <w:jc w:val="right"/>
            </w:pPr>
            <w:r w:rsidRPr="00346CBB">
              <w:t>0,6</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5A97DE2" w14:textId="77777777" w:rsidR="003953D6" w:rsidRPr="00346CBB" w:rsidRDefault="003953D6" w:rsidP="00346CBB">
            <w:pPr>
              <w:jc w:val="right"/>
            </w:pPr>
            <w:r w:rsidRPr="00346CBB">
              <w:t>15,2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24F084B" w14:textId="77777777" w:rsidR="003953D6" w:rsidRPr="00346CBB" w:rsidRDefault="003953D6" w:rsidP="00346CBB">
            <w:pPr>
              <w:jc w:val="right"/>
            </w:pPr>
            <w:r w:rsidRPr="00346CBB">
              <w:t>4,2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CFDD9C5" w14:textId="77777777" w:rsidR="003953D6" w:rsidRPr="00346CBB" w:rsidRDefault="003953D6" w:rsidP="00346CBB">
            <w:pPr>
              <w:jc w:val="right"/>
            </w:pPr>
            <w:r w:rsidRPr="00346CBB">
              <w:t>4,1</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1984112" w14:textId="77777777" w:rsidR="003953D6" w:rsidRPr="00346CBB" w:rsidRDefault="003953D6" w:rsidP="00C9271A">
            <w:r w:rsidRPr="00346CBB">
              <w:t>KPI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905159A" w14:textId="77777777" w:rsidR="003953D6" w:rsidRPr="00346CBB" w:rsidRDefault="003953D6" w:rsidP="00C9271A">
            <w:r w:rsidRPr="00346CBB">
              <w:t xml:space="preserve">Drift av </w:t>
            </w:r>
            <w:proofErr w:type="spellStart"/>
            <w:r w:rsidRPr="00346CBB">
              <w:t>personl</w:t>
            </w:r>
            <w:proofErr w:type="spellEnd"/>
            <w:r w:rsidRPr="00346CBB">
              <w:t xml:space="preserve">. </w:t>
            </w:r>
            <w:proofErr w:type="spellStart"/>
            <w:r w:rsidRPr="00346CBB">
              <w:t>Transp.midl</w:t>
            </w:r>
            <w:proofErr w:type="spellEnd"/>
            <w:r w:rsidRPr="00346CBB">
              <w:t xml:space="preserve"> (07.2)</w:t>
            </w:r>
          </w:p>
        </w:tc>
      </w:tr>
      <w:tr w:rsidR="00A4769D" w:rsidRPr="00346CBB" w14:paraId="0564C1B3"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63073E6" w14:textId="77777777" w:rsidR="003953D6" w:rsidRPr="00346CBB" w:rsidRDefault="003953D6" w:rsidP="00346CBB">
            <w:pPr>
              <w:pStyle w:val="TabellHode-rad"/>
            </w:pPr>
            <w:r w:rsidRPr="00346CBB">
              <w:t>Energi</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BDB1CF7" w14:textId="77777777" w:rsidR="003953D6" w:rsidRPr="00346CBB" w:rsidRDefault="003953D6" w:rsidP="00346CBB">
            <w:pPr>
              <w:jc w:val="right"/>
            </w:pPr>
            <w:r w:rsidRPr="00346CBB">
              <w:t>1,9</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FF3047A" w14:textId="77777777" w:rsidR="003953D6" w:rsidRPr="00346CBB" w:rsidRDefault="003953D6" w:rsidP="00346CBB">
            <w:pPr>
              <w:jc w:val="right"/>
            </w:pPr>
            <w:r w:rsidRPr="00346CBB">
              <w:t>2,2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8FF8082" w14:textId="77777777" w:rsidR="003953D6" w:rsidRPr="00346CBB" w:rsidRDefault="003953D6" w:rsidP="00346CBB">
            <w:pPr>
              <w:jc w:val="right"/>
            </w:pPr>
            <w:r w:rsidRPr="00346CBB">
              <w:t>1,9</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CF1B9F2" w14:textId="77777777" w:rsidR="003953D6" w:rsidRPr="00346CBB" w:rsidRDefault="003953D6" w:rsidP="00346CBB">
            <w:pPr>
              <w:jc w:val="right"/>
            </w:pPr>
            <w:r w:rsidRPr="00346CBB">
              <w:t>65,7</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0772DAB" w14:textId="77777777" w:rsidR="003953D6" w:rsidRPr="00346CBB" w:rsidRDefault="003953D6" w:rsidP="00346CBB">
            <w:pPr>
              <w:jc w:val="right"/>
            </w:pPr>
            <w:r w:rsidRPr="00346CBB">
              <w:t>-31,7</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71FA7CC" w14:textId="77777777" w:rsidR="003953D6" w:rsidRPr="00346CBB" w:rsidRDefault="003953D6" w:rsidP="00346CBB">
            <w:pPr>
              <w:jc w:val="right"/>
            </w:pPr>
            <w:r w:rsidRPr="00346CBB">
              <w:t>-16,1</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4754389" w14:textId="77777777" w:rsidR="003953D6" w:rsidRPr="00346CBB" w:rsidRDefault="003953D6" w:rsidP="00C9271A">
            <w:r w:rsidRPr="00346CBB">
              <w:t xml:space="preserve">Årlig el. </w:t>
            </w:r>
            <w:proofErr w:type="spellStart"/>
            <w:r w:rsidRPr="00346CBB">
              <w:t>prisstat</w:t>
            </w:r>
            <w:proofErr w:type="spellEnd"/>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1AC9889" w14:textId="77777777" w:rsidR="003953D6" w:rsidRPr="00346CBB" w:rsidRDefault="003953D6" w:rsidP="00C9271A">
            <w:r w:rsidRPr="00346CBB">
              <w:t>Nettleie + kraftpris inkl. avgifter, alle kontrakter husholdninger</w:t>
            </w:r>
          </w:p>
        </w:tc>
      </w:tr>
      <w:tr w:rsidR="00A4769D" w:rsidRPr="00346CBB" w14:paraId="78739B14"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567A24F" w14:textId="77777777" w:rsidR="003953D6" w:rsidRPr="00346CBB" w:rsidRDefault="003953D6" w:rsidP="00346CBB">
            <w:pPr>
              <w:pStyle w:val="TabellHode-rad"/>
            </w:pPr>
            <w:r w:rsidRPr="00346CBB">
              <w:lastRenderedPageBreak/>
              <w:t>Leie av lokaler og grunn</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3CA5F9A" w14:textId="77777777" w:rsidR="003953D6" w:rsidRPr="00346CBB" w:rsidRDefault="003953D6" w:rsidP="00346CBB">
            <w:pPr>
              <w:jc w:val="right"/>
            </w:pPr>
            <w:r w:rsidRPr="00346CBB">
              <w:t>2,5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5C28BE9" w14:textId="77777777" w:rsidR="003953D6" w:rsidRPr="00346CBB" w:rsidRDefault="003953D6" w:rsidP="00346CBB">
            <w:pPr>
              <w:jc w:val="right"/>
            </w:pPr>
            <w:r w:rsidRPr="00346CBB">
              <w:t>2,5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37E31F4" w14:textId="77777777" w:rsidR="003953D6" w:rsidRPr="00346CBB" w:rsidRDefault="003953D6" w:rsidP="00346CBB">
            <w:pPr>
              <w:jc w:val="right"/>
            </w:pPr>
            <w:r w:rsidRPr="00346CBB">
              <w:t>2,4</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B4F1BFC" w14:textId="77777777" w:rsidR="003953D6" w:rsidRPr="00346CBB" w:rsidRDefault="003953D6" w:rsidP="00346CBB">
            <w:pPr>
              <w:jc w:val="right"/>
            </w:pPr>
            <w:r w:rsidRPr="00346CBB">
              <w:t>2,0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4F14AD1" w14:textId="77777777" w:rsidR="003953D6" w:rsidRPr="00346CBB" w:rsidRDefault="003953D6" w:rsidP="00346CBB">
            <w:pPr>
              <w:jc w:val="right"/>
            </w:pPr>
            <w:r w:rsidRPr="00346CBB">
              <w:t>3,9</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7D01D92" w14:textId="77777777" w:rsidR="003953D6" w:rsidRPr="00346CBB" w:rsidRDefault="003953D6" w:rsidP="00346CBB">
            <w:pPr>
              <w:jc w:val="right"/>
            </w:pPr>
            <w:r w:rsidRPr="00346CBB">
              <w:t>4,4</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60B6E97" w14:textId="77777777" w:rsidR="003953D6" w:rsidRPr="00346CBB" w:rsidRDefault="003953D6" w:rsidP="00C9271A">
            <w:r w:rsidRPr="00346CBB">
              <w:t>KPI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F9E56C4" w14:textId="77777777" w:rsidR="003953D6" w:rsidRPr="00346CBB" w:rsidRDefault="003953D6" w:rsidP="00C9271A">
            <w:r w:rsidRPr="00346CBB">
              <w:t>Beregnet husleie (04.2)</w:t>
            </w:r>
          </w:p>
        </w:tc>
      </w:tr>
      <w:tr w:rsidR="00A4769D" w:rsidRPr="00346CBB" w14:paraId="2CAFC10C"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6115477" w14:textId="77777777" w:rsidR="003953D6" w:rsidRPr="00346CBB" w:rsidRDefault="003953D6" w:rsidP="00346CBB">
            <w:pPr>
              <w:pStyle w:val="TabellHode-rad"/>
            </w:pPr>
            <w:r w:rsidRPr="00346CBB">
              <w:t>Avgifter, gebyrer, lisenser og lignende.</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1E218FE" w14:textId="77777777" w:rsidR="003953D6" w:rsidRPr="00346CBB" w:rsidRDefault="003953D6" w:rsidP="00346CBB">
            <w:pPr>
              <w:jc w:val="right"/>
            </w:pPr>
            <w:r w:rsidRPr="00346CBB">
              <w:t>2,8</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9E5B838" w14:textId="77777777" w:rsidR="003953D6" w:rsidRPr="00346CBB" w:rsidRDefault="003953D6" w:rsidP="00346CBB">
            <w:pPr>
              <w:jc w:val="right"/>
            </w:pPr>
            <w:r w:rsidRPr="00346CBB">
              <w:t>2,9</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CD8FE0E" w14:textId="77777777" w:rsidR="003953D6" w:rsidRPr="00346CBB" w:rsidRDefault="003953D6" w:rsidP="00346CBB">
            <w:pPr>
              <w:jc w:val="right"/>
            </w:pPr>
            <w:r w:rsidRPr="00346CBB">
              <w:t>3,1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B974463" w14:textId="77777777" w:rsidR="003953D6" w:rsidRPr="00346CBB" w:rsidRDefault="003953D6" w:rsidP="00346CBB">
            <w:pPr>
              <w:jc w:val="right"/>
            </w:pPr>
            <w:r w:rsidRPr="00346CBB">
              <w:t>1,9</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52779FC" w14:textId="77777777" w:rsidR="003953D6" w:rsidRPr="00346CBB" w:rsidRDefault="003953D6" w:rsidP="00346CBB">
            <w:pPr>
              <w:jc w:val="right"/>
            </w:pPr>
            <w:r w:rsidRPr="00346CBB">
              <w:t>3,8</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67F814D" w14:textId="77777777" w:rsidR="003953D6" w:rsidRPr="00346CBB" w:rsidRDefault="003953D6" w:rsidP="00346CBB">
            <w:pPr>
              <w:jc w:val="right"/>
            </w:pPr>
            <w:r w:rsidRPr="00346CBB">
              <w:t>4,4</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4904F20" w14:textId="77777777" w:rsidR="003953D6" w:rsidRPr="00346CBB" w:rsidRDefault="003953D6" w:rsidP="00C9271A">
            <w:r w:rsidRPr="00346CBB">
              <w:t>KPI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F3844AE" w14:textId="77777777" w:rsidR="003953D6" w:rsidRPr="00346CBB" w:rsidRDefault="003953D6" w:rsidP="00C9271A">
            <w:r w:rsidRPr="00346CBB">
              <w:t>Vann/</w:t>
            </w:r>
            <w:proofErr w:type="spellStart"/>
            <w:r w:rsidRPr="00346CBB">
              <w:t>div.tj.bolig</w:t>
            </w:r>
            <w:proofErr w:type="spellEnd"/>
            <w:r w:rsidRPr="00346CBB">
              <w:t xml:space="preserve"> (04.4)</w:t>
            </w:r>
          </w:p>
        </w:tc>
      </w:tr>
      <w:tr w:rsidR="00A4769D" w:rsidRPr="00346CBB" w14:paraId="0CD4D8BF"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D8DAA52" w14:textId="77777777" w:rsidR="003953D6" w:rsidRPr="00346CBB" w:rsidRDefault="003953D6" w:rsidP="00346CBB">
            <w:pPr>
              <w:pStyle w:val="TabellHode-rad"/>
            </w:pPr>
            <w:r w:rsidRPr="00346CBB">
              <w:t>Leie av transportmidler, drift</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ECBF822" w14:textId="77777777" w:rsidR="003953D6" w:rsidRPr="00346CBB" w:rsidRDefault="003953D6" w:rsidP="00346CBB">
            <w:pPr>
              <w:jc w:val="right"/>
            </w:pPr>
            <w:r w:rsidRPr="00346CBB">
              <w:t>0,2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1FB235E" w14:textId="77777777" w:rsidR="003953D6" w:rsidRPr="00346CBB" w:rsidRDefault="003953D6" w:rsidP="00346CBB">
            <w:pPr>
              <w:jc w:val="right"/>
            </w:pPr>
            <w:r w:rsidRPr="00346CBB">
              <w:t>0,2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A88A018" w14:textId="77777777" w:rsidR="003953D6" w:rsidRPr="00346CBB" w:rsidRDefault="003953D6" w:rsidP="00346CBB">
            <w:pPr>
              <w:jc w:val="right"/>
            </w:pPr>
            <w:r w:rsidRPr="00346CBB">
              <w:t>0,2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672957B" w14:textId="77777777" w:rsidR="003953D6" w:rsidRPr="00346CBB" w:rsidRDefault="003953D6" w:rsidP="00346CBB">
            <w:pPr>
              <w:jc w:val="right"/>
            </w:pPr>
            <w:r w:rsidRPr="00346CBB">
              <w:t>14,5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4DD6495" w14:textId="77777777" w:rsidR="003953D6" w:rsidRPr="00346CBB" w:rsidRDefault="003953D6" w:rsidP="00346CBB">
            <w:pPr>
              <w:jc w:val="right"/>
            </w:pPr>
            <w:r w:rsidRPr="00346CBB">
              <w:t>1,0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C6853E4" w14:textId="77777777" w:rsidR="003953D6" w:rsidRPr="00346CBB" w:rsidRDefault="003953D6" w:rsidP="00346CBB">
            <w:pPr>
              <w:jc w:val="right"/>
            </w:pPr>
            <w:r w:rsidRPr="00346CBB">
              <w:t>8,7</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967084E" w14:textId="77777777" w:rsidR="003953D6" w:rsidRPr="00346CBB" w:rsidRDefault="003953D6" w:rsidP="00C9271A">
            <w:r w:rsidRPr="00346CBB">
              <w:t>PPI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0B64DD6" w14:textId="77777777" w:rsidR="003953D6" w:rsidRPr="00346CBB" w:rsidRDefault="003953D6" w:rsidP="00C9271A">
            <w:r w:rsidRPr="00346CBB">
              <w:t>Bilutleie</w:t>
            </w:r>
          </w:p>
        </w:tc>
      </w:tr>
      <w:tr w:rsidR="00A4769D" w:rsidRPr="00346CBB" w14:paraId="42239AE6"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C8BCE3C" w14:textId="77777777" w:rsidR="003953D6" w:rsidRPr="00346CBB" w:rsidRDefault="003953D6" w:rsidP="00346CBB">
            <w:pPr>
              <w:pStyle w:val="TabellHode-rad"/>
            </w:pPr>
            <w:r w:rsidRPr="00346CBB">
              <w:t>Leie av transportmidler, investering</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A73AC22" w14:textId="77777777" w:rsidR="003953D6" w:rsidRPr="00346CBB" w:rsidRDefault="003953D6" w:rsidP="00346CBB">
            <w:pPr>
              <w:jc w:val="right"/>
            </w:pPr>
            <w:r w:rsidRPr="00346CBB">
              <w:t>0,1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29F9A79" w14:textId="77777777" w:rsidR="003953D6" w:rsidRPr="00346CBB" w:rsidRDefault="003953D6" w:rsidP="00346CBB">
            <w:pPr>
              <w:jc w:val="right"/>
            </w:pPr>
            <w:r w:rsidRPr="00346CBB">
              <w:t>0,1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FF5F330" w14:textId="77777777" w:rsidR="003953D6" w:rsidRPr="00346CBB" w:rsidRDefault="003953D6" w:rsidP="00346CBB">
            <w:pPr>
              <w:jc w:val="right"/>
            </w:pPr>
            <w:r w:rsidRPr="00346CBB">
              <w:t>0,1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97F7379" w14:textId="77777777" w:rsidR="003953D6" w:rsidRPr="00346CBB" w:rsidRDefault="003953D6" w:rsidP="00346CBB">
            <w:pPr>
              <w:jc w:val="right"/>
            </w:pPr>
            <w:r w:rsidRPr="00346CBB">
              <w:t>4,8</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97DA653" w14:textId="77777777" w:rsidR="003953D6" w:rsidRPr="00346CBB" w:rsidRDefault="003953D6" w:rsidP="00346CBB">
            <w:pPr>
              <w:jc w:val="right"/>
            </w:pPr>
            <w:r w:rsidRPr="00346CBB">
              <w:t>1,1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4628EEC" w14:textId="77777777" w:rsidR="003953D6" w:rsidRPr="00346CBB" w:rsidRDefault="003953D6" w:rsidP="00346CBB">
            <w:pPr>
              <w:jc w:val="right"/>
            </w:pPr>
            <w:r w:rsidRPr="00346CBB">
              <w:t>1,3</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411EC99" w14:textId="77777777" w:rsidR="003953D6" w:rsidRPr="00346CBB" w:rsidRDefault="003953D6" w:rsidP="00C9271A">
            <w:r w:rsidRPr="00346CBB">
              <w:t>PFI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EAE5C9C" w14:textId="77777777" w:rsidR="003953D6" w:rsidRPr="00346CBB" w:rsidRDefault="003953D6" w:rsidP="00C9271A">
            <w:r w:rsidRPr="00346CBB">
              <w:t>SITC78</w:t>
            </w:r>
          </w:p>
        </w:tc>
      </w:tr>
      <w:tr w:rsidR="00A4769D" w:rsidRPr="00346CBB" w14:paraId="1F67CF5B"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AFA354E" w14:textId="77777777" w:rsidR="003953D6" w:rsidRPr="00346CBB" w:rsidRDefault="003953D6" w:rsidP="00346CBB">
            <w:pPr>
              <w:pStyle w:val="TabellHode-rad"/>
            </w:pPr>
            <w:r w:rsidRPr="00346CBB">
              <w:t>Kjøp og leie av maskiner mv., drift</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BDBE3AE" w14:textId="77777777" w:rsidR="003953D6" w:rsidRPr="00346CBB" w:rsidRDefault="003953D6" w:rsidP="00346CBB">
            <w:pPr>
              <w:jc w:val="right"/>
            </w:pPr>
            <w:r w:rsidRPr="00346CBB">
              <w:t>0,2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DBA44E1" w14:textId="77777777" w:rsidR="003953D6" w:rsidRPr="00346CBB" w:rsidRDefault="003953D6" w:rsidP="00346CBB">
            <w:pPr>
              <w:jc w:val="right"/>
            </w:pPr>
            <w:r w:rsidRPr="00346CBB">
              <w:t>0,2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DF14E32" w14:textId="77777777" w:rsidR="003953D6" w:rsidRPr="00346CBB" w:rsidRDefault="003953D6" w:rsidP="00346CBB">
            <w:pPr>
              <w:jc w:val="right"/>
            </w:pPr>
            <w:r w:rsidRPr="00346CBB">
              <w:t>0,2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D51A191" w14:textId="77777777" w:rsidR="003953D6" w:rsidRPr="00346CBB" w:rsidRDefault="003953D6" w:rsidP="00346CBB">
            <w:pPr>
              <w:jc w:val="right"/>
            </w:pPr>
            <w:r w:rsidRPr="00346CBB">
              <w:t>14,5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FB00380" w14:textId="77777777" w:rsidR="003953D6" w:rsidRPr="00346CBB" w:rsidRDefault="003953D6" w:rsidP="00346CBB">
            <w:pPr>
              <w:jc w:val="right"/>
            </w:pPr>
            <w:r w:rsidRPr="00346CBB">
              <w:t>1,0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E833ED0" w14:textId="77777777" w:rsidR="003953D6" w:rsidRPr="00346CBB" w:rsidRDefault="003953D6" w:rsidP="00346CBB">
            <w:pPr>
              <w:jc w:val="right"/>
            </w:pPr>
            <w:r w:rsidRPr="00346CBB">
              <w:t>8,7</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C0D6809" w14:textId="77777777" w:rsidR="003953D6" w:rsidRPr="00346CBB" w:rsidRDefault="003953D6" w:rsidP="00C9271A">
            <w:r w:rsidRPr="00346CBB">
              <w:t>PPI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95CFD22" w14:textId="77777777" w:rsidR="003953D6" w:rsidRPr="00346CBB" w:rsidRDefault="003953D6" w:rsidP="00C9271A">
            <w:r w:rsidRPr="00346CBB">
              <w:t>Bilutleie</w:t>
            </w:r>
          </w:p>
        </w:tc>
      </w:tr>
      <w:tr w:rsidR="00A4769D" w:rsidRPr="00346CBB" w14:paraId="3994002C"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C8A8CE7" w14:textId="77777777" w:rsidR="003953D6" w:rsidRPr="00346CBB" w:rsidRDefault="003953D6" w:rsidP="00346CBB">
            <w:pPr>
              <w:pStyle w:val="TabellHode-rad"/>
            </w:pPr>
            <w:r w:rsidRPr="00346CBB">
              <w:t>Kjøp og leie av maskiner mv., investering</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A4C78A0" w14:textId="77777777" w:rsidR="003953D6" w:rsidRPr="00346CBB" w:rsidRDefault="003953D6" w:rsidP="00346CBB">
            <w:pPr>
              <w:jc w:val="right"/>
            </w:pPr>
            <w:r w:rsidRPr="00346CBB">
              <w:t>0,3</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2BC4B99" w14:textId="77777777" w:rsidR="003953D6" w:rsidRPr="00346CBB" w:rsidRDefault="003953D6" w:rsidP="00346CBB">
            <w:pPr>
              <w:jc w:val="right"/>
            </w:pPr>
            <w:r w:rsidRPr="00346CBB">
              <w:t>0,3</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CACEC46" w14:textId="77777777" w:rsidR="003953D6" w:rsidRPr="00346CBB" w:rsidRDefault="003953D6" w:rsidP="00346CBB">
            <w:pPr>
              <w:jc w:val="right"/>
            </w:pPr>
            <w:r w:rsidRPr="00346CBB">
              <w:t>0,2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0F0FC0B" w14:textId="77777777" w:rsidR="003953D6" w:rsidRPr="00346CBB" w:rsidRDefault="003953D6" w:rsidP="00346CBB">
            <w:pPr>
              <w:jc w:val="right"/>
            </w:pPr>
            <w:r w:rsidRPr="00346CBB">
              <w:t>11,3</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8020ED3" w14:textId="77777777" w:rsidR="003953D6" w:rsidRPr="00346CBB" w:rsidRDefault="003953D6" w:rsidP="00346CBB">
            <w:pPr>
              <w:jc w:val="right"/>
            </w:pPr>
            <w:r w:rsidRPr="00346CBB">
              <w:t>10,9</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1FF813B" w14:textId="77777777" w:rsidR="003953D6" w:rsidRPr="00346CBB" w:rsidRDefault="003953D6" w:rsidP="00346CBB">
            <w:pPr>
              <w:jc w:val="right"/>
            </w:pPr>
            <w:r w:rsidRPr="00346CBB">
              <w:t>2,2</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20D8056" w14:textId="77777777" w:rsidR="003953D6" w:rsidRPr="00346CBB" w:rsidRDefault="003953D6" w:rsidP="00C9271A">
            <w:r w:rsidRPr="00346CBB">
              <w:t>PFI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B013D28" w14:textId="77777777" w:rsidR="003953D6" w:rsidRPr="00346CBB" w:rsidRDefault="003953D6" w:rsidP="00C9271A">
            <w:r w:rsidRPr="00346CBB">
              <w:t>SITC 75/77</w:t>
            </w:r>
          </w:p>
        </w:tc>
      </w:tr>
      <w:tr w:rsidR="00A4769D" w:rsidRPr="00346CBB" w14:paraId="08E724A1"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DD76D40" w14:textId="77777777" w:rsidR="003953D6" w:rsidRPr="00346CBB" w:rsidRDefault="003953D6" w:rsidP="00346CBB">
            <w:pPr>
              <w:pStyle w:val="TabellHode-rad"/>
            </w:pPr>
            <w:r w:rsidRPr="00346CBB">
              <w:t>Kjøp og leie medisinsk teknisk utstyr, drift</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C872536" w14:textId="77777777" w:rsidR="003953D6" w:rsidRPr="00346CBB" w:rsidRDefault="003953D6" w:rsidP="00346CBB">
            <w:pPr>
              <w:jc w:val="right"/>
            </w:pPr>
            <w:r w:rsidRPr="00346CBB">
              <w:t>0,5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7AB7748" w14:textId="77777777" w:rsidR="003953D6" w:rsidRPr="00346CBB" w:rsidRDefault="003953D6" w:rsidP="00346CBB">
            <w:pPr>
              <w:jc w:val="right"/>
            </w:pPr>
            <w:r w:rsidRPr="00346CBB">
              <w:t>0,4</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80C103A" w14:textId="77777777" w:rsidR="003953D6" w:rsidRPr="00346CBB" w:rsidRDefault="003953D6" w:rsidP="00346CBB">
            <w:pPr>
              <w:jc w:val="right"/>
            </w:pPr>
            <w:r w:rsidRPr="00346CBB">
              <w:t>0,4</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1D73957" w14:textId="77777777" w:rsidR="003953D6" w:rsidRPr="00346CBB" w:rsidRDefault="003953D6" w:rsidP="00346CBB">
            <w:pPr>
              <w:jc w:val="right"/>
            </w:pPr>
            <w:r w:rsidRPr="00346CBB">
              <w:t>2,4</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8BFA841" w14:textId="77777777" w:rsidR="003953D6" w:rsidRPr="00346CBB" w:rsidRDefault="003953D6" w:rsidP="00346CBB">
            <w:pPr>
              <w:jc w:val="right"/>
            </w:pPr>
            <w:r w:rsidRPr="00346CBB">
              <w:t>4,7</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BA6A3CB" w14:textId="77777777" w:rsidR="003953D6" w:rsidRPr="00346CBB" w:rsidRDefault="003953D6" w:rsidP="00346CBB">
            <w:pPr>
              <w:jc w:val="right"/>
            </w:pPr>
            <w:r w:rsidRPr="00346CBB">
              <w:t>5,2</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2E6AF50" w14:textId="77777777" w:rsidR="003953D6" w:rsidRPr="00346CBB" w:rsidRDefault="003953D6" w:rsidP="00C9271A">
            <w:r w:rsidRPr="00346CBB">
              <w:t>KPI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6E0609D" w14:textId="77777777" w:rsidR="003953D6" w:rsidRPr="00346CBB" w:rsidRDefault="003953D6" w:rsidP="00C9271A">
            <w:r w:rsidRPr="00346CBB">
              <w:t>Medisinske produkter mv (06.1)</w:t>
            </w:r>
          </w:p>
        </w:tc>
      </w:tr>
      <w:tr w:rsidR="00A4769D" w:rsidRPr="00346CBB" w14:paraId="6B8833B3"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674F3CE" w14:textId="77777777" w:rsidR="003953D6" w:rsidRPr="00346CBB" w:rsidRDefault="003953D6" w:rsidP="00346CBB">
            <w:pPr>
              <w:pStyle w:val="TabellHode-rad"/>
            </w:pPr>
            <w:r w:rsidRPr="00346CBB">
              <w:lastRenderedPageBreak/>
              <w:t>Kjøp og leie medisinsk teknisk utstyr, investering</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FB9EBF7" w14:textId="77777777" w:rsidR="003953D6" w:rsidRPr="00346CBB" w:rsidRDefault="003953D6" w:rsidP="00346CBB">
            <w:pPr>
              <w:jc w:val="right"/>
            </w:pPr>
            <w:r w:rsidRPr="00346CBB">
              <w:t>4,2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A9E6388" w14:textId="77777777" w:rsidR="003953D6" w:rsidRPr="00346CBB" w:rsidRDefault="003953D6" w:rsidP="00346CBB">
            <w:pPr>
              <w:jc w:val="right"/>
            </w:pPr>
            <w:r w:rsidRPr="00346CBB">
              <w:t>3,5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95D3B8A" w14:textId="77777777" w:rsidR="003953D6" w:rsidRPr="00346CBB" w:rsidRDefault="003953D6" w:rsidP="00346CBB">
            <w:pPr>
              <w:jc w:val="right"/>
            </w:pPr>
            <w:r w:rsidRPr="00346CBB">
              <w:t>4,1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8C1DC86" w14:textId="77777777" w:rsidR="003953D6" w:rsidRPr="00346CBB" w:rsidRDefault="003953D6" w:rsidP="00346CBB">
            <w:pPr>
              <w:jc w:val="right"/>
            </w:pPr>
            <w:r w:rsidRPr="00346CBB">
              <w:t>11,3</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035CDC8" w14:textId="77777777" w:rsidR="003953D6" w:rsidRPr="00346CBB" w:rsidRDefault="003953D6" w:rsidP="00346CBB">
            <w:pPr>
              <w:jc w:val="right"/>
            </w:pPr>
            <w:r w:rsidRPr="00346CBB">
              <w:t>10,9</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B2447F9" w14:textId="77777777" w:rsidR="003953D6" w:rsidRPr="00346CBB" w:rsidRDefault="003953D6" w:rsidP="00346CBB">
            <w:pPr>
              <w:jc w:val="right"/>
            </w:pPr>
            <w:r w:rsidRPr="00346CBB">
              <w:t>2,2</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9E9FEE2" w14:textId="77777777" w:rsidR="003953D6" w:rsidRPr="00346CBB" w:rsidRDefault="003953D6" w:rsidP="00C9271A">
            <w:r w:rsidRPr="00346CBB">
              <w:t>PFI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0E425BB" w14:textId="77777777" w:rsidR="003953D6" w:rsidRPr="00346CBB" w:rsidRDefault="003953D6" w:rsidP="00C9271A">
            <w:r w:rsidRPr="00346CBB">
              <w:t>SITC 75/77</w:t>
            </w:r>
          </w:p>
        </w:tc>
      </w:tr>
      <w:tr w:rsidR="00A4769D" w:rsidRPr="00346CBB" w14:paraId="25FB9377"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3343FC7" w14:textId="77777777" w:rsidR="003953D6" w:rsidRPr="00346CBB" w:rsidRDefault="003953D6" w:rsidP="00346CBB">
            <w:pPr>
              <w:pStyle w:val="TabellHode-rad"/>
            </w:pPr>
            <w:r w:rsidRPr="00346CBB">
              <w:t>Leie og kjøp IKT-utstyr, drift</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67FA8E8" w14:textId="77777777" w:rsidR="003953D6" w:rsidRPr="00346CBB" w:rsidRDefault="003953D6" w:rsidP="00346CBB">
            <w:pPr>
              <w:jc w:val="right"/>
            </w:pPr>
            <w:r w:rsidRPr="00346CBB">
              <w:t>0,5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A7FB089" w14:textId="77777777" w:rsidR="003953D6" w:rsidRPr="00346CBB" w:rsidRDefault="003953D6" w:rsidP="00346CBB">
            <w:pPr>
              <w:jc w:val="right"/>
            </w:pPr>
            <w:r w:rsidRPr="00346CBB">
              <w:t>0,5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FA452F6" w14:textId="77777777" w:rsidR="003953D6" w:rsidRPr="00346CBB" w:rsidRDefault="003953D6" w:rsidP="00346CBB">
            <w:pPr>
              <w:jc w:val="right"/>
            </w:pPr>
            <w:r w:rsidRPr="00346CBB">
              <w:t>0,5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E0F5D03" w14:textId="77777777" w:rsidR="003953D6" w:rsidRPr="00346CBB" w:rsidRDefault="003953D6" w:rsidP="00346CBB">
            <w:pPr>
              <w:jc w:val="right"/>
            </w:pPr>
            <w:r w:rsidRPr="00346CBB">
              <w:t>-0,2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E703E64" w14:textId="77777777" w:rsidR="003953D6" w:rsidRPr="00346CBB" w:rsidRDefault="003953D6" w:rsidP="00346CBB">
            <w:pPr>
              <w:jc w:val="right"/>
            </w:pPr>
            <w:r w:rsidRPr="00346CBB">
              <w:t>6,6</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3165760" w14:textId="77777777" w:rsidR="003953D6" w:rsidRPr="00346CBB" w:rsidRDefault="003953D6" w:rsidP="00346CBB">
            <w:pPr>
              <w:jc w:val="right"/>
            </w:pPr>
            <w:r w:rsidRPr="00346CBB">
              <w:t>2,4</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B22B792" w14:textId="77777777" w:rsidR="003953D6" w:rsidRPr="00346CBB" w:rsidRDefault="003953D6" w:rsidP="00C9271A">
            <w:r w:rsidRPr="00346CBB">
              <w:t>KPI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DE930A1" w14:textId="77777777" w:rsidR="003953D6" w:rsidRPr="00346CBB" w:rsidRDefault="003953D6" w:rsidP="00C9271A">
            <w:r w:rsidRPr="00346CBB">
              <w:t>Audiovisuelt, foto og IT-utstyr (09.1)</w:t>
            </w:r>
          </w:p>
        </w:tc>
      </w:tr>
      <w:tr w:rsidR="00A4769D" w:rsidRPr="00346CBB" w14:paraId="55AD83A9"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F550330" w14:textId="77777777" w:rsidR="003953D6" w:rsidRPr="00346CBB" w:rsidRDefault="003953D6" w:rsidP="00346CBB">
            <w:pPr>
              <w:pStyle w:val="TabellHode-rad"/>
            </w:pPr>
            <w:r w:rsidRPr="00346CBB">
              <w:t>Leie og kjøp IKT-utstyr, investering</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B6822CD" w14:textId="77777777" w:rsidR="003953D6" w:rsidRPr="00346CBB" w:rsidRDefault="003953D6" w:rsidP="00346CBB">
            <w:pPr>
              <w:jc w:val="right"/>
            </w:pPr>
            <w:r w:rsidRPr="00346CBB">
              <w:t>6,8</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50BEE90" w14:textId="77777777" w:rsidR="003953D6" w:rsidRPr="00346CBB" w:rsidRDefault="003953D6" w:rsidP="00346CBB">
            <w:pPr>
              <w:jc w:val="right"/>
            </w:pPr>
            <w:r w:rsidRPr="00346CBB">
              <w:t>6,8</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5CBC6DB" w14:textId="77777777" w:rsidR="003953D6" w:rsidRPr="00346CBB" w:rsidRDefault="003953D6" w:rsidP="00346CBB">
            <w:pPr>
              <w:jc w:val="right"/>
            </w:pPr>
            <w:r w:rsidRPr="00346CBB">
              <w:t>6,4</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5989069" w14:textId="77777777" w:rsidR="003953D6" w:rsidRPr="00346CBB" w:rsidRDefault="003953D6" w:rsidP="00346CBB">
            <w:pPr>
              <w:jc w:val="right"/>
            </w:pPr>
            <w:r w:rsidRPr="00346CBB">
              <w:t>7,7</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8E8BF3F" w14:textId="77777777" w:rsidR="003953D6" w:rsidRPr="00346CBB" w:rsidRDefault="003953D6" w:rsidP="00346CBB">
            <w:pPr>
              <w:jc w:val="right"/>
            </w:pPr>
            <w:r w:rsidRPr="00346CBB">
              <w:t>8,9</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3FDA915" w14:textId="77777777" w:rsidR="003953D6" w:rsidRPr="00346CBB" w:rsidRDefault="003953D6" w:rsidP="00346CBB">
            <w:pPr>
              <w:jc w:val="right"/>
            </w:pPr>
            <w:r w:rsidRPr="00346CBB">
              <w:t>0,0</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54C5242" w14:textId="77777777" w:rsidR="003953D6" w:rsidRPr="00346CBB" w:rsidRDefault="003953D6" w:rsidP="00C9271A">
            <w:r w:rsidRPr="00346CBB">
              <w:t>PFI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BFCA0B0" w14:textId="77777777" w:rsidR="003953D6" w:rsidRPr="00346CBB" w:rsidRDefault="003953D6" w:rsidP="00C9271A">
            <w:r w:rsidRPr="00346CBB">
              <w:t>SITC75</w:t>
            </w:r>
          </w:p>
        </w:tc>
      </w:tr>
      <w:tr w:rsidR="00A4769D" w:rsidRPr="00346CBB" w14:paraId="0159B995"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CA0D0D1" w14:textId="77777777" w:rsidR="003953D6" w:rsidRPr="00346CBB" w:rsidRDefault="003953D6" w:rsidP="00346CBB">
            <w:pPr>
              <w:pStyle w:val="TabellHode-rad"/>
            </w:pPr>
            <w:r w:rsidRPr="00346CBB">
              <w:t>Reparasjon, vedlikehold bygg, maskiner mv., drift</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077EDBE" w14:textId="77777777" w:rsidR="003953D6" w:rsidRPr="00346CBB" w:rsidRDefault="003953D6" w:rsidP="00346CBB">
            <w:pPr>
              <w:jc w:val="right"/>
            </w:pPr>
            <w:r w:rsidRPr="00346CBB">
              <w:t>5,3</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3E869C3" w14:textId="77777777" w:rsidR="003953D6" w:rsidRPr="00346CBB" w:rsidRDefault="003953D6" w:rsidP="00346CBB">
            <w:pPr>
              <w:jc w:val="right"/>
            </w:pPr>
            <w:r w:rsidRPr="00346CBB">
              <w:t>5,0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62E5295" w14:textId="77777777" w:rsidR="003953D6" w:rsidRPr="00346CBB" w:rsidRDefault="003953D6" w:rsidP="00346CBB">
            <w:pPr>
              <w:jc w:val="right"/>
            </w:pPr>
            <w:r w:rsidRPr="00346CBB">
              <w:t>4,7</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A22D175" w14:textId="77777777" w:rsidR="003953D6" w:rsidRPr="00346CBB" w:rsidRDefault="003953D6" w:rsidP="00346CBB">
            <w:pPr>
              <w:jc w:val="right"/>
            </w:pPr>
            <w:r w:rsidRPr="00346CBB">
              <w:t>7,2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4CA393C" w14:textId="77777777" w:rsidR="003953D6" w:rsidRPr="00346CBB" w:rsidRDefault="003953D6" w:rsidP="00346CBB">
            <w:pPr>
              <w:jc w:val="right"/>
            </w:pPr>
            <w:r w:rsidRPr="00346CBB">
              <w:t>3,1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D02BACC" w14:textId="77777777" w:rsidR="003953D6" w:rsidRPr="00346CBB" w:rsidRDefault="003953D6" w:rsidP="00346CBB">
            <w:pPr>
              <w:jc w:val="right"/>
            </w:pPr>
            <w:r w:rsidRPr="00346CBB">
              <w:t>4,1</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CC4CB4C" w14:textId="77777777" w:rsidR="003953D6" w:rsidRPr="00346CBB" w:rsidRDefault="003953D6" w:rsidP="00C9271A">
            <w:r w:rsidRPr="00346CBB">
              <w:t>KPI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4B7FC5F" w14:textId="77777777" w:rsidR="003953D6" w:rsidRPr="00346CBB" w:rsidRDefault="003953D6" w:rsidP="00C9271A">
            <w:r w:rsidRPr="00346CBB">
              <w:t xml:space="preserve">Vedlikehold og </w:t>
            </w:r>
            <w:proofErr w:type="spellStart"/>
            <w:proofErr w:type="gramStart"/>
            <w:r w:rsidRPr="00346CBB">
              <w:t>repr.bolig</w:t>
            </w:r>
            <w:proofErr w:type="spellEnd"/>
            <w:proofErr w:type="gramEnd"/>
            <w:r w:rsidRPr="00346CBB">
              <w:t xml:space="preserve"> (04.3)</w:t>
            </w:r>
          </w:p>
        </w:tc>
      </w:tr>
      <w:tr w:rsidR="00A4769D" w:rsidRPr="00346CBB" w14:paraId="0A93310C"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A314046" w14:textId="77777777" w:rsidR="003953D6" w:rsidRPr="00346CBB" w:rsidRDefault="003953D6" w:rsidP="00346CBB">
            <w:pPr>
              <w:pStyle w:val="TabellHode-rad"/>
            </w:pPr>
            <w:r w:rsidRPr="00346CBB">
              <w:t>Vedlikehold og nybygg, investering</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E7BB1A4" w14:textId="77777777" w:rsidR="003953D6" w:rsidRPr="00346CBB" w:rsidRDefault="003953D6" w:rsidP="00346CBB">
            <w:pPr>
              <w:jc w:val="right"/>
            </w:pPr>
            <w:r w:rsidRPr="00346CBB">
              <w:t>14,6</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A5AE1AD" w14:textId="77777777" w:rsidR="003953D6" w:rsidRPr="00346CBB" w:rsidRDefault="003953D6" w:rsidP="00346CBB">
            <w:pPr>
              <w:jc w:val="right"/>
            </w:pPr>
            <w:r w:rsidRPr="00346CBB">
              <w:t>16,7</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B90A8DA" w14:textId="77777777" w:rsidR="003953D6" w:rsidRPr="00346CBB" w:rsidRDefault="003953D6" w:rsidP="00346CBB">
            <w:pPr>
              <w:jc w:val="right"/>
            </w:pPr>
            <w:r w:rsidRPr="00346CBB">
              <w:t>22,2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7AA8877" w14:textId="77777777" w:rsidR="003953D6" w:rsidRPr="00346CBB" w:rsidRDefault="003953D6" w:rsidP="00346CBB">
            <w:pPr>
              <w:jc w:val="right"/>
            </w:pPr>
            <w:r w:rsidRPr="00346CBB">
              <w:t>7,2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4420BD5" w14:textId="77777777" w:rsidR="003953D6" w:rsidRPr="00346CBB" w:rsidRDefault="003953D6" w:rsidP="00346CBB">
            <w:pPr>
              <w:jc w:val="right"/>
            </w:pPr>
            <w:r w:rsidRPr="00346CBB">
              <w:t>5,0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4CCB29D" w14:textId="77777777" w:rsidR="003953D6" w:rsidRPr="00346CBB" w:rsidRDefault="003953D6" w:rsidP="00346CBB">
            <w:pPr>
              <w:jc w:val="right"/>
            </w:pPr>
            <w:r w:rsidRPr="00346CBB">
              <w:t>3,5</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BECE869" w14:textId="77777777" w:rsidR="003953D6" w:rsidRPr="00346CBB" w:rsidRDefault="003953D6" w:rsidP="00C9271A">
            <w:r w:rsidRPr="00346CBB">
              <w:t>BKI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A9CC08A" w14:textId="77777777" w:rsidR="003953D6" w:rsidRPr="00346CBB" w:rsidRDefault="003953D6" w:rsidP="00C9271A">
            <w:r w:rsidRPr="00346CBB">
              <w:t>SBED-indeksen</w:t>
            </w:r>
          </w:p>
        </w:tc>
      </w:tr>
      <w:tr w:rsidR="00A4769D" w:rsidRPr="00346CBB" w14:paraId="5FD4C716"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BCD54B4" w14:textId="77777777" w:rsidR="003953D6" w:rsidRPr="00346CBB" w:rsidRDefault="003953D6" w:rsidP="00346CBB">
            <w:pPr>
              <w:pStyle w:val="TabellHode-rad"/>
            </w:pPr>
            <w:r w:rsidRPr="00346CBB">
              <w:t>Renhold, andre kostnader lokaler</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F3751D6" w14:textId="77777777" w:rsidR="003953D6" w:rsidRPr="00346CBB" w:rsidRDefault="003953D6" w:rsidP="00346CBB">
            <w:pPr>
              <w:jc w:val="right"/>
            </w:pPr>
            <w:r w:rsidRPr="00346CBB">
              <w:t>0,6</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84B4D6B" w14:textId="77777777" w:rsidR="003953D6" w:rsidRPr="00346CBB" w:rsidRDefault="003953D6" w:rsidP="00346CBB">
            <w:pPr>
              <w:jc w:val="right"/>
            </w:pPr>
            <w:r w:rsidRPr="00346CBB">
              <w:t>0,5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BE5D111" w14:textId="77777777" w:rsidR="003953D6" w:rsidRPr="00346CBB" w:rsidRDefault="003953D6" w:rsidP="00346CBB">
            <w:pPr>
              <w:jc w:val="right"/>
            </w:pPr>
            <w:r w:rsidRPr="00346CBB">
              <w:t>0,5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A927927" w14:textId="77777777" w:rsidR="003953D6" w:rsidRPr="00346CBB" w:rsidRDefault="003953D6" w:rsidP="00346CBB">
            <w:pPr>
              <w:jc w:val="right"/>
            </w:pPr>
            <w:r w:rsidRPr="00346CBB">
              <w:t>2,5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03EB04D" w14:textId="77777777" w:rsidR="003953D6" w:rsidRPr="00346CBB" w:rsidRDefault="003953D6" w:rsidP="00346CBB">
            <w:pPr>
              <w:jc w:val="right"/>
            </w:pPr>
            <w:r w:rsidRPr="00346CBB">
              <w:t>4,0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FFE395D" w14:textId="77777777" w:rsidR="003953D6" w:rsidRPr="00346CBB" w:rsidRDefault="003953D6" w:rsidP="00346CBB">
            <w:pPr>
              <w:jc w:val="right"/>
            </w:pPr>
            <w:r w:rsidRPr="00346CBB">
              <w:t>4,1</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6EB71E2" w14:textId="77777777" w:rsidR="003953D6" w:rsidRPr="00346CBB" w:rsidRDefault="003953D6" w:rsidP="00C9271A">
            <w:r w:rsidRPr="00346CBB">
              <w:t>PPI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17CE7C8" w14:textId="77777777" w:rsidR="003953D6" w:rsidRPr="00346CBB" w:rsidRDefault="003953D6" w:rsidP="00C9271A">
            <w:r w:rsidRPr="00346CBB">
              <w:t>Rengjøringsvirksomhet</w:t>
            </w:r>
          </w:p>
        </w:tc>
      </w:tr>
      <w:tr w:rsidR="00A4769D" w:rsidRPr="00346CBB" w14:paraId="170FB4BC"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0E67255" w14:textId="77777777" w:rsidR="003953D6" w:rsidRPr="00346CBB" w:rsidRDefault="003953D6" w:rsidP="00346CBB">
            <w:pPr>
              <w:pStyle w:val="TabellHode-rad"/>
            </w:pPr>
            <w:r w:rsidRPr="00346CBB">
              <w:lastRenderedPageBreak/>
              <w:t>Eksterne helsetjenester, regnskap mm</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3BCEA77" w14:textId="77777777" w:rsidR="003953D6" w:rsidRPr="00346CBB" w:rsidRDefault="003953D6" w:rsidP="00346CBB">
            <w:pPr>
              <w:jc w:val="right"/>
            </w:pPr>
            <w:r w:rsidRPr="00346CBB">
              <w:t>6,1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17BAAEE" w14:textId="77777777" w:rsidR="003953D6" w:rsidRPr="00346CBB" w:rsidRDefault="003953D6" w:rsidP="00346CBB">
            <w:pPr>
              <w:jc w:val="right"/>
            </w:pPr>
            <w:r w:rsidRPr="00346CBB">
              <w:t>6,1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0592752" w14:textId="77777777" w:rsidR="003953D6" w:rsidRPr="00346CBB" w:rsidRDefault="003953D6" w:rsidP="00346CBB">
            <w:pPr>
              <w:jc w:val="right"/>
            </w:pPr>
            <w:r w:rsidRPr="00346CBB">
              <w:t>5,5</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7462F20" w14:textId="77777777" w:rsidR="003953D6" w:rsidRPr="00346CBB" w:rsidRDefault="003953D6" w:rsidP="00346CBB">
            <w:pPr>
              <w:jc w:val="right"/>
            </w:pPr>
            <w:r w:rsidRPr="00346CBB">
              <w:t>4,6</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A8A8E8A" w14:textId="77777777" w:rsidR="003953D6" w:rsidRPr="00346CBB" w:rsidRDefault="003953D6" w:rsidP="00346CBB">
            <w:pPr>
              <w:jc w:val="right"/>
            </w:pPr>
            <w:r w:rsidRPr="00346CBB">
              <w:t>6,2</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08B3743" w14:textId="77777777" w:rsidR="003953D6" w:rsidRPr="00346CBB" w:rsidRDefault="003953D6" w:rsidP="00346CBB">
            <w:pPr>
              <w:jc w:val="right"/>
            </w:pPr>
            <w:r w:rsidRPr="00346CBB">
              <w:t>4,9</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7D3CF97" w14:textId="77777777" w:rsidR="003953D6" w:rsidRPr="00346CBB" w:rsidRDefault="003953D6" w:rsidP="00C9271A">
            <w:r w:rsidRPr="00346CBB">
              <w:t>PPI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3CFD448" w14:textId="77777777" w:rsidR="003953D6" w:rsidRPr="00346CBB" w:rsidRDefault="003953D6" w:rsidP="00C9271A">
            <w:r w:rsidRPr="00346CBB">
              <w:t>***</w:t>
            </w:r>
          </w:p>
        </w:tc>
      </w:tr>
      <w:tr w:rsidR="00A4769D" w:rsidRPr="00346CBB" w14:paraId="3F075A79"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0955D53" w14:textId="77777777" w:rsidR="003953D6" w:rsidRPr="00346CBB" w:rsidRDefault="003953D6" w:rsidP="00346CBB">
            <w:pPr>
              <w:pStyle w:val="TabellHode-rad"/>
            </w:pPr>
            <w:r w:rsidRPr="00346CBB">
              <w:t>IKT-tjenester</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D2A0881" w14:textId="77777777" w:rsidR="003953D6" w:rsidRPr="00346CBB" w:rsidRDefault="003953D6" w:rsidP="00346CBB">
            <w:pPr>
              <w:jc w:val="right"/>
            </w:pPr>
            <w:r w:rsidRPr="00346CBB">
              <w:t>13,1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094FE0E" w14:textId="77777777" w:rsidR="003953D6" w:rsidRPr="00346CBB" w:rsidRDefault="003953D6" w:rsidP="00346CBB">
            <w:pPr>
              <w:jc w:val="right"/>
            </w:pPr>
            <w:r w:rsidRPr="00346CBB">
              <w:t>14,6</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EE3139D" w14:textId="77777777" w:rsidR="003953D6" w:rsidRPr="00346CBB" w:rsidRDefault="003953D6" w:rsidP="00346CBB">
            <w:pPr>
              <w:jc w:val="right"/>
            </w:pPr>
            <w:r w:rsidRPr="00346CBB">
              <w:t>13,6</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8742E2D" w14:textId="77777777" w:rsidR="003953D6" w:rsidRPr="00346CBB" w:rsidRDefault="003953D6" w:rsidP="00346CBB">
            <w:pPr>
              <w:jc w:val="right"/>
            </w:pPr>
            <w:r w:rsidRPr="00346CBB">
              <w:t>3,6</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C1C3A67" w14:textId="77777777" w:rsidR="003953D6" w:rsidRPr="00346CBB" w:rsidRDefault="003953D6" w:rsidP="00346CBB">
            <w:pPr>
              <w:jc w:val="right"/>
            </w:pPr>
            <w:r w:rsidRPr="00346CBB">
              <w:t>5,1</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1F97B40" w14:textId="77777777" w:rsidR="003953D6" w:rsidRPr="00346CBB" w:rsidRDefault="003953D6" w:rsidP="00346CBB">
            <w:pPr>
              <w:jc w:val="right"/>
            </w:pPr>
            <w:r w:rsidRPr="00346CBB">
              <w:t>2,9</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AFA2D6E" w14:textId="77777777" w:rsidR="003953D6" w:rsidRPr="00346CBB" w:rsidRDefault="003953D6" w:rsidP="00C9271A">
            <w:r w:rsidRPr="00346CBB">
              <w:t>PPI</w:t>
            </w: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AAD8D03" w14:textId="77777777" w:rsidR="003953D6" w:rsidRPr="00346CBB" w:rsidRDefault="003953D6" w:rsidP="00C9271A">
            <w:r w:rsidRPr="00346CBB">
              <w:t>IKT-tjenester</w:t>
            </w:r>
          </w:p>
        </w:tc>
      </w:tr>
      <w:tr w:rsidR="00A4769D" w:rsidRPr="00346CBB" w14:paraId="31D47BE5" w14:textId="77777777" w:rsidTr="00C9271A">
        <w:trPr>
          <w:trHeight w:val="396"/>
        </w:trPr>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8269825" w14:textId="77777777" w:rsidR="003953D6" w:rsidRPr="00346CBB" w:rsidRDefault="003953D6" w:rsidP="00346CBB">
            <w:pPr>
              <w:pStyle w:val="TabellHode-rad"/>
            </w:pPr>
            <w:r w:rsidRPr="00346CBB">
              <w:rPr>
                <w:rStyle w:val="kursiv"/>
              </w:rPr>
              <w:t>Totalt</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BA78229" w14:textId="77777777" w:rsidR="003953D6" w:rsidRPr="00346CBB" w:rsidRDefault="003953D6" w:rsidP="00346CBB">
            <w:pPr>
              <w:jc w:val="right"/>
            </w:pPr>
            <w:r w:rsidRPr="00346CBB">
              <w:rPr>
                <w:rStyle w:val="kursiv"/>
              </w:rPr>
              <w:t>100,0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43913A6" w14:textId="77777777" w:rsidR="003953D6" w:rsidRPr="00346CBB" w:rsidRDefault="003953D6" w:rsidP="00346CBB">
            <w:pPr>
              <w:jc w:val="right"/>
            </w:pPr>
            <w:r w:rsidRPr="00346CBB">
              <w:rPr>
                <w:rStyle w:val="kursiv"/>
              </w:rPr>
              <w:t>100,0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CB375FD" w14:textId="77777777" w:rsidR="003953D6" w:rsidRPr="00346CBB" w:rsidRDefault="003953D6" w:rsidP="00346CBB">
            <w:pPr>
              <w:jc w:val="right"/>
            </w:pPr>
            <w:r w:rsidRPr="00346CBB">
              <w:rPr>
                <w:rStyle w:val="kursiv"/>
              </w:rPr>
              <w:t>100,0</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BC2249B" w14:textId="77777777" w:rsidR="003953D6" w:rsidRPr="00346CBB" w:rsidRDefault="003953D6" w:rsidP="00346CBB">
            <w:pPr>
              <w:jc w:val="right"/>
            </w:pPr>
            <w:r w:rsidRPr="00346CBB">
              <w:rPr>
                <w:rStyle w:val="kursiv"/>
              </w:rPr>
              <w:t>5,9</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20322E7" w14:textId="77777777" w:rsidR="003953D6" w:rsidRPr="00346CBB" w:rsidRDefault="003953D6" w:rsidP="00346CBB">
            <w:pPr>
              <w:jc w:val="right"/>
            </w:pPr>
            <w:r w:rsidRPr="00346CBB">
              <w:rPr>
                <w:rStyle w:val="kursiv"/>
              </w:rPr>
              <w:t>4,7</w:t>
            </w:r>
          </w:p>
        </w:tc>
        <w:tc>
          <w:tcPr>
            <w:tcW w:w="39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D5ED487" w14:textId="77777777" w:rsidR="003953D6" w:rsidRPr="00346CBB" w:rsidRDefault="003953D6" w:rsidP="00346CBB">
            <w:pPr>
              <w:jc w:val="right"/>
            </w:pPr>
            <w:r w:rsidRPr="00346CBB">
              <w:rPr>
                <w:rStyle w:val="kursiv"/>
              </w:rPr>
              <w:t>3,4</w:t>
            </w:r>
          </w:p>
        </w:tc>
        <w:tc>
          <w:tcPr>
            <w:tcW w:w="404"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A0C2C5E" w14:textId="77777777" w:rsidR="003953D6" w:rsidRPr="00346CBB" w:rsidRDefault="003953D6" w:rsidP="00C9271A">
            <w:pPr>
              <w:pStyle w:val="NoParagraphStyle"/>
            </w:pPr>
          </w:p>
        </w:tc>
        <w:tc>
          <w:tcPr>
            <w:tcW w:w="110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00EC626" w14:textId="77777777" w:rsidR="003953D6" w:rsidRPr="00346CBB" w:rsidRDefault="003953D6" w:rsidP="00C9271A">
            <w:pPr>
              <w:jc w:val="right"/>
            </w:pPr>
          </w:p>
        </w:tc>
      </w:tr>
    </w:tbl>
    <w:p w14:paraId="3FA1BCBC" w14:textId="77777777" w:rsidR="003953D6" w:rsidRPr="00346CBB" w:rsidRDefault="003953D6" w:rsidP="00C9271A">
      <w:pPr>
        <w:jc w:val="right"/>
        <w:rPr>
          <w:rStyle w:val="halvfet"/>
        </w:rPr>
      </w:pPr>
    </w:p>
    <w:p w14:paraId="3AD24925" w14:textId="77777777" w:rsidR="003953D6" w:rsidRPr="00346CBB" w:rsidRDefault="003953D6" w:rsidP="00C9271A">
      <w:pPr>
        <w:pStyle w:val="Note"/>
      </w:pPr>
      <w:r w:rsidRPr="00346CBB">
        <w:t>* Vektet gjennomsnitt av 08 Post- og teletjenester (90%) og 12.6 Finansielle tjenester utenom forsikring (10%)</w:t>
      </w:r>
    </w:p>
    <w:p w14:paraId="304CE9E8" w14:textId="77777777" w:rsidR="003953D6" w:rsidRPr="00346CBB" w:rsidRDefault="003953D6" w:rsidP="00C9271A">
      <w:pPr>
        <w:pStyle w:val="Note"/>
      </w:pPr>
      <w:r w:rsidRPr="00346CBB">
        <w:t>** Gjennomsnitt av 07.3 Transporttjenester og 11 Hotell- og restauranttjenester</w:t>
      </w:r>
    </w:p>
    <w:p w14:paraId="11B63E7A" w14:textId="77777777" w:rsidR="003953D6" w:rsidRPr="00346CBB" w:rsidRDefault="003953D6" w:rsidP="00C9271A">
      <w:pPr>
        <w:pStyle w:val="Note"/>
      </w:pPr>
      <w:r w:rsidRPr="00346CBB">
        <w:t>*** Gjennomsnitt av arkitekttjenester, juridisk tjenesteyting, regnskaps- og revisjonsvirksomhet og arbeidskrafttjenester</w:t>
      </w:r>
    </w:p>
    <w:p w14:paraId="178795F4" w14:textId="77777777" w:rsidR="003953D6" w:rsidRPr="00346CBB" w:rsidRDefault="003953D6" w:rsidP="00346CBB">
      <w:pPr>
        <w:pStyle w:val="UnOverskrift1"/>
        <w:rPr>
          <w:rStyle w:val="halvfet"/>
        </w:rPr>
      </w:pPr>
      <w:r w:rsidRPr="00346CBB">
        <w:rPr>
          <w:rStyle w:val="halvfet"/>
        </w:rPr>
        <w:lastRenderedPageBreak/>
        <w:t xml:space="preserve">Vedlegg 6 </w:t>
      </w:r>
      <w:r w:rsidRPr="00346CBB">
        <w:br/>
        <w:t>Tallgrunnlag kapittel 3</w:t>
      </w:r>
    </w:p>
    <w:p w14:paraId="47907DFE" w14:textId="18A31C7D" w:rsidR="003953D6" w:rsidRPr="00346CBB" w:rsidRDefault="003953D6" w:rsidP="00346CBB">
      <w:pPr>
        <w:pStyle w:val="avsnitt-undertittel"/>
        <w:rPr>
          <w:rStyle w:val="halvfet"/>
        </w:rPr>
      </w:pPr>
      <w:r w:rsidRPr="00346CBB">
        <w:t xml:space="preserve">Grunnlag for realvekstberegninger i kap. 3. Løpende kroner (mill. kroner). 2015–2025. </w:t>
      </w:r>
    </w:p>
    <w:tbl>
      <w:tblPr>
        <w:tblW w:w="5000" w:type="pct"/>
        <w:tblCellMar>
          <w:left w:w="0" w:type="dxa"/>
          <w:right w:w="0" w:type="dxa"/>
        </w:tblCellMar>
        <w:tblLook w:val="0000" w:firstRow="0" w:lastRow="0" w:firstColumn="0" w:lastColumn="0" w:noHBand="0" w:noVBand="0"/>
      </w:tblPr>
      <w:tblGrid>
        <w:gridCol w:w="742"/>
        <w:gridCol w:w="1868"/>
        <w:gridCol w:w="1868"/>
        <w:gridCol w:w="1868"/>
        <w:gridCol w:w="1868"/>
      </w:tblGrid>
      <w:tr w:rsidR="00A4769D" w:rsidRPr="00346CBB" w14:paraId="0A947B75" w14:textId="77777777" w:rsidTr="00C9271A">
        <w:trPr>
          <w:trHeight w:val="396"/>
          <w:tblHeader/>
        </w:trPr>
        <w:tc>
          <w:tcPr>
            <w:tcW w:w="452"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tcPr>
          <w:p w14:paraId="0D3E56A3" w14:textId="77777777" w:rsidR="003953D6" w:rsidRPr="00346CBB" w:rsidRDefault="003953D6" w:rsidP="00346CBB">
            <w:r w:rsidRPr="00346CBB">
              <w:t xml:space="preserve"> </w:t>
            </w:r>
          </w:p>
        </w:tc>
        <w:tc>
          <w:tcPr>
            <w:tcW w:w="1137"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B8E6B21" w14:textId="77777777" w:rsidR="003953D6" w:rsidRPr="00346CBB" w:rsidRDefault="003953D6" w:rsidP="00C9271A">
            <w:pPr>
              <w:pStyle w:val="TabellHode-kolonne"/>
              <w:jc w:val="right"/>
            </w:pPr>
            <w:r w:rsidRPr="00346CBB">
              <w:t>Driftsbevilgninger, ekskl. budsjettfullmakt c-19 til Helsedirektoratet 2020</w:t>
            </w:r>
          </w:p>
        </w:tc>
        <w:tc>
          <w:tcPr>
            <w:tcW w:w="1137"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11B0A882" w14:textId="77777777" w:rsidR="003953D6" w:rsidRPr="00346CBB" w:rsidRDefault="003953D6" w:rsidP="00C9271A">
            <w:pPr>
              <w:pStyle w:val="TabellHode-kolonne"/>
              <w:jc w:val="right"/>
            </w:pPr>
            <w:r w:rsidRPr="00346CBB">
              <w:t>Pensjonskostnader løpende kroner</w:t>
            </w:r>
          </w:p>
        </w:tc>
        <w:tc>
          <w:tcPr>
            <w:tcW w:w="1137"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413D3CB2" w14:textId="77777777" w:rsidR="003953D6" w:rsidRPr="00346CBB" w:rsidRDefault="003953D6" w:rsidP="00C9271A">
            <w:pPr>
              <w:pStyle w:val="TabellHode-kolonne"/>
              <w:jc w:val="right"/>
            </w:pPr>
            <w:r w:rsidRPr="00346CBB">
              <w:t>Oppgaveendringer</w:t>
            </w:r>
          </w:p>
        </w:tc>
        <w:tc>
          <w:tcPr>
            <w:tcW w:w="1137"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654E5EB7" w14:textId="77777777" w:rsidR="003953D6" w:rsidRPr="00346CBB" w:rsidRDefault="003953D6" w:rsidP="00C9271A">
            <w:pPr>
              <w:pStyle w:val="TabellHode-kolonne"/>
              <w:jc w:val="right"/>
            </w:pPr>
            <w:r w:rsidRPr="00346CBB">
              <w:t>Større engangsbevilgninger, ekskl. budsjettfullmakt c-19 Hdir i 2020</w:t>
            </w:r>
          </w:p>
        </w:tc>
      </w:tr>
      <w:tr w:rsidR="00A4769D" w:rsidRPr="00346CBB" w14:paraId="0C9A2BA9" w14:textId="77777777" w:rsidTr="00346CBB">
        <w:trPr>
          <w:trHeight w:val="396"/>
        </w:trPr>
        <w:tc>
          <w:tcPr>
            <w:tcW w:w="452"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D50FD55" w14:textId="77777777" w:rsidR="003953D6" w:rsidRPr="00346CBB" w:rsidRDefault="003953D6" w:rsidP="00346CBB">
            <w:pPr>
              <w:pStyle w:val="TabellHode-rad"/>
            </w:pPr>
            <w:r w:rsidRPr="00346CBB">
              <w:t>2015</w:t>
            </w:r>
          </w:p>
        </w:tc>
        <w:tc>
          <w:tcPr>
            <w:tcW w:w="1137"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713B12C" w14:textId="77777777" w:rsidR="003953D6" w:rsidRPr="00346CBB" w:rsidRDefault="003953D6" w:rsidP="00346CBB">
            <w:pPr>
              <w:jc w:val="right"/>
            </w:pPr>
            <w:r w:rsidRPr="00346CBB">
              <w:t>133 141</w:t>
            </w:r>
          </w:p>
        </w:tc>
        <w:tc>
          <w:tcPr>
            <w:tcW w:w="1137"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980B23C" w14:textId="77777777" w:rsidR="003953D6" w:rsidRPr="00346CBB" w:rsidRDefault="003953D6" w:rsidP="00346CBB">
            <w:pPr>
              <w:jc w:val="right"/>
            </w:pPr>
            <w:r w:rsidRPr="00346CBB">
              <w:t>18 450</w:t>
            </w:r>
          </w:p>
        </w:tc>
        <w:tc>
          <w:tcPr>
            <w:tcW w:w="1137"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9428C0E" w14:textId="77777777" w:rsidR="003953D6" w:rsidRPr="00346CBB" w:rsidRDefault="003953D6" w:rsidP="00346CBB">
            <w:pPr>
              <w:jc w:val="right"/>
            </w:pPr>
            <w:r w:rsidRPr="00346CBB">
              <w:t xml:space="preserve"> </w:t>
            </w:r>
          </w:p>
        </w:tc>
        <w:tc>
          <w:tcPr>
            <w:tcW w:w="1137"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903A9EA" w14:textId="77777777" w:rsidR="003953D6" w:rsidRPr="00346CBB" w:rsidRDefault="003953D6" w:rsidP="00346CBB">
            <w:pPr>
              <w:jc w:val="right"/>
            </w:pPr>
            <w:r w:rsidRPr="00346CBB">
              <w:t xml:space="preserve"> </w:t>
            </w:r>
          </w:p>
        </w:tc>
      </w:tr>
      <w:tr w:rsidR="00A4769D" w:rsidRPr="00346CBB" w14:paraId="775B99D5" w14:textId="77777777" w:rsidTr="00346CBB">
        <w:trPr>
          <w:trHeight w:val="396"/>
        </w:trPr>
        <w:tc>
          <w:tcPr>
            <w:tcW w:w="4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189A7F9" w14:textId="77777777" w:rsidR="003953D6" w:rsidRPr="00346CBB" w:rsidRDefault="003953D6" w:rsidP="00346CBB">
            <w:pPr>
              <w:pStyle w:val="TabellHode-rad"/>
            </w:pPr>
            <w:r w:rsidRPr="00346CBB">
              <w:t>2016</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8FDAA0F" w14:textId="77777777" w:rsidR="003953D6" w:rsidRPr="00346CBB" w:rsidRDefault="003953D6" w:rsidP="00346CBB">
            <w:pPr>
              <w:jc w:val="right"/>
            </w:pPr>
            <w:r w:rsidRPr="00346CBB">
              <w:t>134 367</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67200E6" w14:textId="77777777" w:rsidR="003953D6" w:rsidRPr="00346CBB" w:rsidRDefault="003953D6" w:rsidP="00346CBB">
            <w:pPr>
              <w:jc w:val="right"/>
            </w:pPr>
            <w:r w:rsidRPr="00346CBB">
              <w:t>14 100</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E9976A2" w14:textId="77777777" w:rsidR="003953D6" w:rsidRPr="00346CBB" w:rsidRDefault="003953D6" w:rsidP="00346CBB">
            <w:pPr>
              <w:jc w:val="right"/>
            </w:pPr>
            <w:r w:rsidRPr="00346CBB">
              <w:t>346</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0690117" w14:textId="77777777" w:rsidR="003953D6" w:rsidRPr="00346CBB" w:rsidRDefault="003953D6" w:rsidP="00346CBB">
            <w:pPr>
              <w:jc w:val="right"/>
            </w:pPr>
            <w:r w:rsidRPr="00346CBB">
              <w:t>330</w:t>
            </w:r>
          </w:p>
        </w:tc>
      </w:tr>
      <w:tr w:rsidR="00A4769D" w:rsidRPr="00346CBB" w14:paraId="033F05B6" w14:textId="77777777" w:rsidTr="00346CBB">
        <w:trPr>
          <w:trHeight w:val="396"/>
        </w:trPr>
        <w:tc>
          <w:tcPr>
            <w:tcW w:w="4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0296F5A" w14:textId="77777777" w:rsidR="003953D6" w:rsidRPr="00346CBB" w:rsidRDefault="003953D6" w:rsidP="00346CBB">
            <w:pPr>
              <w:pStyle w:val="TabellHode-rad"/>
            </w:pPr>
            <w:r w:rsidRPr="00346CBB">
              <w:t>2017</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0A1839F" w14:textId="77777777" w:rsidR="003953D6" w:rsidRPr="00346CBB" w:rsidRDefault="003953D6" w:rsidP="00346CBB">
            <w:pPr>
              <w:jc w:val="right"/>
            </w:pPr>
            <w:r w:rsidRPr="00346CBB">
              <w:t>138 646</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F433FE1" w14:textId="77777777" w:rsidR="003953D6" w:rsidRPr="00346CBB" w:rsidRDefault="003953D6" w:rsidP="00346CBB">
            <w:pPr>
              <w:jc w:val="right"/>
            </w:pPr>
            <w:r w:rsidRPr="00346CBB">
              <w:t>13 200</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1F681C5" w14:textId="77777777" w:rsidR="003953D6" w:rsidRPr="00346CBB" w:rsidRDefault="003953D6" w:rsidP="00346CBB">
            <w:pPr>
              <w:jc w:val="right"/>
            </w:pPr>
            <w:r w:rsidRPr="00346CBB">
              <w:t>1 120</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8DD0CC0" w14:textId="77777777" w:rsidR="003953D6" w:rsidRPr="00346CBB" w:rsidRDefault="003953D6" w:rsidP="00346CBB">
            <w:pPr>
              <w:jc w:val="right"/>
            </w:pPr>
            <w:r w:rsidRPr="00346CBB">
              <w:t>105</w:t>
            </w:r>
          </w:p>
        </w:tc>
      </w:tr>
      <w:tr w:rsidR="00A4769D" w:rsidRPr="00346CBB" w14:paraId="61EF0971" w14:textId="77777777" w:rsidTr="00346CBB">
        <w:trPr>
          <w:trHeight w:val="396"/>
        </w:trPr>
        <w:tc>
          <w:tcPr>
            <w:tcW w:w="4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3CAC713" w14:textId="77777777" w:rsidR="003953D6" w:rsidRPr="00346CBB" w:rsidRDefault="003953D6" w:rsidP="00346CBB">
            <w:pPr>
              <w:pStyle w:val="TabellHode-rad"/>
            </w:pPr>
            <w:r w:rsidRPr="00346CBB">
              <w:t>2018</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543E0F9" w14:textId="77777777" w:rsidR="003953D6" w:rsidRPr="00346CBB" w:rsidRDefault="003953D6" w:rsidP="00346CBB">
            <w:pPr>
              <w:jc w:val="right"/>
            </w:pPr>
            <w:r w:rsidRPr="00346CBB">
              <w:t>143 457</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81A7C5D" w14:textId="77777777" w:rsidR="003953D6" w:rsidRPr="00346CBB" w:rsidRDefault="003953D6" w:rsidP="00346CBB">
            <w:pPr>
              <w:jc w:val="right"/>
            </w:pPr>
            <w:r w:rsidRPr="00346CBB">
              <w:t>11 800</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B21AF55" w14:textId="77777777" w:rsidR="003953D6" w:rsidRPr="00346CBB" w:rsidRDefault="003953D6" w:rsidP="00346CBB">
            <w:pPr>
              <w:jc w:val="right"/>
            </w:pPr>
            <w:r w:rsidRPr="00346CBB">
              <w:t>1 047</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6504EE2" w14:textId="77777777" w:rsidR="003953D6" w:rsidRPr="00346CBB" w:rsidRDefault="003953D6" w:rsidP="00346CBB">
            <w:pPr>
              <w:jc w:val="right"/>
            </w:pPr>
            <w:r w:rsidRPr="00346CBB">
              <w:t>30</w:t>
            </w:r>
          </w:p>
        </w:tc>
      </w:tr>
      <w:tr w:rsidR="00A4769D" w:rsidRPr="00346CBB" w14:paraId="68D72B83" w14:textId="77777777" w:rsidTr="00346CBB">
        <w:trPr>
          <w:trHeight w:val="396"/>
        </w:trPr>
        <w:tc>
          <w:tcPr>
            <w:tcW w:w="4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A4A2FFC" w14:textId="77777777" w:rsidR="003953D6" w:rsidRPr="00346CBB" w:rsidRDefault="003953D6" w:rsidP="00346CBB">
            <w:pPr>
              <w:pStyle w:val="TabellHode-rad"/>
            </w:pPr>
            <w:r w:rsidRPr="00346CBB">
              <w:t>2019</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B1F9AA7" w14:textId="77777777" w:rsidR="003953D6" w:rsidRPr="00346CBB" w:rsidRDefault="003953D6" w:rsidP="00346CBB">
            <w:pPr>
              <w:jc w:val="right"/>
            </w:pPr>
            <w:r w:rsidRPr="00346CBB">
              <w:t>151 832</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67CFD25" w14:textId="77777777" w:rsidR="003953D6" w:rsidRPr="00346CBB" w:rsidRDefault="003953D6" w:rsidP="00346CBB">
            <w:pPr>
              <w:jc w:val="right"/>
            </w:pPr>
            <w:r w:rsidRPr="00346CBB">
              <w:t>13 700</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4082D51" w14:textId="77777777" w:rsidR="003953D6" w:rsidRPr="00346CBB" w:rsidRDefault="003953D6" w:rsidP="00346CBB">
            <w:pPr>
              <w:jc w:val="right"/>
            </w:pPr>
            <w:r w:rsidRPr="00346CBB">
              <w:t>1 327</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8BF2ABB" w14:textId="77777777" w:rsidR="003953D6" w:rsidRPr="00346CBB" w:rsidRDefault="003953D6" w:rsidP="00C9271A">
            <w:pPr>
              <w:jc w:val="right"/>
            </w:pPr>
          </w:p>
        </w:tc>
      </w:tr>
      <w:tr w:rsidR="00A4769D" w:rsidRPr="00346CBB" w14:paraId="08ADC8AA" w14:textId="77777777" w:rsidTr="00346CBB">
        <w:trPr>
          <w:trHeight w:val="396"/>
        </w:trPr>
        <w:tc>
          <w:tcPr>
            <w:tcW w:w="4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1AD29CB" w14:textId="77777777" w:rsidR="003953D6" w:rsidRPr="00346CBB" w:rsidRDefault="003953D6" w:rsidP="00346CBB">
            <w:pPr>
              <w:pStyle w:val="TabellHode-rad"/>
            </w:pPr>
            <w:r w:rsidRPr="00346CBB">
              <w:t>2020</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B290520" w14:textId="77777777" w:rsidR="003953D6" w:rsidRPr="00346CBB" w:rsidRDefault="003953D6" w:rsidP="00346CBB">
            <w:pPr>
              <w:jc w:val="right"/>
            </w:pPr>
            <w:r w:rsidRPr="00346CBB">
              <w:t>160 578</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FB64ED4" w14:textId="77777777" w:rsidR="003953D6" w:rsidRPr="00346CBB" w:rsidRDefault="003953D6" w:rsidP="00346CBB">
            <w:pPr>
              <w:jc w:val="right"/>
            </w:pPr>
            <w:r w:rsidRPr="00346CBB">
              <w:t>9 900</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FFAE951" w14:textId="77777777" w:rsidR="003953D6" w:rsidRPr="00346CBB" w:rsidRDefault="003953D6" w:rsidP="00346CBB">
            <w:pPr>
              <w:jc w:val="right"/>
            </w:pPr>
            <w:r w:rsidRPr="00346CBB">
              <w:t>301</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7D59B25" w14:textId="77777777" w:rsidR="003953D6" w:rsidRPr="00346CBB" w:rsidRDefault="003953D6" w:rsidP="00346CBB">
            <w:pPr>
              <w:jc w:val="right"/>
            </w:pPr>
            <w:r w:rsidRPr="00346CBB">
              <w:t>6 723</w:t>
            </w:r>
          </w:p>
        </w:tc>
      </w:tr>
      <w:tr w:rsidR="00A4769D" w:rsidRPr="00346CBB" w14:paraId="76B84D49" w14:textId="77777777" w:rsidTr="00346CBB">
        <w:trPr>
          <w:trHeight w:val="396"/>
        </w:trPr>
        <w:tc>
          <w:tcPr>
            <w:tcW w:w="4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DF7DCA8" w14:textId="77777777" w:rsidR="003953D6" w:rsidRPr="00346CBB" w:rsidRDefault="003953D6" w:rsidP="00346CBB">
            <w:pPr>
              <w:pStyle w:val="TabellHode-rad"/>
            </w:pPr>
            <w:r w:rsidRPr="00346CBB">
              <w:t>2021</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8D8C3AA" w14:textId="77777777" w:rsidR="003953D6" w:rsidRPr="00346CBB" w:rsidRDefault="003953D6" w:rsidP="00346CBB">
            <w:pPr>
              <w:jc w:val="right"/>
            </w:pPr>
            <w:r w:rsidRPr="00346CBB">
              <w:t>170 951</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ED73829" w14:textId="77777777" w:rsidR="003953D6" w:rsidRPr="00346CBB" w:rsidRDefault="003953D6" w:rsidP="00346CBB">
            <w:pPr>
              <w:jc w:val="right"/>
            </w:pPr>
            <w:r w:rsidRPr="00346CBB">
              <w:t>14 200</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19249D9" w14:textId="77777777" w:rsidR="003953D6" w:rsidRPr="00346CBB" w:rsidRDefault="003953D6" w:rsidP="00346CBB">
            <w:pPr>
              <w:jc w:val="right"/>
            </w:pPr>
            <w:r w:rsidRPr="00346CBB">
              <w:t>1 121</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427D237" w14:textId="77777777" w:rsidR="003953D6" w:rsidRPr="00346CBB" w:rsidRDefault="003953D6" w:rsidP="00346CBB">
            <w:pPr>
              <w:jc w:val="right"/>
            </w:pPr>
            <w:r w:rsidRPr="00346CBB">
              <w:t>5 583</w:t>
            </w:r>
          </w:p>
        </w:tc>
      </w:tr>
      <w:tr w:rsidR="00A4769D" w:rsidRPr="00346CBB" w14:paraId="01338B70" w14:textId="77777777" w:rsidTr="00346CBB">
        <w:trPr>
          <w:trHeight w:val="396"/>
        </w:trPr>
        <w:tc>
          <w:tcPr>
            <w:tcW w:w="4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779EA66" w14:textId="77777777" w:rsidR="003953D6" w:rsidRPr="00346CBB" w:rsidRDefault="003953D6" w:rsidP="00346CBB">
            <w:pPr>
              <w:pStyle w:val="TabellHode-rad"/>
            </w:pPr>
            <w:r w:rsidRPr="00346CBB">
              <w:t>2022</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B220EB7" w14:textId="77777777" w:rsidR="003953D6" w:rsidRPr="00346CBB" w:rsidRDefault="003953D6" w:rsidP="00346CBB">
            <w:pPr>
              <w:jc w:val="right"/>
            </w:pPr>
            <w:r w:rsidRPr="00346CBB">
              <w:t>177 974</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49B5D25" w14:textId="77777777" w:rsidR="003953D6" w:rsidRPr="00346CBB" w:rsidRDefault="003953D6" w:rsidP="00346CBB">
            <w:pPr>
              <w:jc w:val="right"/>
            </w:pPr>
            <w:r w:rsidRPr="00346CBB">
              <w:t>14 900</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7512609" w14:textId="77777777" w:rsidR="003953D6" w:rsidRPr="00346CBB" w:rsidRDefault="003953D6" w:rsidP="00346CBB">
            <w:pPr>
              <w:jc w:val="right"/>
            </w:pPr>
            <w:r w:rsidRPr="00346CBB">
              <w:t>1 145</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F2D200D" w14:textId="77777777" w:rsidR="003953D6" w:rsidRPr="00346CBB" w:rsidRDefault="003953D6" w:rsidP="00346CBB">
            <w:pPr>
              <w:jc w:val="right"/>
            </w:pPr>
            <w:r w:rsidRPr="00346CBB">
              <w:t>2 304</w:t>
            </w:r>
          </w:p>
        </w:tc>
      </w:tr>
      <w:tr w:rsidR="00A4769D" w:rsidRPr="00346CBB" w14:paraId="50EB477A" w14:textId="77777777" w:rsidTr="00346CBB">
        <w:trPr>
          <w:trHeight w:val="396"/>
        </w:trPr>
        <w:tc>
          <w:tcPr>
            <w:tcW w:w="4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178ECC7" w14:textId="77777777" w:rsidR="003953D6" w:rsidRPr="00346CBB" w:rsidRDefault="003953D6" w:rsidP="00346CBB">
            <w:pPr>
              <w:pStyle w:val="TabellHode-rad"/>
            </w:pPr>
            <w:r w:rsidRPr="00346CBB">
              <w:t>2023</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72064C4" w14:textId="77777777" w:rsidR="003953D6" w:rsidRPr="00346CBB" w:rsidRDefault="003953D6" w:rsidP="00346CBB">
            <w:pPr>
              <w:jc w:val="right"/>
            </w:pPr>
            <w:r w:rsidRPr="00346CBB">
              <w:t>188 276</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0C66359" w14:textId="77777777" w:rsidR="003953D6" w:rsidRPr="00346CBB" w:rsidRDefault="003953D6" w:rsidP="00346CBB">
            <w:pPr>
              <w:jc w:val="right"/>
            </w:pPr>
            <w:r w:rsidRPr="00346CBB">
              <w:t>14 800</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5DE08A3" w14:textId="77777777" w:rsidR="003953D6" w:rsidRPr="00346CBB" w:rsidRDefault="003953D6" w:rsidP="00346CBB">
            <w:pPr>
              <w:jc w:val="right"/>
            </w:pPr>
            <w:r w:rsidRPr="00346CBB">
              <w:t>514</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1FE395C" w14:textId="77777777" w:rsidR="003953D6" w:rsidRPr="00346CBB" w:rsidRDefault="003953D6" w:rsidP="00346CBB">
            <w:pPr>
              <w:jc w:val="right"/>
            </w:pPr>
            <w:r w:rsidRPr="00346CBB">
              <w:t>571</w:t>
            </w:r>
          </w:p>
        </w:tc>
      </w:tr>
      <w:tr w:rsidR="00A4769D" w:rsidRPr="00346CBB" w14:paraId="5A784464" w14:textId="77777777" w:rsidTr="00346CBB">
        <w:trPr>
          <w:trHeight w:val="396"/>
        </w:trPr>
        <w:tc>
          <w:tcPr>
            <w:tcW w:w="4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D21F0FA" w14:textId="77777777" w:rsidR="003953D6" w:rsidRPr="00346CBB" w:rsidRDefault="003953D6" w:rsidP="00346CBB">
            <w:pPr>
              <w:pStyle w:val="TabellHode-rad"/>
            </w:pPr>
            <w:r w:rsidRPr="00346CBB">
              <w:t>2024</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A26A8F8" w14:textId="77777777" w:rsidR="003953D6" w:rsidRPr="00346CBB" w:rsidRDefault="003953D6" w:rsidP="00346CBB">
            <w:pPr>
              <w:jc w:val="right"/>
            </w:pPr>
            <w:r w:rsidRPr="00346CBB">
              <w:t>203 739</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82D1F90" w14:textId="77777777" w:rsidR="003953D6" w:rsidRPr="00346CBB" w:rsidRDefault="003953D6" w:rsidP="00346CBB">
            <w:pPr>
              <w:jc w:val="right"/>
            </w:pPr>
            <w:r w:rsidRPr="00346CBB">
              <w:t>16 400</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620BF9E" w14:textId="77777777" w:rsidR="003953D6" w:rsidRPr="00346CBB" w:rsidRDefault="003953D6" w:rsidP="00346CBB">
            <w:pPr>
              <w:jc w:val="right"/>
            </w:pPr>
            <w:r w:rsidRPr="00346CBB">
              <w:t>421</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163BDE2" w14:textId="77777777" w:rsidR="003953D6" w:rsidRPr="00346CBB" w:rsidRDefault="003953D6" w:rsidP="00346CBB">
            <w:pPr>
              <w:jc w:val="right"/>
            </w:pPr>
            <w:r w:rsidRPr="00346CBB">
              <w:t>2 500</w:t>
            </w:r>
          </w:p>
        </w:tc>
      </w:tr>
      <w:tr w:rsidR="00A4769D" w:rsidRPr="00346CBB" w14:paraId="0BB114AD" w14:textId="77777777" w:rsidTr="00346CBB">
        <w:trPr>
          <w:trHeight w:val="396"/>
        </w:trPr>
        <w:tc>
          <w:tcPr>
            <w:tcW w:w="452"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2E4A07F" w14:textId="77777777" w:rsidR="003953D6" w:rsidRPr="00346CBB" w:rsidRDefault="003953D6" w:rsidP="00346CBB">
            <w:pPr>
              <w:pStyle w:val="TabellHode-rad"/>
            </w:pPr>
            <w:r w:rsidRPr="00346CBB">
              <w:t>2025</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7EDFEC1" w14:textId="77777777" w:rsidR="003953D6" w:rsidRPr="00346CBB" w:rsidRDefault="003953D6" w:rsidP="00346CBB">
            <w:pPr>
              <w:jc w:val="right"/>
            </w:pPr>
            <w:r w:rsidRPr="00346CBB">
              <w:t>214 728</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0530B0D" w14:textId="77777777" w:rsidR="003953D6" w:rsidRPr="00346CBB" w:rsidRDefault="003953D6" w:rsidP="00346CBB">
            <w:pPr>
              <w:jc w:val="right"/>
            </w:pPr>
            <w:r w:rsidRPr="00346CBB">
              <w:t>18 050</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CDBE2DD" w14:textId="77777777" w:rsidR="003953D6" w:rsidRPr="00346CBB" w:rsidRDefault="003953D6" w:rsidP="00346CBB">
            <w:pPr>
              <w:jc w:val="right"/>
            </w:pPr>
            <w:r w:rsidRPr="00346CBB">
              <w:t>659</w:t>
            </w:r>
          </w:p>
        </w:tc>
        <w:tc>
          <w:tcPr>
            <w:tcW w:w="113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A9B1CEA" w14:textId="77777777" w:rsidR="003953D6" w:rsidRPr="00346CBB" w:rsidRDefault="003953D6" w:rsidP="00C9271A">
            <w:pPr>
              <w:jc w:val="right"/>
            </w:pPr>
          </w:p>
        </w:tc>
      </w:tr>
    </w:tbl>
    <w:p w14:paraId="2372F842" w14:textId="77777777" w:rsidR="003953D6" w:rsidRPr="00346CBB" w:rsidRDefault="003953D6" w:rsidP="00C9271A">
      <w:pPr>
        <w:jc w:val="right"/>
      </w:pPr>
    </w:p>
    <w:p w14:paraId="0CAAB36D" w14:textId="77777777" w:rsidR="003953D6" w:rsidRPr="00346CBB" w:rsidRDefault="003953D6" w:rsidP="00346CBB">
      <w:pPr>
        <w:pStyle w:val="Kilde"/>
      </w:pPr>
      <w:r w:rsidRPr="00346CBB">
        <w:lastRenderedPageBreak/>
        <w:t>Kilde: Statsregnskap og Helse- og omsorgsdepartementet</w:t>
      </w:r>
    </w:p>
    <w:p w14:paraId="0BB21FF6" w14:textId="77777777" w:rsidR="003953D6" w:rsidRPr="00346CBB" w:rsidRDefault="003953D6" w:rsidP="00346CBB">
      <w:pPr>
        <w:pStyle w:val="avsnitt-undertittel"/>
        <w:rPr>
          <w:rStyle w:val="halvfet"/>
        </w:rPr>
      </w:pPr>
      <w:r w:rsidRPr="00346CBB">
        <w:t xml:space="preserve">Grunnlagstall for figur 3.2 i kap. 3. Mrd. 2025-kroner. 2015–2025. </w:t>
      </w:r>
    </w:p>
    <w:tbl>
      <w:tblPr>
        <w:tblW w:w="5000" w:type="pct"/>
        <w:tblCellMar>
          <w:left w:w="0" w:type="dxa"/>
          <w:right w:w="0" w:type="dxa"/>
        </w:tblCellMar>
        <w:tblLook w:val="0000" w:firstRow="0" w:lastRow="0" w:firstColumn="0" w:lastColumn="0" w:noHBand="0" w:noVBand="0"/>
      </w:tblPr>
      <w:tblGrid>
        <w:gridCol w:w="738"/>
        <w:gridCol w:w="2492"/>
        <w:gridCol w:w="2492"/>
        <w:gridCol w:w="2492"/>
      </w:tblGrid>
      <w:tr w:rsidR="00A4769D" w:rsidRPr="00346CBB" w14:paraId="299C32C3" w14:textId="77777777" w:rsidTr="00C9271A">
        <w:trPr>
          <w:trHeight w:val="396"/>
          <w:tblHeader/>
        </w:trPr>
        <w:tc>
          <w:tcPr>
            <w:tcW w:w="449"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tcPr>
          <w:p w14:paraId="4B80DF28" w14:textId="77777777" w:rsidR="003953D6" w:rsidRPr="00346CBB" w:rsidRDefault="003953D6" w:rsidP="00C9271A">
            <w:pPr>
              <w:jc w:val="right"/>
            </w:pPr>
          </w:p>
        </w:tc>
        <w:tc>
          <w:tcPr>
            <w:tcW w:w="1517"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9FDE39D" w14:textId="77777777" w:rsidR="003953D6" w:rsidRPr="00346CBB" w:rsidRDefault="003953D6" w:rsidP="00C9271A">
            <w:pPr>
              <w:pStyle w:val="TabellHode-kolonne"/>
              <w:jc w:val="right"/>
            </w:pPr>
            <w:r w:rsidRPr="00346CBB">
              <w:t>Nivåtall driftsbevilgninger</w:t>
            </w:r>
          </w:p>
        </w:tc>
        <w:tc>
          <w:tcPr>
            <w:tcW w:w="1517"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0C11CEF6" w14:textId="77777777" w:rsidR="003953D6" w:rsidRPr="00346CBB" w:rsidRDefault="003953D6" w:rsidP="00C9271A">
            <w:pPr>
              <w:pStyle w:val="TabellHode-kolonne"/>
              <w:jc w:val="right"/>
            </w:pPr>
            <w:r w:rsidRPr="00346CBB">
              <w:t>Fratrukket etter- beregnet merkostnad («faktisk merkostnad») til demografi med 92,5 prosent marginalkostnad</w:t>
            </w:r>
          </w:p>
        </w:tc>
        <w:tc>
          <w:tcPr>
            <w:tcW w:w="1517" w:type="pct"/>
            <w:tcBorders>
              <w:top w:val="single" w:sz="2" w:space="0" w:color="000000"/>
              <w:left w:val="single" w:sz="2" w:space="0" w:color="000000"/>
              <w:bottom w:val="single" w:sz="8" w:space="0" w:color="000000"/>
              <w:right w:val="single" w:sz="2" w:space="0" w:color="000000"/>
            </w:tcBorders>
            <w:tcMar>
              <w:top w:w="80" w:type="dxa"/>
              <w:left w:w="80" w:type="dxa"/>
              <w:bottom w:w="80" w:type="dxa"/>
              <w:right w:w="80" w:type="dxa"/>
            </w:tcMar>
            <w:vAlign w:val="bottom"/>
          </w:tcPr>
          <w:p w14:paraId="223D6D70" w14:textId="77777777" w:rsidR="003953D6" w:rsidRPr="00346CBB" w:rsidRDefault="003953D6" w:rsidP="00C9271A">
            <w:pPr>
              <w:pStyle w:val="TabellHode-kolonne"/>
              <w:jc w:val="right"/>
            </w:pPr>
            <w:r w:rsidRPr="00346CBB">
              <w:t xml:space="preserve">Fratrukket </w:t>
            </w:r>
            <w:proofErr w:type="spellStart"/>
            <w:r w:rsidRPr="00346CBB">
              <w:t>etterberegnet</w:t>
            </w:r>
            <w:proofErr w:type="spellEnd"/>
            <w:r w:rsidRPr="00346CBB">
              <w:t xml:space="preserve"> merkostnad («faktisk merkostnad») til demografi med 100 prosent marginalkostnad.</w:t>
            </w:r>
          </w:p>
        </w:tc>
      </w:tr>
      <w:tr w:rsidR="00A4769D" w:rsidRPr="00346CBB" w14:paraId="44BE80CD" w14:textId="77777777" w:rsidTr="00346CBB">
        <w:trPr>
          <w:trHeight w:val="396"/>
        </w:trPr>
        <w:tc>
          <w:tcPr>
            <w:tcW w:w="449"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8542AD8" w14:textId="77777777" w:rsidR="003953D6" w:rsidRPr="00346CBB" w:rsidRDefault="003953D6" w:rsidP="00346CBB">
            <w:pPr>
              <w:pStyle w:val="TabellHode-rad"/>
            </w:pPr>
            <w:r w:rsidRPr="00346CBB">
              <w:t>2015</w:t>
            </w:r>
          </w:p>
        </w:tc>
        <w:tc>
          <w:tcPr>
            <w:tcW w:w="1517"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FFC8FA9" w14:textId="77777777" w:rsidR="003953D6" w:rsidRPr="00346CBB" w:rsidRDefault="003953D6" w:rsidP="00346CBB">
            <w:pPr>
              <w:jc w:val="right"/>
            </w:pPr>
            <w:r w:rsidRPr="00346CBB">
              <w:t>161,2</w:t>
            </w:r>
          </w:p>
        </w:tc>
        <w:tc>
          <w:tcPr>
            <w:tcW w:w="1517"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7203584" w14:textId="77777777" w:rsidR="003953D6" w:rsidRPr="00346CBB" w:rsidRDefault="003953D6" w:rsidP="00346CBB">
            <w:pPr>
              <w:jc w:val="right"/>
            </w:pPr>
            <w:r w:rsidRPr="00346CBB">
              <w:t>161,2</w:t>
            </w:r>
          </w:p>
        </w:tc>
        <w:tc>
          <w:tcPr>
            <w:tcW w:w="1517" w:type="pct"/>
            <w:tcBorders>
              <w:top w:val="single" w:sz="8"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9B1CAD1" w14:textId="77777777" w:rsidR="003953D6" w:rsidRPr="00346CBB" w:rsidRDefault="003953D6" w:rsidP="00346CBB">
            <w:pPr>
              <w:jc w:val="right"/>
            </w:pPr>
            <w:r w:rsidRPr="00346CBB">
              <w:t>161,2</w:t>
            </w:r>
          </w:p>
        </w:tc>
      </w:tr>
      <w:tr w:rsidR="00A4769D" w:rsidRPr="00346CBB" w14:paraId="23FDECA5" w14:textId="77777777" w:rsidTr="00346CBB">
        <w:trPr>
          <w:trHeight w:val="396"/>
        </w:trPr>
        <w:tc>
          <w:tcPr>
            <w:tcW w:w="4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B60203F" w14:textId="77777777" w:rsidR="003953D6" w:rsidRPr="00346CBB" w:rsidRDefault="003953D6" w:rsidP="00346CBB">
            <w:pPr>
              <w:pStyle w:val="TabellHode-rad"/>
            </w:pPr>
            <w:r w:rsidRPr="00346CBB">
              <w:t>2016</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1C200AF" w14:textId="77777777" w:rsidR="003953D6" w:rsidRPr="00346CBB" w:rsidRDefault="003953D6" w:rsidP="00346CBB">
            <w:pPr>
              <w:jc w:val="right"/>
            </w:pPr>
            <w:r w:rsidRPr="00346CBB">
              <w:t>164,5</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AA0ED59" w14:textId="77777777" w:rsidR="003953D6" w:rsidRPr="00346CBB" w:rsidRDefault="003953D6" w:rsidP="00346CBB">
            <w:pPr>
              <w:jc w:val="right"/>
            </w:pPr>
            <w:r w:rsidRPr="00346CBB">
              <w:t>162,4</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ABE5CE0" w14:textId="77777777" w:rsidR="003953D6" w:rsidRPr="00346CBB" w:rsidRDefault="003953D6" w:rsidP="00346CBB">
            <w:pPr>
              <w:jc w:val="right"/>
            </w:pPr>
            <w:r w:rsidRPr="00346CBB">
              <w:t>162,2</w:t>
            </w:r>
          </w:p>
        </w:tc>
      </w:tr>
      <w:tr w:rsidR="00A4769D" w:rsidRPr="00346CBB" w14:paraId="3A09563E" w14:textId="77777777" w:rsidTr="00346CBB">
        <w:trPr>
          <w:trHeight w:val="396"/>
        </w:trPr>
        <w:tc>
          <w:tcPr>
            <w:tcW w:w="4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F6C45AA" w14:textId="77777777" w:rsidR="003953D6" w:rsidRPr="00346CBB" w:rsidRDefault="003953D6" w:rsidP="00346CBB">
            <w:pPr>
              <w:pStyle w:val="TabellHode-rad"/>
            </w:pPr>
            <w:r w:rsidRPr="00346CBB">
              <w:t>2017</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7B96EC9" w14:textId="77777777" w:rsidR="003953D6" w:rsidRPr="00346CBB" w:rsidRDefault="003953D6" w:rsidP="00346CBB">
            <w:pPr>
              <w:jc w:val="right"/>
            </w:pPr>
            <w:r w:rsidRPr="00346CBB">
              <w:t>165,9</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FDC01A9" w14:textId="77777777" w:rsidR="003953D6" w:rsidRPr="00346CBB" w:rsidRDefault="003953D6" w:rsidP="00346CBB">
            <w:pPr>
              <w:jc w:val="right"/>
            </w:pPr>
            <w:r w:rsidRPr="00346CBB">
              <w:t>161,4</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638BF22" w14:textId="77777777" w:rsidR="003953D6" w:rsidRPr="00346CBB" w:rsidRDefault="003953D6" w:rsidP="00346CBB">
            <w:pPr>
              <w:jc w:val="right"/>
            </w:pPr>
            <w:r w:rsidRPr="00346CBB">
              <w:t>161,1</w:t>
            </w:r>
          </w:p>
        </w:tc>
      </w:tr>
      <w:tr w:rsidR="00A4769D" w:rsidRPr="00346CBB" w14:paraId="40757822" w14:textId="77777777" w:rsidTr="00346CBB">
        <w:trPr>
          <w:trHeight w:val="396"/>
        </w:trPr>
        <w:tc>
          <w:tcPr>
            <w:tcW w:w="4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33E48AA" w14:textId="77777777" w:rsidR="003953D6" w:rsidRPr="00346CBB" w:rsidRDefault="003953D6" w:rsidP="00346CBB">
            <w:pPr>
              <w:pStyle w:val="TabellHode-rad"/>
            </w:pPr>
            <w:r w:rsidRPr="00346CBB">
              <w:t>2018</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77667D1" w14:textId="77777777" w:rsidR="003953D6" w:rsidRPr="00346CBB" w:rsidRDefault="003953D6" w:rsidP="00346CBB">
            <w:pPr>
              <w:jc w:val="right"/>
            </w:pPr>
            <w:r w:rsidRPr="00346CBB">
              <w:t>168,0</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4799065" w14:textId="77777777" w:rsidR="003953D6" w:rsidRPr="00346CBB" w:rsidRDefault="003953D6" w:rsidP="00346CBB">
            <w:pPr>
              <w:jc w:val="right"/>
            </w:pPr>
            <w:r w:rsidRPr="00346CBB">
              <w:t>161,5</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6A559DD" w14:textId="77777777" w:rsidR="003953D6" w:rsidRPr="00346CBB" w:rsidRDefault="003953D6" w:rsidP="00346CBB">
            <w:pPr>
              <w:jc w:val="right"/>
            </w:pPr>
            <w:r w:rsidRPr="00346CBB">
              <w:t>160,9</w:t>
            </w:r>
          </w:p>
        </w:tc>
      </w:tr>
      <w:tr w:rsidR="00A4769D" w:rsidRPr="00346CBB" w14:paraId="1645972B" w14:textId="77777777" w:rsidTr="00346CBB">
        <w:trPr>
          <w:trHeight w:val="396"/>
        </w:trPr>
        <w:tc>
          <w:tcPr>
            <w:tcW w:w="4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58E8C23" w14:textId="77777777" w:rsidR="003953D6" w:rsidRPr="00346CBB" w:rsidRDefault="003953D6" w:rsidP="00346CBB">
            <w:pPr>
              <w:pStyle w:val="TabellHode-rad"/>
            </w:pPr>
            <w:r w:rsidRPr="00346CBB">
              <w:t>2019</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8A3081B" w14:textId="77777777" w:rsidR="003953D6" w:rsidRPr="00346CBB" w:rsidRDefault="003953D6" w:rsidP="00346CBB">
            <w:pPr>
              <w:jc w:val="right"/>
            </w:pPr>
            <w:r w:rsidRPr="00346CBB">
              <w:t>169,7</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17AFB82" w14:textId="77777777" w:rsidR="003953D6" w:rsidRPr="00346CBB" w:rsidRDefault="003953D6" w:rsidP="00346CBB">
            <w:pPr>
              <w:jc w:val="right"/>
            </w:pPr>
            <w:r w:rsidRPr="00346CBB">
              <w:t>161,0</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60F5BE8" w14:textId="77777777" w:rsidR="003953D6" w:rsidRPr="00346CBB" w:rsidRDefault="003953D6" w:rsidP="00346CBB">
            <w:pPr>
              <w:jc w:val="right"/>
            </w:pPr>
            <w:r w:rsidRPr="00346CBB">
              <w:t>160,3</w:t>
            </w:r>
          </w:p>
        </w:tc>
      </w:tr>
      <w:tr w:rsidR="00A4769D" w:rsidRPr="00346CBB" w14:paraId="54076B1E" w14:textId="77777777" w:rsidTr="00346CBB">
        <w:trPr>
          <w:trHeight w:val="396"/>
        </w:trPr>
        <w:tc>
          <w:tcPr>
            <w:tcW w:w="4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6C515D4" w14:textId="77777777" w:rsidR="003953D6" w:rsidRPr="00346CBB" w:rsidRDefault="003953D6" w:rsidP="00346CBB">
            <w:pPr>
              <w:pStyle w:val="TabellHode-rad"/>
            </w:pPr>
            <w:r w:rsidRPr="00346CBB">
              <w:t>2020</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1E32B40" w14:textId="77777777" w:rsidR="003953D6" w:rsidRPr="00346CBB" w:rsidRDefault="003953D6" w:rsidP="00346CBB">
            <w:pPr>
              <w:jc w:val="right"/>
            </w:pPr>
            <w:r w:rsidRPr="00346CBB">
              <w:t>173,9</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2FF09CC" w14:textId="77777777" w:rsidR="003953D6" w:rsidRPr="00346CBB" w:rsidRDefault="003953D6" w:rsidP="00346CBB">
            <w:pPr>
              <w:jc w:val="right"/>
            </w:pPr>
            <w:r w:rsidRPr="00346CBB">
              <w:t>162,9</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D279EE4" w14:textId="77777777" w:rsidR="003953D6" w:rsidRPr="00346CBB" w:rsidRDefault="003953D6" w:rsidP="00346CBB">
            <w:pPr>
              <w:jc w:val="right"/>
            </w:pPr>
            <w:r w:rsidRPr="00346CBB">
              <w:t>162,0</w:t>
            </w:r>
          </w:p>
        </w:tc>
      </w:tr>
      <w:tr w:rsidR="00A4769D" w:rsidRPr="00346CBB" w14:paraId="382EDAC1" w14:textId="77777777" w:rsidTr="00346CBB">
        <w:trPr>
          <w:trHeight w:val="396"/>
        </w:trPr>
        <w:tc>
          <w:tcPr>
            <w:tcW w:w="4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BA53304" w14:textId="77777777" w:rsidR="003953D6" w:rsidRPr="00346CBB" w:rsidRDefault="003953D6" w:rsidP="00346CBB">
            <w:pPr>
              <w:pStyle w:val="TabellHode-rad"/>
            </w:pPr>
            <w:r w:rsidRPr="00346CBB">
              <w:t>2021</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BA3077B" w14:textId="77777777" w:rsidR="003953D6" w:rsidRPr="00346CBB" w:rsidRDefault="003953D6" w:rsidP="00346CBB">
            <w:pPr>
              <w:jc w:val="right"/>
            </w:pPr>
            <w:r w:rsidRPr="00346CBB">
              <w:t>175,5</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862CA28" w14:textId="77777777" w:rsidR="003953D6" w:rsidRPr="00346CBB" w:rsidRDefault="003953D6" w:rsidP="00346CBB">
            <w:pPr>
              <w:jc w:val="right"/>
            </w:pPr>
            <w:r w:rsidRPr="00346CBB">
              <w:t>162,7</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0F23D85" w14:textId="77777777" w:rsidR="003953D6" w:rsidRPr="00346CBB" w:rsidRDefault="003953D6" w:rsidP="00346CBB">
            <w:pPr>
              <w:jc w:val="right"/>
            </w:pPr>
            <w:r w:rsidRPr="00346CBB">
              <w:t>161,7</w:t>
            </w:r>
          </w:p>
        </w:tc>
      </w:tr>
      <w:tr w:rsidR="00A4769D" w:rsidRPr="00346CBB" w14:paraId="38375CCC" w14:textId="77777777" w:rsidTr="00346CBB">
        <w:trPr>
          <w:trHeight w:val="396"/>
        </w:trPr>
        <w:tc>
          <w:tcPr>
            <w:tcW w:w="4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788AE3DE" w14:textId="77777777" w:rsidR="003953D6" w:rsidRPr="00346CBB" w:rsidRDefault="003953D6" w:rsidP="00346CBB">
            <w:pPr>
              <w:pStyle w:val="TabellHode-rad"/>
            </w:pPr>
            <w:r w:rsidRPr="00346CBB">
              <w:t>2022</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354BFFA" w14:textId="77777777" w:rsidR="003953D6" w:rsidRPr="00346CBB" w:rsidRDefault="003953D6" w:rsidP="00346CBB">
            <w:pPr>
              <w:jc w:val="right"/>
            </w:pPr>
            <w:r w:rsidRPr="00346CBB">
              <w:t>176,6</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55584E7" w14:textId="77777777" w:rsidR="003953D6" w:rsidRPr="00346CBB" w:rsidRDefault="003953D6" w:rsidP="00346CBB">
            <w:pPr>
              <w:jc w:val="right"/>
            </w:pPr>
            <w:r w:rsidRPr="00346CBB">
              <w:t>161,5</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CD87CC5" w14:textId="77777777" w:rsidR="003953D6" w:rsidRPr="00346CBB" w:rsidRDefault="003953D6" w:rsidP="00346CBB">
            <w:pPr>
              <w:jc w:val="right"/>
            </w:pPr>
            <w:r w:rsidRPr="00346CBB">
              <w:t>160,3</w:t>
            </w:r>
          </w:p>
        </w:tc>
      </w:tr>
      <w:tr w:rsidR="00A4769D" w:rsidRPr="00346CBB" w14:paraId="5E55CD87" w14:textId="77777777" w:rsidTr="00346CBB">
        <w:trPr>
          <w:trHeight w:val="396"/>
        </w:trPr>
        <w:tc>
          <w:tcPr>
            <w:tcW w:w="4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EEFBFAC" w14:textId="77777777" w:rsidR="003953D6" w:rsidRPr="00346CBB" w:rsidRDefault="003953D6" w:rsidP="00346CBB">
            <w:pPr>
              <w:pStyle w:val="TabellHode-rad"/>
            </w:pPr>
            <w:r w:rsidRPr="00346CBB">
              <w:t>2023</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E9900DB" w14:textId="77777777" w:rsidR="003953D6" w:rsidRPr="00346CBB" w:rsidRDefault="003953D6" w:rsidP="00346CBB">
            <w:pPr>
              <w:jc w:val="right"/>
            </w:pPr>
            <w:r w:rsidRPr="00346CBB">
              <w:t>179,9</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EC27D18" w14:textId="77777777" w:rsidR="003953D6" w:rsidRPr="00346CBB" w:rsidRDefault="003953D6" w:rsidP="00346CBB">
            <w:pPr>
              <w:jc w:val="right"/>
            </w:pPr>
            <w:r w:rsidRPr="00346CBB">
              <w:t>162,0</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645C9A7" w14:textId="77777777" w:rsidR="003953D6" w:rsidRPr="00346CBB" w:rsidRDefault="003953D6" w:rsidP="00346CBB">
            <w:pPr>
              <w:jc w:val="right"/>
            </w:pPr>
            <w:r w:rsidRPr="00346CBB">
              <w:t>160,6</w:t>
            </w:r>
          </w:p>
        </w:tc>
      </w:tr>
      <w:tr w:rsidR="00A4769D" w:rsidRPr="00346CBB" w14:paraId="47F5445F" w14:textId="77777777" w:rsidTr="00346CBB">
        <w:trPr>
          <w:trHeight w:val="396"/>
        </w:trPr>
        <w:tc>
          <w:tcPr>
            <w:tcW w:w="4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1CBAA749" w14:textId="77777777" w:rsidR="003953D6" w:rsidRPr="00346CBB" w:rsidRDefault="003953D6" w:rsidP="00346CBB">
            <w:pPr>
              <w:pStyle w:val="TabellHode-rad"/>
            </w:pPr>
            <w:r w:rsidRPr="00346CBB">
              <w:t>2024</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3FB05CEF" w14:textId="77777777" w:rsidR="003953D6" w:rsidRPr="00346CBB" w:rsidRDefault="003953D6" w:rsidP="00346CBB">
            <w:pPr>
              <w:jc w:val="right"/>
            </w:pPr>
            <w:r w:rsidRPr="00346CBB">
              <w:t>183,9</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BEA0640" w14:textId="77777777" w:rsidR="003953D6" w:rsidRPr="00346CBB" w:rsidRDefault="003953D6" w:rsidP="00346CBB">
            <w:pPr>
              <w:jc w:val="right"/>
            </w:pPr>
            <w:r w:rsidRPr="00346CBB">
              <w:t>163,2</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0BFEC5C1" w14:textId="77777777" w:rsidR="003953D6" w:rsidRPr="00346CBB" w:rsidRDefault="003953D6" w:rsidP="00346CBB">
            <w:pPr>
              <w:jc w:val="right"/>
            </w:pPr>
            <w:r w:rsidRPr="00346CBB">
              <w:t>161,5</w:t>
            </w:r>
          </w:p>
        </w:tc>
      </w:tr>
      <w:tr w:rsidR="00A4769D" w:rsidRPr="00346CBB" w14:paraId="121FD41A" w14:textId="77777777" w:rsidTr="00346CBB">
        <w:trPr>
          <w:trHeight w:val="396"/>
        </w:trPr>
        <w:tc>
          <w:tcPr>
            <w:tcW w:w="449"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274CC063" w14:textId="77777777" w:rsidR="003953D6" w:rsidRPr="00346CBB" w:rsidRDefault="003953D6" w:rsidP="00346CBB">
            <w:pPr>
              <w:pStyle w:val="TabellHode-rad"/>
            </w:pPr>
            <w:r w:rsidRPr="00346CBB">
              <w:t>2025</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467D6191" w14:textId="77777777" w:rsidR="003953D6" w:rsidRPr="00346CBB" w:rsidRDefault="003953D6" w:rsidP="00346CBB">
            <w:pPr>
              <w:jc w:val="right"/>
            </w:pPr>
            <w:r w:rsidRPr="00346CBB">
              <w:t>188,7</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5314DC14" w14:textId="77777777" w:rsidR="003953D6" w:rsidRPr="00346CBB" w:rsidRDefault="003953D6" w:rsidP="00346CBB">
            <w:pPr>
              <w:jc w:val="right"/>
            </w:pPr>
            <w:r w:rsidRPr="00346CBB">
              <w:t>165,3</w:t>
            </w:r>
          </w:p>
        </w:tc>
        <w:tc>
          <w:tcPr>
            <w:tcW w:w="1517" w:type="pct"/>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vAlign w:val="bottom"/>
          </w:tcPr>
          <w:p w14:paraId="624BD463" w14:textId="77777777" w:rsidR="003953D6" w:rsidRPr="00346CBB" w:rsidRDefault="003953D6" w:rsidP="00346CBB">
            <w:pPr>
              <w:jc w:val="right"/>
            </w:pPr>
            <w:r w:rsidRPr="00346CBB">
              <w:t>163,4</w:t>
            </w:r>
          </w:p>
        </w:tc>
      </w:tr>
    </w:tbl>
    <w:p w14:paraId="6A189FC4" w14:textId="77777777" w:rsidR="003953D6" w:rsidRPr="00346CBB" w:rsidRDefault="003953D6" w:rsidP="00C9271A">
      <w:pPr>
        <w:jc w:val="right"/>
      </w:pPr>
    </w:p>
    <w:p w14:paraId="4DB6167E" w14:textId="77777777" w:rsidR="003953D6" w:rsidRPr="00CF6BC5" w:rsidRDefault="003953D6" w:rsidP="00346CBB">
      <w:pPr>
        <w:pStyle w:val="Kilde"/>
        <w:rPr>
          <w:rStyle w:val="Hyperkobling"/>
        </w:rPr>
      </w:pPr>
      <w:r w:rsidRPr="00346CBB">
        <w:lastRenderedPageBreak/>
        <w:t>Kilde: Helse- og omsorgsdepartementet</w:t>
      </w:r>
    </w:p>
    <w:sectPr w:rsidR="003953D6" w:rsidRPr="00CF6BC5">
      <w:pgSz w:w="11906" w:h="16838"/>
      <w:pgMar w:top="1701" w:right="1843" w:bottom="1701" w:left="1843"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59109" w14:textId="77777777" w:rsidR="003953D6" w:rsidRDefault="003953D6">
      <w:pPr>
        <w:spacing w:before="0" w:after="0" w:line="240" w:lineRule="auto"/>
      </w:pPr>
      <w:r>
        <w:separator/>
      </w:r>
    </w:p>
  </w:endnote>
  <w:endnote w:type="continuationSeparator" w:id="0">
    <w:p w14:paraId="72BB3211" w14:textId="77777777" w:rsidR="003953D6" w:rsidRDefault="003953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5764" w14:textId="77777777" w:rsidR="003953D6" w:rsidRDefault="003953D6">
      <w:pPr>
        <w:spacing w:before="0" w:after="0" w:line="240" w:lineRule="auto"/>
      </w:pPr>
      <w:r>
        <w:separator/>
      </w:r>
    </w:p>
  </w:footnote>
  <w:footnote w:type="continuationSeparator" w:id="0">
    <w:p w14:paraId="636AA129" w14:textId="77777777" w:rsidR="003953D6" w:rsidRDefault="003953D6">
      <w:pPr>
        <w:spacing w:before="0" w:after="0" w:line="240" w:lineRule="auto"/>
      </w:pPr>
      <w:r>
        <w:continuationSeparator/>
      </w:r>
    </w:p>
  </w:footnote>
  <w:footnote w:id="1">
    <w:p w14:paraId="2382A91C" w14:textId="6DDD135C" w:rsidR="003953D6" w:rsidRDefault="003953D6" w:rsidP="00CF6BC5">
      <w:pPr>
        <w:pStyle w:val="Fotnotetekst"/>
      </w:pPr>
      <w:r w:rsidRPr="00346CBB">
        <w:rPr>
          <w:rStyle w:val="Fotnotereferanse"/>
        </w:rPr>
        <w:footnoteRef/>
      </w:r>
      <w:r w:rsidRPr="00346CBB">
        <w:tab/>
        <w:t xml:space="preserve">I tillegg får de regionale helseforetakene egne inntekter gjennom egenandeler og pasientbetaling i forbindelse med poliklinisk helsehjelp. Dette utgjør om lag 4 mrd. kroner eller om lag 2 prosent av inntektene til helseregionene. De regionale helseforetakene har også gjestepasientinntekter og –kostnader gjennom det regionale gjestepasientoppgjøret. </w:t>
      </w:r>
    </w:p>
  </w:footnote>
  <w:footnote w:id="2">
    <w:p w14:paraId="665CBD87" w14:textId="553C93ED" w:rsidR="003953D6" w:rsidRDefault="003953D6" w:rsidP="00CF6BC5">
      <w:pPr>
        <w:pStyle w:val="Fotnotetekst"/>
      </w:pPr>
      <w:r w:rsidRPr="00346CBB">
        <w:rPr>
          <w:rStyle w:val="Fotnotereferanse"/>
        </w:rPr>
        <w:footnoteRef/>
      </w:r>
      <w:r w:rsidRPr="00346CBB">
        <w:tab/>
        <w:t>De regionale helseforetakene har innenfor rammer fastsatt av Stortinget adgang til å ha driftskreditter. Det vises til omtale i kapittel 5.3 Investeringer og gjeld.</w:t>
      </w:r>
    </w:p>
  </w:footnote>
  <w:footnote w:id="3">
    <w:p w14:paraId="3CE84635" w14:textId="1003CD55" w:rsidR="003953D6" w:rsidRDefault="003953D6" w:rsidP="00CF6BC5">
      <w:pPr>
        <w:pStyle w:val="Fotnotetekst"/>
      </w:pPr>
      <w:r w:rsidRPr="00346CBB">
        <w:rPr>
          <w:rStyle w:val="Fotnotereferanse"/>
        </w:rPr>
        <w:footnoteRef/>
      </w:r>
      <w:r w:rsidRPr="00346CBB">
        <w:tab/>
        <w:t xml:space="preserve">Inntekter til å dekke pensjonskostnader fordeles etter kriteriene i inntektsmodellen til de regionale helseforetakene. De faktiske pensjonskostnadene vil kunne avvike fra dette på regionalt nivå, og dermed påvirke handlingsrommet regionalt. </w:t>
      </w:r>
    </w:p>
  </w:footnote>
  <w:footnote w:id="4">
    <w:p w14:paraId="0FB9004D" w14:textId="7CE8EE5F" w:rsidR="003953D6" w:rsidRDefault="003953D6" w:rsidP="00CF6BC5">
      <w:pPr>
        <w:pStyle w:val="Fotnotetekst"/>
      </w:pPr>
      <w:r w:rsidRPr="00346CBB">
        <w:rPr>
          <w:rStyle w:val="Fotnotereferanse"/>
        </w:rPr>
        <w:footnoteRef/>
      </w:r>
      <w:r w:rsidRPr="00346CBB">
        <w:tab/>
        <w:t>Lov om spesialisthelsetjenesten m.m. § 2-1a.</w:t>
      </w:r>
    </w:p>
  </w:footnote>
  <w:footnote w:id="5">
    <w:p w14:paraId="77BCE7A5" w14:textId="0F0DB112" w:rsidR="003953D6" w:rsidRDefault="003953D6" w:rsidP="00CF6BC5">
      <w:pPr>
        <w:pStyle w:val="Fotnotetekst"/>
      </w:pPr>
      <w:r w:rsidRPr="00346CBB">
        <w:rPr>
          <w:rStyle w:val="Fotnotereferanse"/>
        </w:rPr>
        <w:footnoteRef/>
      </w:r>
      <w:r w:rsidRPr="00346CBB">
        <w:tab/>
        <w:t>Med kapitalkostnader menes summen av avskrivninger og rentekostnader.</w:t>
      </w:r>
    </w:p>
  </w:footnote>
  <w:footnote w:id="6">
    <w:p w14:paraId="65D49BE0" w14:textId="1B4EAB13" w:rsidR="003953D6" w:rsidRDefault="003953D6" w:rsidP="00CF6BC5">
      <w:pPr>
        <w:pStyle w:val="Fotnotetekst"/>
      </w:pPr>
      <w:r w:rsidRPr="00346CBB">
        <w:rPr>
          <w:rStyle w:val="Fotnotereferanse"/>
        </w:rPr>
        <w:footnoteRef/>
      </w:r>
      <w:r w:rsidRPr="00346CBB">
        <w:tab/>
        <w:t xml:space="preserve">EBITDA = </w:t>
      </w:r>
      <w:proofErr w:type="spellStart"/>
      <w:r w:rsidRPr="00346CBB">
        <w:t>earnings</w:t>
      </w:r>
      <w:proofErr w:type="spellEnd"/>
      <w:r w:rsidRPr="00346CBB">
        <w:t xml:space="preserve"> </w:t>
      </w:r>
      <w:proofErr w:type="spellStart"/>
      <w:r w:rsidRPr="00346CBB">
        <w:t>before</w:t>
      </w:r>
      <w:proofErr w:type="spellEnd"/>
      <w:r w:rsidRPr="00346CBB">
        <w:t xml:space="preserve"> </w:t>
      </w:r>
      <w:proofErr w:type="spellStart"/>
      <w:r w:rsidRPr="00346CBB">
        <w:t>interest</w:t>
      </w:r>
      <w:proofErr w:type="spellEnd"/>
      <w:r w:rsidRPr="00346CBB">
        <w:t xml:space="preserve">, </w:t>
      </w:r>
      <w:proofErr w:type="spellStart"/>
      <w:r w:rsidRPr="00346CBB">
        <w:t>taxes</w:t>
      </w:r>
      <w:proofErr w:type="spellEnd"/>
      <w:r w:rsidRPr="00346CBB">
        <w:t xml:space="preserve">, </w:t>
      </w:r>
      <w:proofErr w:type="spellStart"/>
      <w:r w:rsidRPr="00346CBB">
        <w:t>depreciation</w:t>
      </w:r>
      <w:proofErr w:type="spellEnd"/>
      <w:r w:rsidRPr="00346CBB">
        <w:t xml:space="preserve"> and </w:t>
      </w:r>
      <w:proofErr w:type="spellStart"/>
      <w:r w:rsidRPr="00346CBB">
        <w:t>appreciation</w:t>
      </w:r>
      <w:proofErr w:type="spellEnd"/>
      <w:r w:rsidRPr="00346CBB">
        <w:t xml:space="preserve">. På norsk: resultat før av- og nedskriving. Renter inngår ikke i driftsresultat før avskrivninger. Resultatet er driftsresultat etter avskrivninger og renter. </w:t>
      </w:r>
    </w:p>
  </w:footnote>
  <w:footnote w:id="7">
    <w:p w14:paraId="730789E9" w14:textId="5B9D369A" w:rsidR="003953D6" w:rsidRDefault="003953D6" w:rsidP="00CF6BC5">
      <w:pPr>
        <w:pStyle w:val="Fotnotetekst"/>
      </w:pPr>
      <w:r w:rsidRPr="00346CBB">
        <w:rPr>
          <w:rStyle w:val="Fotnotereferanse"/>
        </w:rPr>
        <w:footnoteRef/>
      </w:r>
      <w:r w:rsidRPr="00346CBB">
        <w:tab/>
        <w:t>Investeringer avskrives etter anskaffelseskost. Det må derfor avsettes tilstrekkelig med likviditet til å dekke forskjell mellom historisk kost og gjenanskaffelseskost. I tillegg til å spare opp midler til å dekke prisvekst kan for eksempel økt likviditetsbehov skyldes at teknologisk og medisinsk utvikling ikke gjør det mulig eller riktig å gjenanskaffelse et anleggsmiddel som er identisk med det som må erstattes. Dette innebærer at sykehusene selv uten å øke kapitalbeholdningen, vil være avhengige av et positivt driftsresultat.</w:t>
      </w:r>
    </w:p>
  </w:footnote>
  <w:footnote w:id="8">
    <w:p w14:paraId="2E97DE11" w14:textId="3405BFD6" w:rsidR="003953D6" w:rsidRDefault="003953D6" w:rsidP="00CF6BC5">
      <w:pPr>
        <w:pStyle w:val="Fotnotetekst"/>
      </w:pPr>
      <w:r w:rsidRPr="00346CBB">
        <w:rPr>
          <w:rStyle w:val="Fotnotereferanse"/>
        </w:rPr>
        <w:footnoteRef/>
      </w:r>
      <w:r w:rsidRPr="00346CBB">
        <w:tab/>
        <w:t>Jf. omtale av den statlige låneordningen i kapittel 5.3.</w:t>
      </w:r>
    </w:p>
  </w:footnote>
  <w:footnote w:id="9">
    <w:p w14:paraId="0F51799B" w14:textId="3944A530" w:rsidR="003953D6" w:rsidRDefault="003953D6" w:rsidP="00CF6BC5">
      <w:pPr>
        <w:pStyle w:val="Fotnotetekst"/>
      </w:pPr>
      <w:r w:rsidRPr="00346CBB">
        <w:rPr>
          <w:rStyle w:val="Fotnotereferanse"/>
        </w:rPr>
        <w:footnoteRef/>
      </w:r>
      <w:r w:rsidRPr="00346CBB">
        <w:tab/>
        <w:t>Sum basisramme, aktivitetsbaserte inntekter og andre driftsinntekter spesifisert nærmere i egen note i årsregnskapene til helseforetakene.</w:t>
      </w:r>
    </w:p>
  </w:footnote>
  <w:footnote w:id="10">
    <w:p w14:paraId="40A78B35" w14:textId="1981E3DA" w:rsidR="003953D6" w:rsidRDefault="003953D6" w:rsidP="00CF6BC5">
      <w:pPr>
        <w:pStyle w:val="Fotnotetekst"/>
      </w:pPr>
      <w:r w:rsidRPr="00346CBB">
        <w:rPr>
          <w:rStyle w:val="Fotnotereferanse"/>
        </w:rPr>
        <w:footnoteRef/>
      </w:r>
      <w:r w:rsidRPr="00346CBB">
        <w:tab/>
        <w:t>For investeringsprosjekter over 500 mill. kroner kan de regionale helseforetakene få tilført likviditet i form av investeringslån. Investeringslånene blir bevilget og utbetalt over de årlige statsbudsjettene i takt med framdriften i prosjektene.</w:t>
      </w:r>
    </w:p>
  </w:footnote>
  <w:footnote w:id="11">
    <w:p w14:paraId="345270B7" w14:textId="270EEBA0" w:rsidR="003953D6" w:rsidRDefault="003953D6" w:rsidP="00CF6BC5">
      <w:pPr>
        <w:pStyle w:val="Fotnotetekst"/>
      </w:pPr>
      <w:r w:rsidRPr="00346CBB">
        <w:rPr>
          <w:rStyle w:val="Fotnotereferanse"/>
        </w:rPr>
        <w:footnoteRef/>
      </w:r>
      <w:r w:rsidRPr="00346CBB">
        <w:tab/>
        <w:t xml:space="preserve">Prop. 118 S (2022–2023) </w:t>
      </w:r>
      <w:r w:rsidRPr="00346CBB">
        <w:rPr>
          <w:rStyle w:val="kursiv"/>
        </w:rPr>
        <w:t>Tilleggsbevilgninger og omprioriteringer i statsbudsjettet 2023</w:t>
      </w:r>
      <w:r w:rsidRPr="00346CBB">
        <w:t>.</w:t>
      </w:r>
    </w:p>
  </w:footnote>
  <w:footnote w:id="12">
    <w:p w14:paraId="74887975" w14:textId="02723345" w:rsidR="003953D6" w:rsidRDefault="003953D6" w:rsidP="00CF6BC5">
      <w:pPr>
        <w:pStyle w:val="Fotnotetekst"/>
      </w:pPr>
      <w:r w:rsidRPr="00346CBB">
        <w:rPr>
          <w:rStyle w:val="Fotnotereferanse"/>
        </w:rPr>
        <w:footnoteRef/>
      </w:r>
      <w:r w:rsidRPr="00346CBB">
        <w:tab/>
        <w:t>I statsbudsjettet for 2018 ble det innført en ny rentemodell for investeringslån til de regionale helseforetakene. Rentemodellen ble gjort gjeldende for lån til prosjekter som fikk innvilget låneramme fra og med 2018. Ny rentemodell fra 2018 beregner faste og flytende renter med utgangspunkt i basisrenten, med et fratrekk på 0,5 prosentpoeng. Finanstilsynet fastsetter basisrenter på oppdrag fra Finansdepartementet. Basisrentene er basert på rentebetingelser for boliglån i markedet, og reglene for fastsettelsen finnes i skattelovforskriften. Prosjekter som var innvilget låneramme før 2018, beholdt tidligere modell hvor det er lagt til grunn renten på seks måneders statskasseveksler med et påslag på 0,4 prosentpoeng. Den samme rentemodellen gjelder også for helseforetakenes bruk av driftskreditter. Endringen i 2018 ble i Prop. 1 S (2018–2019) begrunnet med at helseforetakenes rentebetingelser i større grad burde tilpasses øvrige renter i markedet, samt andre statlige låneordninger som Statens pensjonskasse, Husbanken og Lånekassen.</w:t>
      </w:r>
    </w:p>
  </w:footnote>
  <w:footnote w:id="13">
    <w:p w14:paraId="04DA1B48" w14:textId="72257EE2" w:rsidR="003953D6" w:rsidRDefault="003953D6" w:rsidP="00CF6BC5">
      <w:pPr>
        <w:pStyle w:val="Fotnotetekst"/>
      </w:pPr>
      <w:r w:rsidRPr="00346CBB">
        <w:rPr>
          <w:rStyle w:val="Fotnotereferanse"/>
        </w:rPr>
        <w:footnoteRef/>
      </w:r>
      <w:r w:rsidRPr="00346CBB">
        <w:tab/>
        <w:t>Dersom det er mulig å effektivisere driften vil marginalkostnaden strengt tatt være lik null. Estimatet over marginalkostnad forutsetter derfor at det ikke er rom for effektivisering av driften.</w:t>
      </w:r>
    </w:p>
  </w:footnote>
  <w:footnote w:id="14">
    <w:p w14:paraId="3E554584" w14:textId="77777777" w:rsidR="003953D6" w:rsidRDefault="003953D6" w:rsidP="00346CBB">
      <w:pPr>
        <w:pStyle w:val="Fotnotetekst"/>
      </w:pPr>
      <w:r w:rsidRPr="00346CBB">
        <w:rPr>
          <w:rStyle w:val="Fotnotereferanse"/>
        </w:rPr>
        <w:footnoteRef/>
      </w:r>
      <w:r w:rsidRPr="00346CBB">
        <w:tab/>
        <w:t>Oppgaveendringer kan komme med og uten finansiering. Nye oppgaver som ikke finansieres særskilt vil skyve ut eksisterende aktivitet, og kan dermed påvirke marginalkostnadene i sektoren.</w:t>
      </w:r>
    </w:p>
  </w:footnote>
  <w:footnote w:id="15">
    <w:p w14:paraId="2B1E0675" w14:textId="23819360" w:rsidR="003953D6" w:rsidRDefault="003953D6" w:rsidP="00CF6BC5">
      <w:pPr>
        <w:pStyle w:val="Fotnotetekst"/>
      </w:pPr>
      <w:r w:rsidRPr="00346CBB">
        <w:rPr>
          <w:rStyle w:val="Fotnotereferanse"/>
        </w:rPr>
        <w:footnoteRef/>
      </w:r>
      <w:r w:rsidRPr="00346CBB">
        <w:tab/>
        <w:t xml:space="preserve">Veksten i lønnskostnadene er basert på et anslag på lønnsveksten på 4,4 prosent og en beregnet isolert effekt av avviklingen av den ekstra arbeidsgiveravgiften på -0,4 prosentpoeng. </w:t>
      </w:r>
    </w:p>
  </w:footnote>
  <w:footnote w:id="16">
    <w:p w14:paraId="755D20E6" w14:textId="3CFF8A3D" w:rsidR="003953D6" w:rsidRDefault="003953D6" w:rsidP="00CF6BC5">
      <w:pPr>
        <w:pStyle w:val="Fotnotetekst"/>
      </w:pPr>
      <w:r w:rsidRPr="00346CBB">
        <w:rPr>
          <w:rStyle w:val="Fotnotereferanse"/>
        </w:rPr>
        <w:footnoteRef/>
      </w:r>
      <w:r w:rsidRPr="00346CBB">
        <w:tab/>
        <w:t>Kostnadsandeler basert på regnskapsåret 2024 vil foreligge ultimo juni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0"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C91E50"/>
    <w:multiLevelType w:val="multilevel"/>
    <w:tmpl w:val="96E67026"/>
    <w:numStyleLink w:val="RomListeStil"/>
  </w:abstractNum>
  <w:abstractNum w:abstractNumId="22"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3"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8"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0"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1"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3"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4" w15:restartNumberingAfterBreak="0">
    <w:nsid w:val="62A6542F"/>
    <w:multiLevelType w:val="multilevel"/>
    <w:tmpl w:val="96E67026"/>
    <w:numStyleLink w:val="RomListeStil"/>
  </w:abstractNum>
  <w:abstractNum w:abstractNumId="35"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6"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7"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39"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39"/>
  </w:num>
  <w:num w:numId="2" w16cid:durableId="1691493727">
    <w:abstractNumId w:val="32"/>
  </w:num>
  <w:num w:numId="3" w16cid:durableId="701784177">
    <w:abstractNumId w:val="38"/>
  </w:num>
  <w:num w:numId="4" w16cid:durableId="212666145">
    <w:abstractNumId w:val="12"/>
  </w:num>
  <w:num w:numId="5" w16cid:durableId="239825732">
    <w:abstractNumId w:val="16"/>
  </w:num>
  <w:num w:numId="6" w16cid:durableId="1929076049">
    <w:abstractNumId w:val="3"/>
  </w:num>
  <w:num w:numId="7" w16cid:durableId="1067343283">
    <w:abstractNumId w:val="29"/>
  </w:num>
  <w:num w:numId="8" w16cid:durableId="1302341828">
    <w:abstractNumId w:val="25"/>
  </w:num>
  <w:num w:numId="9" w16cid:durableId="695350705">
    <w:abstractNumId w:val="2"/>
  </w:num>
  <w:num w:numId="10" w16cid:durableId="986935666">
    <w:abstractNumId w:val="19"/>
  </w:num>
  <w:num w:numId="11" w16cid:durableId="2074424752">
    <w:abstractNumId w:val="9"/>
  </w:num>
  <w:num w:numId="12" w16cid:durableId="1093283793">
    <w:abstractNumId w:val="10"/>
  </w:num>
  <w:num w:numId="13" w16cid:durableId="1549367804">
    <w:abstractNumId w:val="31"/>
  </w:num>
  <w:num w:numId="14" w16cid:durableId="1789155614">
    <w:abstractNumId w:val="4"/>
  </w:num>
  <w:num w:numId="15" w16cid:durableId="1281376518">
    <w:abstractNumId w:val="15"/>
  </w:num>
  <w:num w:numId="16" w16cid:durableId="1377050693">
    <w:abstractNumId w:val="30"/>
  </w:num>
  <w:num w:numId="17" w16cid:durableId="1122991450">
    <w:abstractNumId w:val="36"/>
  </w:num>
  <w:num w:numId="18" w16cid:durableId="443623288">
    <w:abstractNumId w:val="23"/>
  </w:num>
  <w:num w:numId="19" w16cid:durableId="1958560054">
    <w:abstractNumId w:val="1"/>
  </w:num>
  <w:num w:numId="20" w16cid:durableId="1826507644">
    <w:abstractNumId w:val="21"/>
  </w:num>
  <w:num w:numId="21" w16cid:durableId="1000084717">
    <w:abstractNumId w:val="26"/>
  </w:num>
  <w:num w:numId="22" w16cid:durableId="1881743657">
    <w:abstractNumId w:val="33"/>
  </w:num>
  <w:num w:numId="23" w16cid:durableId="1086027685">
    <w:abstractNumId w:val="37"/>
  </w:num>
  <w:num w:numId="24" w16cid:durableId="1495024277">
    <w:abstractNumId w:val="5"/>
  </w:num>
  <w:num w:numId="25" w16cid:durableId="1004893802">
    <w:abstractNumId w:val="13"/>
  </w:num>
  <w:num w:numId="26" w16cid:durableId="2093314615">
    <w:abstractNumId w:val="28"/>
  </w:num>
  <w:num w:numId="27" w16cid:durableId="2061443347">
    <w:abstractNumId w:val="7"/>
  </w:num>
  <w:num w:numId="28" w16cid:durableId="615912939">
    <w:abstractNumId w:val="27"/>
  </w:num>
  <w:num w:numId="29" w16cid:durableId="116336904">
    <w:abstractNumId w:val="0"/>
  </w:num>
  <w:num w:numId="30" w16cid:durableId="1790126119">
    <w:abstractNumId w:val="20"/>
  </w:num>
  <w:num w:numId="31" w16cid:durableId="2096172467">
    <w:abstractNumId w:val="6"/>
  </w:num>
  <w:num w:numId="32" w16cid:durableId="513425096">
    <w:abstractNumId w:val="11"/>
  </w:num>
  <w:num w:numId="33" w16cid:durableId="1733311814">
    <w:abstractNumId w:val="24"/>
  </w:num>
  <w:num w:numId="34" w16cid:durableId="1792362062">
    <w:abstractNumId w:val="35"/>
  </w:num>
  <w:num w:numId="35" w16cid:durableId="257954137">
    <w:abstractNumId w:val="14"/>
  </w:num>
  <w:num w:numId="36" w16cid:durableId="394938225">
    <w:abstractNumId w:val="17"/>
  </w:num>
  <w:num w:numId="37" w16cid:durableId="1167212603">
    <w:abstractNumId w:val="8"/>
  </w:num>
  <w:num w:numId="38" w16cid:durableId="653216016">
    <w:abstractNumId w:val="18"/>
  </w:num>
  <w:num w:numId="39" w16cid:durableId="413403540">
    <w:abstractNumId w:val="22"/>
  </w:num>
  <w:num w:numId="40" w16cid:durableId="1233008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8893458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551225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798906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18783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551466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66297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HOD\Andre\HOD_1058_TBS 2025\05_SLUTTFORMATER\KJERNE-r.no\Forside.jpg"/>
    <w:docVar w:name="W2KpdfPath" w:val="X:\FILLAGER\HOD\Andre\HOD_1058_TBS 2025\05_SLUTTFORMATER\KJERNE-r.no\Notat fra Teknisk beregningsutvalg for spesialisthelsetjenestens økonomi.pdf"/>
  </w:docVars>
  <w:rsids>
    <w:rsidRoot w:val="005D3A3C"/>
    <w:rsid w:val="0018742E"/>
    <w:rsid w:val="00283682"/>
    <w:rsid w:val="00346CBB"/>
    <w:rsid w:val="003953D6"/>
    <w:rsid w:val="00435C48"/>
    <w:rsid w:val="005D3A3C"/>
    <w:rsid w:val="006C108D"/>
    <w:rsid w:val="00705B36"/>
    <w:rsid w:val="009B28A1"/>
    <w:rsid w:val="009F4D75"/>
    <w:rsid w:val="00A4769D"/>
    <w:rsid w:val="00BE7760"/>
    <w:rsid w:val="00C9271A"/>
    <w:rsid w:val="00CF6BC5"/>
    <w:rsid w:val="00DA22E8"/>
    <w:rsid w:val="00DA60DA"/>
    <w:rsid w:val="00DC039C"/>
    <w:rsid w:val="00F14F31"/>
    <w:rsid w:val="00FB149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077C968"/>
  <w14:defaultImageDpi w14:val="0"/>
  <w15:docId w15:val="{46F595FF-B256-43FB-8240-47AB09DF4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8A1"/>
    <w:pPr>
      <w:spacing w:before="100" w:line="288" w:lineRule="auto"/>
    </w:pPr>
    <w:rPr>
      <w:rFonts w:ascii="Open Sans" w:eastAsia="Times New Roman" w:hAnsi="Open Sans"/>
      <w:kern w:val="0"/>
      <w:sz w:val="22"/>
      <w:szCs w:val="22"/>
      <w14:ligatures w14:val="none"/>
    </w:rPr>
  </w:style>
  <w:style w:type="paragraph" w:styleId="Overskrift1">
    <w:name w:val="heading 1"/>
    <w:next w:val="Normal"/>
    <w:link w:val="Overskrift1Tegn"/>
    <w:qFormat/>
    <w:rsid w:val="009B28A1"/>
    <w:pPr>
      <w:keepNext/>
      <w:keepLines/>
      <w:numPr>
        <w:numId w:val="20"/>
      </w:numPr>
      <w:spacing w:before="300" w:after="100" w:line="259" w:lineRule="auto"/>
      <w:outlineLvl w:val="0"/>
    </w:pPr>
    <w:rPr>
      <w:rFonts w:ascii="Open Sans" w:eastAsia="Times New Roman" w:hAnsi="Open Sans"/>
      <w:b/>
      <w:kern w:val="28"/>
      <w:sz w:val="32"/>
      <w:szCs w:val="22"/>
      <w14:ligatures w14:val="none"/>
    </w:rPr>
  </w:style>
  <w:style w:type="paragraph" w:styleId="Overskrift2">
    <w:name w:val="heading 2"/>
    <w:basedOn w:val="Overskrift1"/>
    <w:next w:val="Normal"/>
    <w:link w:val="Overskrift2Tegn"/>
    <w:qFormat/>
    <w:rsid w:val="009B28A1"/>
    <w:pPr>
      <w:numPr>
        <w:ilvl w:val="1"/>
      </w:numPr>
      <w:spacing w:before="240"/>
      <w:outlineLvl w:val="1"/>
    </w:pPr>
    <w:rPr>
      <w:spacing w:val="4"/>
      <w:sz w:val="28"/>
    </w:rPr>
  </w:style>
  <w:style w:type="paragraph" w:styleId="Overskrift3">
    <w:name w:val="heading 3"/>
    <w:basedOn w:val="Normal"/>
    <w:next w:val="Normal"/>
    <w:link w:val="Overskrift3Tegn"/>
    <w:qFormat/>
    <w:rsid w:val="009B28A1"/>
    <w:pPr>
      <w:keepNext/>
      <w:keepLines/>
      <w:numPr>
        <w:ilvl w:val="2"/>
        <w:numId w:val="20"/>
      </w:numPr>
      <w:spacing w:before="240" w:after="100"/>
      <w:outlineLvl w:val="2"/>
    </w:pPr>
    <w:rPr>
      <w:b/>
    </w:rPr>
  </w:style>
  <w:style w:type="paragraph" w:styleId="Overskrift4">
    <w:name w:val="heading 4"/>
    <w:basedOn w:val="Overskrift1"/>
    <w:next w:val="Normal"/>
    <w:link w:val="Overskrift4Tegn"/>
    <w:qFormat/>
    <w:rsid w:val="009B28A1"/>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9B28A1"/>
    <w:pPr>
      <w:numPr>
        <w:ilvl w:val="4"/>
      </w:numPr>
      <w:spacing w:before="200"/>
      <w:outlineLvl w:val="4"/>
    </w:pPr>
    <w:rPr>
      <w:b w:val="0"/>
      <w:sz w:val="22"/>
    </w:rPr>
  </w:style>
  <w:style w:type="paragraph" w:styleId="Overskrift6">
    <w:name w:val="heading 6"/>
    <w:basedOn w:val="Normal"/>
    <w:next w:val="Normal"/>
    <w:link w:val="Overskrift6Tegn"/>
    <w:qFormat/>
    <w:rsid w:val="009B28A1"/>
    <w:pPr>
      <w:numPr>
        <w:ilvl w:val="5"/>
        <w:numId w:val="1"/>
      </w:numPr>
      <w:spacing w:before="240" w:after="60"/>
      <w:outlineLvl w:val="5"/>
    </w:pPr>
    <w:rPr>
      <w:i/>
    </w:rPr>
  </w:style>
  <w:style w:type="paragraph" w:styleId="Overskrift7">
    <w:name w:val="heading 7"/>
    <w:basedOn w:val="Normal"/>
    <w:next w:val="Normal"/>
    <w:link w:val="Overskrift7Tegn"/>
    <w:qFormat/>
    <w:rsid w:val="009B28A1"/>
    <w:pPr>
      <w:numPr>
        <w:ilvl w:val="6"/>
        <w:numId w:val="1"/>
      </w:numPr>
      <w:spacing w:before="240" w:after="60"/>
      <w:outlineLvl w:val="6"/>
    </w:pPr>
  </w:style>
  <w:style w:type="paragraph" w:styleId="Overskrift8">
    <w:name w:val="heading 8"/>
    <w:basedOn w:val="Normal"/>
    <w:next w:val="Normal"/>
    <w:link w:val="Overskrift8Tegn"/>
    <w:qFormat/>
    <w:rsid w:val="009B28A1"/>
    <w:pPr>
      <w:numPr>
        <w:ilvl w:val="7"/>
        <w:numId w:val="1"/>
      </w:numPr>
      <w:spacing w:before="240" w:after="60"/>
      <w:outlineLvl w:val="7"/>
    </w:pPr>
    <w:rPr>
      <w:i/>
    </w:rPr>
  </w:style>
  <w:style w:type="paragraph" w:styleId="Overskrift9">
    <w:name w:val="heading 9"/>
    <w:basedOn w:val="Normal"/>
    <w:next w:val="Normal"/>
    <w:link w:val="Overskrift9Tegn"/>
    <w:qFormat/>
    <w:rsid w:val="009B28A1"/>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9B28A1"/>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B28A1"/>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kern w:val="0"/>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9B28A1"/>
    <w:pPr>
      <w:spacing w:before="80"/>
    </w:pPr>
    <w:rPr>
      <w:sz w:val="48"/>
      <w:szCs w:val="48"/>
    </w:rPr>
  </w:style>
  <w:style w:type="paragraph" w:styleId="Undertittel">
    <w:name w:val="Subtitle"/>
    <w:basedOn w:val="Overskrift1"/>
    <w:next w:val="Normal"/>
    <w:link w:val="UndertittelTegn"/>
    <w:qFormat/>
    <w:rsid w:val="009B28A1"/>
    <w:pPr>
      <w:numPr>
        <w:numId w:val="0"/>
      </w:numPr>
      <w:spacing w:before="240"/>
      <w:outlineLvl w:val="9"/>
    </w:pPr>
    <w:rPr>
      <w:spacing w:val="4"/>
      <w:sz w:val="28"/>
    </w:rPr>
  </w:style>
  <w:style w:type="character" w:customStyle="1" w:styleId="UndertittelTegn">
    <w:name w:val="Undertittel Tegn"/>
    <w:basedOn w:val="Standardskriftforavsnitt"/>
    <w:link w:val="Undertittel"/>
    <w:rsid w:val="009B28A1"/>
    <w:rPr>
      <w:rFonts w:ascii="Open Sans" w:eastAsia="Times New Roman" w:hAnsi="Open Sans"/>
      <w:b/>
      <w:spacing w:val="4"/>
      <w:kern w:val="28"/>
      <w:sz w:val="28"/>
      <w:szCs w:val="22"/>
      <w14:ligatures w14:val="none"/>
    </w:rPr>
  </w:style>
  <w:style w:type="character" w:customStyle="1" w:styleId="Overskrift1Tegn">
    <w:name w:val="Overskrift 1 Tegn"/>
    <w:basedOn w:val="Standardskriftforavsnitt"/>
    <w:link w:val="Overskrift1"/>
    <w:rsid w:val="009B28A1"/>
    <w:rPr>
      <w:rFonts w:ascii="Open Sans" w:eastAsia="Times New Roman" w:hAnsi="Open Sans"/>
      <w:b/>
      <w:kern w:val="28"/>
      <w:sz w:val="32"/>
      <w:szCs w:val="22"/>
      <w14:ligatures w14:val="none"/>
    </w:rPr>
  </w:style>
  <w:style w:type="character" w:customStyle="1" w:styleId="Overskrift2Tegn">
    <w:name w:val="Overskrift 2 Tegn"/>
    <w:basedOn w:val="Standardskriftforavsnitt"/>
    <w:link w:val="Overskrift2"/>
    <w:rsid w:val="009B28A1"/>
    <w:rPr>
      <w:rFonts w:ascii="Open Sans" w:eastAsia="Times New Roman" w:hAnsi="Open Sans"/>
      <w:b/>
      <w:spacing w:val="4"/>
      <w:kern w:val="28"/>
      <w:sz w:val="28"/>
      <w:szCs w:val="22"/>
      <w14:ligatures w14:val="none"/>
    </w:rPr>
  </w:style>
  <w:style w:type="paragraph" w:customStyle="1" w:styleId="Normal--start">
    <w:name w:val="Normal--start"/>
    <w:basedOn w:val="Normal"/>
    <w:next w:val="Normal"/>
    <w:uiPriority w:val="99"/>
    <w:pPr>
      <w:spacing w:before="0"/>
    </w:pPr>
  </w:style>
  <w:style w:type="paragraph" w:styleId="Liste">
    <w:name w:val="List"/>
    <w:basedOn w:val="Nummerertliste"/>
    <w:qFormat/>
    <w:rsid w:val="009B28A1"/>
    <w:pPr>
      <w:numPr>
        <w:numId w:val="21"/>
      </w:numPr>
      <w:ind w:left="397" w:hanging="397"/>
      <w:contextualSpacing/>
    </w:pPr>
    <w:rPr>
      <w:spacing w:val="4"/>
    </w:rPr>
  </w:style>
  <w:style w:type="paragraph" w:customStyle="1" w:styleId="avsnitt-undertittel">
    <w:name w:val="avsnitt-undertittel"/>
    <w:basedOn w:val="Undertittel"/>
    <w:next w:val="Normal"/>
    <w:rsid w:val="009B28A1"/>
    <w:pPr>
      <w:spacing w:line="240" w:lineRule="auto"/>
    </w:pPr>
    <w:rPr>
      <w:rFonts w:eastAsia="Batang"/>
      <w:b w:val="0"/>
      <w:i/>
      <w:sz w:val="24"/>
      <w:szCs w:val="20"/>
    </w:rPr>
  </w:style>
  <w:style w:type="paragraph" w:customStyle="1" w:styleId="tabell-tittel">
    <w:name w:val="tabell-tittel"/>
    <w:basedOn w:val="Normal"/>
    <w:next w:val="Normal"/>
    <w:rsid w:val="009B28A1"/>
    <w:pPr>
      <w:keepNext/>
      <w:keepLines/>
      <w:numPr>
        <w:ilvl w:val="6"/>
        <w:numId w:val="20"/>
      </w:numPr>
      <w:spacing w:before="240"/>
    </w:pPr>
    <w:rPr>
      <w:spacing w:val="4"/>
      <w:sz w:val="28"/>
    </w:rPr>
  </w:style>
  <w:style w:type="paragraph" w:customStyle="1" w:styleId="Kilde">
    <w:name w:val="Kilde"/>
    <w:basedOn w:val="Normal"/>
    <w:next w:val="Normal"/>
    <w:rsid w:val="009B28A1"/>
    <w:pPr>
      <w:spacing w:after="240"/>
    </w:pPr>
    <w:rPr>
      <w:spacing w:val="4"/>
    </w:rPr>
  </w:style>
  <w:style w:type="paragraph" w:customStyle="1" w:styleId="figur-noter">
    <w:name w:val="figur-noter"/>
    <w:basedOn w:val="Kilde"/>
    <w:next w:val="Normal"/>
    <w:uiPriority w:val="99"/>
    <w:pPr>
      <w:tabs>
        <w:tab w:val="left" w:pos="170"/>
      </w:tabs>
    </w:pPr>
  </w:style>
  <w:style w:type="paragraph" w:customStyle="1" w:styleId="Note">
    <w:name w:val="Note"/>
    <w:basedOn w:val="Normal"/>
    <w:qFormat/>
    <w:rsid w:val="009B28A1"/>
  </w:style>
  <w:style w:type="paragraph" w:customStyle="1" w:styleId="figur-tittel">
    <w:name w:val="figur-tittel"/>
    <w:basedOn w:val="Normal"/>
    <w:next w:val="Normal"/>
    <w:rsid w:val="009B28A1"/>
    <w:pPr>
      <w:numPr>
        <w:ilvl w:val="5"/>
        <w:numId w:val="20"/>
      </w:numPr>
    </w:pPr>
    <w:rPr>
      <w:spacing w:val="4"/>
      <w:sz w:val="28"/>
    </w:rPr>
  </w:style>
  <w:style w:type="paragraph" w:customStyle="1" w:styleId="avsnitt-tittel">
    <w:name w:val="avsnitt-tittel"/>
    <w:basedOn w:val="Undertittel"/>
    <w:next w:val="Normal"/>
    <w:rsid w:val="009B28A1"/>
    <w:rPr>
      <w:b w:val="0"/>
    </w:rPr>
  </w:style>
  <w:style w:type="paragraph" w:customStyle="1" w:styleId="blokksit">
    <w:name w:val="blokksit"/>
    <w:basedOn w:val="Normal"/>
    <w:autoRedefine/>
    <w:qFormat/>
    <w:rsid w:val="009B28A1"/>
    <w:pPr>
      <w:spacing w:line="240" w:lineRule="auto"/>
      <w:ind w:left="397"/>
    </w:pPr>
    <w:rPr>
      <w:spacing w:val="-2"/>
    </w:rPr>
  </w:style>
  <w:style w:type="paragraph" w:customStyle="1" w:styleId="UnOverskrift1">
    <w:name w:val="UnOverskrift 1"/>
    <w:basedOn w:val="Overskrift1"/>
    <w:next w:val="Normal"/>
    <w:qFormat/>
    <w:rsid w:val="009B28A1"/>
    <w:pPr>
      <w:numPr>
        <w:numId w:val="0"/>
      </w:numPr>
    </w:pPr>
  </w:style>
  <w:style w:type="paragraph" w:customStyle="1" w:styleId="opplisting">
    <w:name w:val="opplisting"/>
    <w:basedOn w:val="Liste"/>
    <w:qFormat/>
    <w:rsid w:val="009B28A1"/>
    <w:pPr>
      <w:numPr>
        <w:numId w:val="0"/>
      </w:numPr>
      <w:tabs>
        <w:tab w:val="left" w:pos="397"/>
      </w:tabs>
    </w:pPr>
    <w:rPr>
      <w:rFonts w:cs="Times New Roman"/>
    </w:rPr>
  </w:style>
  <w:style w:type="paragraph" w:customStyle="1" w:styleId="UnOverskrift2">
    <w:name w:val="UnOverskrift 2"/>
    <w:basedOn w:val="Overskrift2"/>
    <w:next w:val="Normal"/>
    <w:qFormat/>
    <w:rsid w:val="009B28A1"/>
    <w:pPr>
      <w:numPr>
        <w:ilvl w:val="0"/>
        <w:numId w:val="0"/>
      </w:numPr>
    </w:pPr>
  </w:style>
  <w:style w:type="paragraph" w:customStyle="1" w:styleId="tabell-noter">
    <w:name w:val="tabell-noter"/>
    <w:basedOn w:val="figur-noter"/>
    <w:next w:val="Normal"/>
    <w:uiPriority w:val="99"/>
    <w:pPr>
      <w:spacing w:after="113"/>
    </w:pPr>
  </w:style>
  <w:style w:type="paragraph" w:customStyle="1" w:styleId="UnOverskrift3">
    <w:name w:val="UnOverskrift 3"/>
    <w:basedOn w:val="Overskrift3"/>
    <w:next w:val="Normal"/>
    <w:qFormat/>
    <w:rsid w:val="009B28A1"/>
    <w:pPr>
      <w:numPr>
        <w:ilvl w:val="0"/>
        <w:numId w:val="0"/>
      </w:numPr>
    </w:pPr>
  </w:style>
  <w:style w:type="character" w:customStyle="1" w:styleId="Overskrift4Tegn">
    <w:name w:val="Overskrift 4 Tegn"/>
    <w:basedOn w:val="Standardskriftforavsnitt"/>
    <w:link w:val="Overskrift4"/>
    <w:rsid w:val="009B28A1"/>
    <w:rPr>
      <w:rFonts w:ascii="Open Sans" w:eastAsia="Times New Roman" w:hAnsi="Open Sans"/>
      <w:i/>
      <w:spacing w:val="4"/>
      <w:kern w:val="28"/>
      <w:sz w:val="22"/>
      <w:szCs w:val="22"/>
      <w14:ligatures w14:val="none"/>
    </w:rPr>
  </w:style>
  <w:style w:type="paragraph" w:customStyle="1" w:styleId="UnOverskrift4">
    <w:name w:val="UnOverskrift 4"/>
    <w:basedOn w:val="Overskrift4"/>
    <w:next w:val="Normal"/>
    <w:qFormat/>
    <w:rsid w:val="009B28A1"/>
    <w:pPr>
      <w:numPr>
        <w:ilvl w:val="0"/>
        <w:numId w:val="0"/>
      </w:numPr>
    </w:pPr>
  </w:style>
  <w:style w:type="paragraph" w:styleId="Fotnotetekst">
    <w:name w:val="footnote text"/>
    <w:basedOn w:val="Normal"/>
    <w:link w:val="FotnotetekstTegn"/>
    <w:rsid w:val="009B28A1"/>
    <w:rPr>
      <w:spacing w:val="4"/>
    </w:rPr>
  </w:style>
  <w:style w:type="character" w:customStyle="1" w:styleId="FotnotetekstTegn">
    <w:name w:val="Fotnotetekst Tegn"/>
    <w:basedOn w:val="Standardskriftforavsnitt"/>
    <w:link w:val="Fotnotetekst"/>
    <w:rsid w:val="009B28A1"/>
    <w:rPr>
      <w:rFonts w:ascii="Open Sans" w:eastAsia="Times New Roman" w:hAnsi="Open Sans"/>
      <w:spacing w:val="4"/>
      <w:kern w:val="0"/>
      <w:sz w:val="22"/>
      <w:szCs w:val="22"/>
      <w14:ligatures w14:val="none"/>
    </w:rPr>
  </w:style>
  <w:style w:type="paragraph" w:customStyle="1" w:styleId="TabellHode-kolonne">
    <w:name w:val="TabellHode-kolonne"/>
    <w:basedOn w:val="TabellHode-rad"/>
    <w:qFormat/>
    <w:rsid w:val="009B28A1"/>
    <w:pPr>
      <w:shd w:val="clear" w:color="auto" w:fill="C1E4F5" w:themeFill="accent1" w:themeFillTint="33"/>
    </w:pPr>
  </w:style>
  <w:style w:type="paragraph" w:customStyle="1" w:styleId="tittel-ramme">
    <w:name w:val="tittel-ramme"/>
    <w:basedOn w:val="Normal"/>
    <w:next w:val="Normal"/>
    <w:rsid w:val="009B28A1"/>
    <w:pPr>
      <w:keepNext/>
      <w:keepLines/>
      <w:numPr>
        <w:ilvl w:val="7"/>
        <w:numId w:val="20"/>
      </w:numPr>
      <w:spacing w:before="360" w:after="80"/>
      <w:jc w:val="center"/>
    </w:pPr>
    <w:rPr>
      <w:b/>
      <w:spacing w:val="4"/>
      <w:sz w:val="24"/>
    </w:rPr>
  </w:style>
  <w:style w:type="paragraph" w:customStyle="1" w:styleId="TabellHode-rad">
    <w:name w:val="TabellHode-rad"/>
    <w:basedOn w:val="Normal"/>
    <w:qFormat/>
    <w:rsid w:val="009B28A1"/>
    <w:pPr>
      <w:shd w:val="clear" w:color="auto" w:fill="D9F2D0" w:themeFill="accent6" w:themeFillTint="33"/>
    </w:pPr>
  </w:style>
  <w:style w:type="paragraph" w:customStyle="1" w:styleId="TabellNormalHyre">
    <w:name w:val="Tabell_Normal_Høyre"/>
    <w:basedOn w:val="Normal"/>
    <w:uiPriority w:val="99"/>
    <w:pPr>
      <w:suppressAutoHyphens/>
      <w:spacing w:line="220" w:lineRule="atLeast"/>
      <w:jc w:val="right"/>
    </w:pPr>
    <w:rPr>
      <w:sz w:val="18"/>
      <w:szCs w:val="18"/>
    </w:rPr>
  </w:style>
  <w:style w:type="paragraph" w:customStyle="1" w:styleId="TabellNormalVenstre">
    <w:name w:val="Tabell_Normal_Venstre"/>
    <w:basedOn w:val="TabellNormalHyre"/>
    <w:uiPriority w:val="99"/>
    <w:pPr>
      <w:jc w:val="left"/>
    </w:pPr>
  </w:style>
  <w:style w:type="character" w:customStyle="1" w:styleId="Overskrift3Tegn">
    <w:name w:val="Overskrift 3 Tegn"/>
    <w:basedOn w:val="Standardskriftforavsnitt"/>
    <w:link w:val="Overskrift3"/>
    <w:rsid w:val="009B28A1"/>
    <w:rPr>
      <w:rFonts w:ascii="Open Sans" w:eastAsia="Times New Roman" w:hAnsi="Open Sans"/>
      <w:b/>
      <w:kern w:val="0"/>
      <w:sz w:val="22"/>
      <w:szCs w:val="22"/>
      <w14:ligatures w14:val="none"/>
    </w:rPr>
  </w:style>
  <w:style w:type="character" w:customStyle="1" w:styleId="kursiv">
    <w:name w:val="kursiv"/>
    <w:basedOn w:val="Standardskriftforavsnitt"/>
    <w:rsid w:val="009B28A1"/>
    <w:rPr>
      <w:i/>
    </w:rPr>
  </w:style>
  <w:style w:type="character" w:styleId="Hyperkobling">
    <w:name w:val="Hyperlink"/>
    <w:basedOn w:val="Standardskriftforavsnitt"/>
    <w:uiPriority w:val="99"/>
    <w:unhideWhenUsed/>
    <w:rsid w:val="009B28A1"/>
    <w:rPr>
      <w:color w:val="467886" w:themeColor="hyperlink"/>
      <w:u w:val="single"/>
    </w:rPr>
  </w:style>
  <w:style w:type="character" w:customStyle="1" w:styleId="skrift-hevet">
    <w:name w:val="skrift-hevet"/>
    <w:basedOn w:val="Standardskriftforavsnitt"/>
    <w:rsid w:val="009B28A1"/>
    <w:rPr>
      <w:sz w:val="20"/>
      <w:vertAlign w:val="superscript"/>
    </w:rPr>
  </w:style>
  <w:style w:type="character" w:customStyle="1" w:styleId="Red">
    <w:name w:val="Red"/>
    <w:uiPriority w:val="99"/>
    <w:rPr>
      <w:color w:val="FF474C"/>
    </w:rPr>
  </w:style>
  <w:style w:type="character" w:customStyle="1" w:styleId="Blaa">
    <w:name w:val="Blaa"/>
    <w:basedOn w:val="Red"/>
    <w:uiPriority w:val="99"/>
    <w:rPr>
      <w:color w:val="0087A3"/>
    </w:rPr>
  </w:style>
  <w:style w:type="character" w:customStyle="1" w:styleId="halvfet">
    <w:name w:val="halvfet"/>
    <w:basedOn w:val="Standardskriftforavsnitt"/>
    <w:rsid w:val="009B28A1"/>
    <w:rPr>
      <w:b/>
    </w:rPr>
  </w:style>
  <w:style w:type="character" w:customStyle="1" w:styleId="Cerise">
    <w:name w:val="Cerise"/>
    <w:uiPriority w:val="99"/>
    <w:rPr>
      <w:color w:val="C60AFF"/>
    </w:rPr>
  </w:style>
  <w:style w:type="character" w:customStyle="1" w:styleId="Hyperkoblingcerise">
    <w:name w:val="Hyperkobling cerise"/>
    <w:uiPriority w:val="99"/>
    <w:rPr>
      <w:rFonts w:ascii="Open Sans" w:hAnsi="Open Sans" w:cs="Open Sans"/>
      <w:color w:val="C60AFF"/>
      <w:w w:val="100"/>
      <w:u w:val="thick"/>
    </w:rPr>
  </w:style>
  <w:style w:type="character" w:customStyle="1" w:styleId="WordImportedListStyle2StylesforWordRTFImportedLists">
    <w:name w:val="Word Imported List Style2 (Styles for Word/RTF Imported Lists)"/>
    <w:uiPriority w:val="99"/>
    <w:rPr>
      <w:w w:val="100"/>
    </w:rPr>
  </w:style>
  <w:style w:type="character" w:customStyle="1" w:styleId="Overskrift5Tegn">
    <w:name w:val="Overskrift 5 Tegn"/>
    <w:basedOn w:val="Standardskriftforavsnitt"/>
    <w:link w:val="Overskrift5"/>
    <w:rsid w:val="009B28A1"/>
    <w:rPr>
      <w:rFonts w:ascii="Open Sans" w:eastAsia="Times New Roman" w:hAnsi="Open Sans"/>
      <w:kern w:val="28"/>
      <w:sz w:val="22"/>
      <w:szCs w:val="22"/>
      <w14:ligatures w14:val="none"/>
    </w:rPr>
  </w:style>
  <w:style w:type="character" w:customStyle="1" w:styleId="Overskrift6Tegn">
    <w:name w:val="Overskrift 6 Tegn"/>
    <w:basedOn w:val="Standardskriftforavsnitt"/>
    <w:link w:val="Overskrift6"/>
    <w:rsid w:val="009B28A1"/>
    <w:rPr>
      <w:rFonts w:ascii="Open Sans" w:eastAsia="Times New Roman" w:hAnsi="Open Sans"/>
      <w:i/>
      <w:kern w:val="0"/>
      <w:sz w:val="22"/>
      <w:szCs w:val="22"/>
      <w14:ligatures w14:val="none"/>
    </w:rPr>
  </w:style>
  <w:style w:type="character" w:customStyle="1" w:styleId="Overskrift7Tegn">
    <w:name w:val="Overskrift 7 Tegn"/>
    <w:basedOn w:val="Standardskriftforavsnitt"/>
    <w:link w:val="Overskrift7"/>
    <w:rsid w:val="009B28A1"/>
    <w:rPr>
      <w:rFonts w:ascii="Open Sans" w:eastAsia="Times New Roman" w:hAnsi="Open Sans"/>
      <w:kern w:val="0"/>
      <w:sz w:val="22"/>
      <w:szCs w:val="22"/>
      <w14:ligatures w14:val="none"/>
    </w:rPr>
  </w:style>
  <w:style w:type="character" w:customStyle="1" w:styleId="Overskrift8Tegn">
    <w:name w:val="Overskrift 8 Tegn"/>
    <w:basedOn w:val="Standardskriftforavsnitt"/>
    <w:link w:val="Overskrift8"/>
    <w:rsid w:val="009B28A1"/>
    <w:rPr>
      <w:rFonts w:ascii="Open Sans" w:eastAsia="Times New Roman" w:hAnsi="Open Sans"/>
      <w:i/>
      <w:kern w:val="0"/>
      <w:sz w:val="22"/>
      <w:szCs w:val="22"/>
      <w14:ligatures w14:val="none"/>
    </w:rPr>
  </w:style>
  <w:style w:type="character" w:customStyle="1" w:styleId="Overskrift9Tegn">
    <w:name w:val="Overskrift 9 Tegn"/>
    <w:basedOn w:val="Standardskriftforavsnitt"/>
    <w:link w:val="Overskrift9"/>
    <w:rsid w:val="009B28A1"/>
    <w:rPr>
      <w:rFonts w:ascii="Open Sans" w:eastAsia="Times New Roman" w:hAnsi="Open Sans"/>
      <w:b/>
      <w:i/>
      <w:kern w:val="0"/>
      <w:sz w:val="18"/>
      <w:szCs w:val="22"/>
      <w14:ligatures w14:val="none"/>
    </w:rPr>
  </w:style>
  <w:style w:type="paragraph" w:customStyle="1" w:styleId="alfaliste">
    <w:name w:val="alfaliste"/>
    <w:basedOn w:val="Nummerertliste"/>
    <w:rsid w:val="009B28A1"/>
    <w:pPr>
      <w:numPr>
        <w:numId w:val="45"/>
      </w:numPr>
    </w:pPr>
    <w:rPr>
      <w:spacing w:val="4"/>
    </w:rPr>
  </w:style>
  <w:style w:type="paragraph" w:customStyle="1" w:styleId="alfaliste2">
    <w:name w:val="alfaliste 2"/>
    <w:basedOn w:val="alfaliste"/>
    <w:next w:val="alfaliste"/>
    <w:rsid w:val="009B28A1"/>
    <w:pPr>
      <w:numPr>
        <w:numId w:val="26"/>
      </w:numPr>
    </w:pPr>
  </w:style>
  <w:style w:type="paragraph" w:customStyle="1" w:styleId="alfaliste3">
    <w:name w:val="alfaliste 3"/>
    <w:basedOn w:val="alfaliste"/>
    <w:autoRedefine/>
    <w:qFormat/>
    <w:rsid w:val="009B28A1"/>
    <w:pPr>
      <w:numPr>
        <w:numId w:val="32"/>
      </w:numPr>
    </w:pPr>
  </w:style>
  <w:style w:type="paragraph" w:customStyle="1" w:styleId="alfaliste4">
    <w:name w:val="alfaliste 4"/>
    <w:basedOn w:val="alfaliste"/>
    <w:qFormat/>
    <w:rsid w:val="009B28A1"/>
    <w:pPr>
      <w:numPr>
        <w:numId w:val="33"/>
      </w:numPr>
      <w:ind w:left="1588" w:hanging="397"/>
    </w:pPr>
  </w:style>
  <w:style w:type="paragraph" w:customStyle="1" w:styleId="alfaliste5">
    <w:name w:val="alfaliste 5"/>
    <w:basedOn w:val="alfaliste"/>
    <w:qFormat/>
    <w:rsid w:val="009B28A1"/>
    <w:pPr>
      <w:numPr>
        <w:numId w:val="34"/>
      </w:numPr>
      <w:ind w:left="1985" w:hanging="397"/>
    </w:pPr>
  </w:style>
  <w:style w:type="paragraph" w:customStyle="1" w:styleId="avsnitt-under-undertittel">
    <w:name w:val="avsnitt-under-undertittel"/>
    <w:basedOn w:val="Undertittel"/>
    <w:next w:val="Normal"/>
    <w:rsid w:val="009B28A1"/>
    <w:pPr>
      <w:spacing w:line="240" w:lineRule="auto"/>
    </w:pPr>
    <w:rPr>
      <w:rFonts w:eastAsia="Batang"/>
      <w:b w:val="0"/>
      <w:i/>
      <w:sz w:val="22"/>
      <w:szCs w:val="20"/>
    </w:rPr>
  </w:style>
  <w:style w:type="paragraph" w:customStyle="1" w:styleId="Def">
    <w:name w:val="Def"/>
    <w:basedOn w:val="Normal"/>
    <w:qFormat/>
    <w:rsid w:val="009B28A1"/>
  </w:style>
  <w:style w:type="paragraph" w:customStyle="1" w:styleId="figur-beskr">
    <w:name w:val="figur-beskr"/>
    <w:basedOn w:val="Normal"/>
    <w:next w:val="Normal"/>
    <w:rsid w:val="009B28A1"/>
    <w:rPr>
      <w:spacing w:val="4"/>
    </w:rPr>
  </w:style>
  <w:style w:type="paragraph" w:customStyle="1" w:styleId="hengende-innrykk">
    <w:name w:val="hengende-innrykk"/>
    <w:basedOn w:val="Normal"/>
    <w:next w:val="Normal"/>
    <w:rsid w:val="009B28A1"/>
    <w:pPr>
      <w:ind w:left="1418" w:hanging="1418"/>
    </w:pPr>
    <w:rPr>
      <w:spacing w:val="4"/>
    </w:rPr>
  </w:style>
  <w:style w:type="character" w:customStyle="1" w:styleId="l-endring">
    <w:name w:val="l-endring"/>
    <w:basedOn w:val="Standardskriftforavsnitt"/>
    <w:rsid w:val="009B28A1"/>
    <w:rPr>
      <w:i/>
    </w:rPr>
  </w:style>
  <w:style w:type="paragraph" w:customStyle="1" w:styleId="l-lovdeltit">
    <w:name w:val="l-lovdeltit"/>
    <w:basedOn w:val="Normal"/>
    <w:next w:val="Normal"/>
    <w:rsid w:val="009B28A1"/>
    <w:pPr>
      <w:keepNext/>
      <w:spacing w:before="120" w:after="60"/>
    </w:pPr>
    <w:rPr>
      <w:b/>
    </w:rPr>
  </w:style>
  <w:style w:type="paragraph" w:customStyle="1" w:styleId="l-lovkap">
    <w:name w:val="l-lovkap"/>
    <w:basedOn w:val="Normal"/>
    <w:next w:val="Normal"/>
    <w:rsid w:val="009B28A1"/>
    <w:pPr>
      <w:keepNext/>
      <w:spacing w:before="240" w:after="40"/>
    </w:pPr>
    <w:rPr>
      <w:b/>
      <w:spacing w:val="4"/>
    </w:rPr>
  </w:style>
  <w:style w:type="paragraph" w:customStyle="1" w:styleId="l-lovtit">
    <w:name w:val="l-lovtit"/>
    <w:basedOn w:val="Normal"/>
    <w:next w:val="Normal"/>
    <w:rsid w:val="009B28A1"/>
    <w:pPr>
      <w:keepNext/>
      <w:spacing w:before="120" w:after="60"/>
    </w:pPr>
    <w:rPr>
      <w:b/>
      <w:spacing w:val="4"/>
    </w:rPr>
  </w:style>
  <w:style w:type="paragraph" w:customStyle="1" w:styleId="l-paragraf">
    <w:name w:val="l-paragraf"/>
    <w:basedOn w:val="Normal"/>
    <w:next w:val="Normal"/>
    <w:rsid w:val="009B28A1"/>
    <w:pPr>
      <w:spacing w:before="180" w:after="0"/>
    </w:pPr>
    <w:rPr>
      <w:rFonts w:ascii="Times" w:hAnsi="Times"/>
      <w:i/>
      <w:spacing w:val="4"/>
    </w:rPr>
  </w:style>
  <w:style w:type="paragraph" w:customStyle="1" w:styleId="Ramme-slutt">
    <w:name w:val="Ramme-slutt"/>
    <w:basedOn w:val="Normal"/>
    <w:qFormat/>
    <w:rsid w:val="009B28A1"/>
    <w:rPr>
      <w:b/>
      <w:color w:val="C00000"/>
    </w:rPr>
  </w:style>
  <w:style w:type="paragraph" w:customStyle="1" w:styleId="romertallliste">
    <w:name w:val="romertall liste"/>
    <w:basedOn w:val="Nummerertliste"/>
    <w:qFormat/>
    <w:rsid w:val="009B28A1"/>
    <w:pPr>
      <w:numPr>
        <w:numId w:val="35"/>
      </w:numPr>
      <w:ind w:left="397" w:hanging="397"/>
    </w:pPr>
  </w:style>
  <w:style w:type="paragraph" w:customStyle="1" w:styleId="romertallliste2">
    <w:name w:val="romertall liste 2"/>
    <w:basedOn w:val="romertallliste"/>
    <w:qFormat/>
    <w:rsid w:val="009B28A1"/>
    <w:pPr>
      <w:numPr>
        <w:numId w:val="36"/>
      </w:numPr>
      <w:ind w:left="794" w:hanging="397"/>
    </w:pPr>
  </w:style>
  <w:style w:type="paragraph" w:customStyle="1" w:styleId="romertallliste3">
    <w:name w:val="romertall liste 3"/>
    <w:basedOn w:val="romertallliste"/>
    <w:qFormat/>
    <w:rsid w:val="009B28A1"/>
    <w:pPr>
      <w:numPr>
        <w:numId w:val="37"/>
      </w:numPr>
      <w:ind w:left="1191" w:hanging="397"/>
    </w:pPr>
  </w:style>
  <w:style w:type="paragraph" w:customStyle="1" w:styleId="romertallliste4">
    <w:name w:val="romertall liste 4"/>
    <w:basedOn w:val="romertallliste"/>
    <w:qFormat/>
    <w:rsid w:val="009B28A1"/>
    <w:pPr>
      <w:numPr>
        <w:numId w:val="38"/>
      </w:numPr>
      <w:ind w:left="1588" w:hanging="397"/>
    </w:pPr>
  </w:style>
  <w:style w:type="character" w:customStyle="1" w:styleId="skrift-senket">
    <w:name w:val="skrift-senket"/>
    <w:basedOn w:val="Standardskriftforavsnitt"/>
    <w:rsid w:val="009B28A1"/>
    <w:rPr>
      <w:sz w:val="20"/>
      <w:vertAlign w:val="subscript"/>
    </w:rPr>
  </w:style>
  <w:style w:type="character" w:customStyle="1" w:styleId="sperret">
    <w:name w:val="sperret"/>
    <w:basedOn w:val="Standardskriftforavsnitt"/>
    <w:rsid w:val="009B28A1"/>
    <w:rPr>
      <w:spacing w:val="30"/>
    </w:rPr>
  </w:style>
  <w:style w:type="character" w:customStyle="1" w:styleId="Stikkord">
    <w:name w:val="Stikkord"/>
    <w:basedOn w:val="Standardskriftforavsnitt"/>
    <w:rsid w:val="009B28A1"/>
  </w:style>
  <w:style w:type="paragraph" w:customStyle="1" w:styleId="Tabellnavn">
    <w:name w:val="Tabellnavn"/>
    <w:basedOn w:val="Normal"/>
    <w:qFormat/>
    <w:rsid w:val="009B28A1"/>
    <w:rPr>
      <w:rFonts w:ascii="Times" w:hAnsi="Times"/>
      <w:vanish/>
      <w:color w:val="00B050"/>
    </w:rPr>
  </w:style>
  <w:style w:type="paragraph" w:customStyle="1" w:styleId="Term">
    <w:name w:val="Term"/>
    <w:basedOn w:val="Normal"/>
    <w:qFormat/>
    <w:rsid w:val="009B28A1"/>
  </w:style>
  <w:style w:type="table" w:customStyle="1" w:styleId="Tabell-VM">
    <w:name w:val="Tabell-VM"/>
    <w:basedOn w:val="Tabelltemaer"/>
    <w:uiPriority w:val="99"/>
    <w:qFormat/>
    <w:rsid w:val="009B28A1"/>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9B28A1"/>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B28A1"/>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9B28A1"/>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B28A1"/>
    <w:pPr>
      <w:spacing w:after="0" w:line="240" w:lineRule="auto"/>
    </w:pPr>
    <w:rPr>
      <w:rFonts w:ascii="Times New Roman" w:eastAsiaTheme="minorHAnsi" w:hAnsi="Times New Roman"/>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9B28A1"/>
    <w:pPr>
      <w:spacing w:after="0" w:line="240" w:lineRule="auto"/>
    </w:pPr>
    <w:rPr>
      <w:rFonts w:eastAsiaTheme="minorHAnsi"/>
      <w:kern w:val="0"/>
      <w:sz w:val="22"/>
      <w:szCs w:val="22"/>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B28A1"/>
    <w:pPr>
      <w:spacing w:after="0" w:line="240" w:lineRule="auto"/>
    </w:pPr>
    <w:rPr>
      <w:rFonts w:eastAsiaTheme="minorHAnsi"/>
      <w:kern w:val="0"/>
      <w:sz w:val="22"/>
      <w:szCs w:val="22"/>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9B28A1"/>
    <w:pPr>
      <w:numPr>
        <w:numId w:val="19"/>
      </w:numPr>
    </w:pPr>
  </w:style>
  <w:style w:type="paragraph" w:customStyle="1" w:styleId="Figur">
    <w:name w:val="Figur"/>
    <w:basedOn w:val="Normal"/>
    <w:rsid w:val="009B28A1"/>
    <w:pPr>
      <w:suppressAutoHyphens/>
      <w:spacing w:before="400" w:line="240" w:lineRule="auto"/>
      <w:jc w:val="center"/>
    </w:pPr>
    <w:rPr>
      <w:b/>
      <w:color w:val="FF0000"/>
    </w:rPr>
  </w:style>
  <w:style w:type="paragraph" w:customStyle="1" w:styleId="l-ledd">
    <w:name w:val="l-ledd"/>
    <w:basedOn w:val="Normal"/>
    <w:qFormat/>
    <w:rsid w:val="009B28A1"/>
    <w:pPr>
      <w:spacing w:after="0"/>
      <w:ind w:firstLine="397"/>
    </w:pPr>
    <w:rPr>
      <w:rFonts w:ascii="Times" w:hAnsi="Times"/>
      <w:spacing w:val="4"/>
    </w:rPr>
  </w:style>
  <w:style w:type="paragraph" w:customStyle="1" w:styleId="l-punktum">
    <w:name w:val="l-punktum"/>
    <w:basedOn w:val="Normal"/>
    <w:qFormat/>
    <w:rsid w:val="009B28A1"/>
    <w:pPr>
      <w:spacing w:after="0"/>
    </w:pPr>
    <w:rPr>
      <w:spacing w:val="4"/>
    </w:rPr>
  </w:style>
  <w:style w:type="paragraph" w:customStyle="1" w:styleId="l-tit-endr-lovkap">
    <w:name w:val="l-tit-endr-lovkap"/>
    <w:basedOn w:val="Normal"/>
    <w:qFormat/>
    <w:rsid w:val="009B28A1"/>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9B28A1"/>
    <w:pPr>
      <w:keepNext/>
      <w:spacing w:before="240" w:after="0" w:line="240" w:lineRule="auto"/>
    </w:pPr>
    <w:rPr>
      <w:rFonts w:ascii="Times" w:hAnsi="Times"/>
      <w:noProof/>
      <w:spacing w:val="4"/>
      <w:lang w:val="nn-NO"/>
    </w:rPr>
  </w:style>
  <w:style w:type="paragraph" w:customStyle="1" w:styleId="l-tit-endr-lov">
    <w:name w:val="l-tit-endr-lov"/>
    <w:basedOn w:val="Normal"/>
    <w:qFormat/>
    <w:rsid w:val="009B28A1"/>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9B28A1"/>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9B28A1"/>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9B28A1"/>
  </w:style>
  <w:style w:type="paragraph" w:customStyle="1" w:styleId="l-alfaliste">
    <w:name w:val="l-alfaliste"/>
    <w:basedOn w:val="alfaliste"/>
    <w:qFormat/>
    <w:rsid w:val="009B28A1"/>
    <w:pPr>
      <w:numPr>
        <w:numId w:val="0"/>
      </w:numPr>
    </w:pPr>
    <w:rPr>
      <w:rFonts w:eastAsiaTheme="minorEastAsia"/>
    </w:rPr>
  </w:style>
  <w:style w:type="numbering" w:customStyle="1" w:styleId="AlfaListeStil">
    <w:name w:val="AlfaListeStil"/>
    <w:uiPriority w:val="99"/>
    <w:rsid w:val="009B28A1"/>
    <w:pPr>
      <w:numPr>
        <w:numId w:val="45"/>
      </w:numPr>
    </w:pPr>
  </w:style>
  <w:style w:type="paragraph" w:customStyle="1" w:styleId="l-alfaliste2">
    <w:name w:val="l-alfaliste 2"/>
    <w:basedOn w:val="alfaliste2"/>
    <w:qFormat/>
    <w:rsid w:val="009B28A1"/>
    <w:pPr>
      <w:numPr>
        <w:numId w:val="0"/>
      </w:numPr>
    </w:pPr>
  </w:style>
  <w:style w:type="paragraph" w:customStyle="1" w:styleId="l-alfaliste3">
    <w:name w:val="l-alfaliste 3"/>
    <w:basedOn w:val="alfaliste3"/>
    <w:qFormat/>
    <w:rsid w:val="009B28A1"/>
    <w:pPr>
      <w:numPr>
        <w:numId w:val="0"/>
      </w:numPr>
    </w:pPr>
  </w:style>
  <w:style w:type="paragraph" w:customStyle="1" w:styleId="l-alfaliste4">
    <w:name w:val="l-alfaliste 4"/>
    <w:basedOn w:val="alfaliste4"/>
    <w:qFormat/>
    <w:rsid w:val="009B28A1"/>
    <w:pPr>
      <w:numPr>
        <w:numId w:val="0"/>
      </w:numPr>
    </w:pPr>
  </w:style>
  <w:style w:type="paragraph" w:customStyle="1" w:styleId="l-alfaliste5">
    <w:name w:val="l-alfaliste 5"/>
    <w:basedOn w:val="alfaliste5"/>
    <w:qFormat/>
    <w:rsid w:val="009B28A1"/>
    <w:pPr>
      <w:numPr>
        <w:numId w:val="0"/>
      </w:numPr>
    </w:pPr>
  </w:style>
  <w:style w:type="numbering" w:customStyle="1" w:styleId="l-AlfaListeStil">
    <w:name w:val="l-AlfaListeStil"/>
    <w:uiPriority w:val="99"/>
    <w:rsid w:val="009B28A1"/>
  </w:style>
  <w:style w:type="numbering" w:customStyle="1" w:styleId="l-NummerertListeStil">
    <w:name w:val="l-NummerertListeStil"/>
    <w:uiPriority w:val="99"/>
    <w:rsid w:val="009B28A1"/>
    <w:pPr>
      <w:numPr>
        <w:numId w:val="8"/>
      </w:numPr>
    </w:pPr>
  </w:style>
  <w:style w:type="numbering" w:customStyle="1" w:styleId="NrListeStil">
    <w:name w:val="NrListeStil"/>
    <w:uiPriority w:val="99"/>
    <w:rsid w:val="009B28A1"/>
    <w:pPr>
      <w:numPr>
        <w:numId w:val="9"/>
      </w:numPr>
    </w:pPr>
  </w:style>
  <w:style w:type="numbering" w:customStyle="1" w:styleId="OpplistingListeStil">
    <w:name w:val="OpplistingListeStil"/>
    <w:uiPriority w:val="99"/>
    <w:rsid w:val="009B28A1"/>
    <w:pPr>
      <w:numPr>
        <w:numId w:val="44"/>
      </w:numPr>
    </w:pPr>
  </w:style>
  <w:style w:type="numbering" w:customStyle="1" w:styleId="OverskrifterListeStil">
    <w:name w:val="OverskrifterListeStil"/>
    <w:uiPriority w:val="99"/>
    <w:rsid w:val="009B28A1"/>
    <w:pPr>
      <w:numPr>
        <w:numId w:val="11"/>
      </w:numPr>
    </w:pPr>
  </w:style>
  <w:style w:type="numbering" w:customStyle="1" w:styleId="RomListeStil">
    <w:name w:val="RomListeStil"/>
    <w:uiPriority w:val="99"/>
    <w:rsid w:val="009B28A1"/>
    <w:pPr>
      <w:numPr>
        <w:numId w:val="12"/>
      </w:numPr>
    </w:pPr>
  </w:style>
  <w:style w:type="numbering" w:customStyle="1" w:styleId="StrekListeStil">
    <w:name w:val="StrekListeStil"/>
    <w:uiPriority w:val="99"/>
    <w:rsid w:val="009B28A1"/>
    <w:pPr>
      <w:numPr>
        <w:numId w:val="13"/>
      </w:numPr>
    </w:pPr>
  </w:style>
  <w:style w:type="paragraph" w:customStyle="1" w:styleId="romertallliste5">
    <w:name w:val="romertall liste 5"/>
    <w:basedOn w:val="romertallliste"/>
    <w:qFormat/>
    <w:rsid w:val="009B28A1"/>
    <w:pPr>
      <w:numPr>
        <w:numId w:val="39"/>
      </w:numPr>
      <w:ind w:left="1985" w:hanging="397"/>
    </w:pPr>
    <w:rPr>
      <w:spacing w:val="4"/>
    </w:rPr>
  </w:style>
  <w:style w:type="paragraph" w:customStyle="1" w:styleId="opplisting2">
    <w:name w:val="opplisting 2"/>
    <w:basedOn w:val="opplisting"/>
    <w:qFormat/>
    <w:rsid w:val="009B28A1"/>
    <w:pPr>
      <w:ind w:left="397"/>
    </w:pPr>
    <w:rPr>
      <w:lang w:val="en-US"/>
    </w:rPr>
  </w:style>
  <w:style w:type="paragraph" w:customStyle="1" w:styleId="opplisting3">
    <w:name w:val="opplisting 3"/>
    <w:basedOn w:val="opplisting"/>
    <w:qFormat/>
    <w:rsid w:val="009B28A1"/>
    <w:pPr>
      <w:ind w:left="794"/>
    </w:pPr>
  </w:style>
  <w:style w:type="paragraph" w:customStyle="1" w:styleId="opplisting4">
    <w:name w:val="opplisting 4"/>
    <w:basedOn w:val="opplisting"/>
    <w:qFormat/>
    <w:rsid w:val="009B28A1"/>
    <w:pPr>
      <w:ind w:left="1191"/>
    </w:pPr>
  </w:style>
  <w:style w:type="paragraph" w:customStyle="1" w:styleId="opplisting5">
    <w:name w:val="opplisting 5"/>
    <w:basedOn w:val="opplisting"/>
    <w:qFormat/>
    <w:rsid w:val="009B28A1"/>
    <w:pPr>
      <w:ind w:left="1588"/>
    </w:pPr>
  </w:style>
  <w:style w:type="paragraph" w:customStyle="1" w:styleId="friliste">
    <w:name w:val="friliste"/>
    <w:basedOn w:val="Normal"/>
    <w:qFormat/>
    <w:rsid w:val="009B28A1"/>
    <w:pPr>
      <w:tabs>
        <w:tab w:val="left" w:pos="397"/>
      </w:tabs>
      <w:spacing w:after="0"/>
      <w:ind w:left="397" w:hanging="397"/>
    </w:pPr>
  </w:style>
  <w:style w:type="paragraph" w:customStyle="1" w:styleId="friliste2">
    <w:name w:val="friliste 2"/>
    <w:basedOn w:val="friliste"/>
    <w:qFormat/>
    <w:rsid w:val="009B28A1"/>
    <w:pPr>
      <w:tabs>
        <w:tab w:val="left" w:pos="794"/>
      </w:tabs>
      <w:spacing w:before="0"/>
      <w:ind w:left="794"/>
    </w:pPr>
  </w:style>
  <w:style w:type="paragraph" w:customStyle="1" w:styleId="friliste3">
    <w:name w:val="friliste 3"/>
    <w:basedOn w:val="friliste"/>
    <w:qFormat/>
    <w:rsid w:val="009B28A1"/>
    <w:pPr>
      <w:tabs>
        <w:tab w:val="left" w:pos="1191"/>
      </w:tabs>
      <w:spacing w:before="0"/>
      <w:ind w:left="1191"/>
    </w:pPr>
  </w:style>
  <w:style w:type="paragraph" w:customStyle="1" w:styleId="friliste4">
    <w:name w:val="friliste 4"/>
    <w:basedOn w:val="friliste"/>
    <w:qFormat/>
    <w:rsid w:val="009B28A1"/>
    <w:pPr>
      <w:tabs>
        <w:tab w:val="left" w:pos="1588"/>
      </w:tabs>
      <w:spacing w:before="0"/>
      <w:ind w:left="1588"/>
    </w:pPr>
  </w:style>
  <w:style w:type="paragraph" w:customStyle="1" w:styleId="friliste5">
    <w:name w:val="friliste 5"/>
    <w:basedOn w:val="friliste"/>
    <w:qFormat/>
    <w:rsid w:val="009B28A1"/>
    <w:pPr>
      <w:tabs>
        <w:tab w:val="left" w:pos="1985"/>
      </w:tabs>
      <w:spacing w:before="0"/>
      <w:ind w:left="1985"/>
    </w:pPr>
  </w:style>
  <w:style w:type="character" w:customStyle="1" w:styleId="regular">
    <w:name w:val="regular"/>
    <w:basedOn w:val="Standardskriftforavsnitt"/>
    <w:uiPriority w:val="1"/>
    <w:qFormat/>
    <w:rsid w:val="009B28A1"/>
    <w:rPr>
      <w:i/>
    </w:rPr>
  </w:style>
  <w:style w:type="character" w:customStyle="1" w:styleId="gjennomstreket">
    <w:name w:val="gjennomstreket"/>
    <w:uiPriority w:val="1"/>
    <w:rsid w:val="009B28A1"/>
    <w:rPr>
      <w:strike/>
      <w:dstrike w:val="0"/>
    </w:rPr>
  </w:style>
  <w:style w:type="paragraph" w:customStyle="1" w:styleId="l-avsnitt">
    <w:name w:val="l-avsnitt"/>
    <w:basedOn w:val="l-lovkap"/>
    <w:qFormat/>
    <w:rsid w:val="009B28A1"/>
    <w:rPr>
      <w:lang w:val="nn-NO"/>
    </w:rPr>
  </w:style>
  <w:style w:type="paragraph" w:customStyle="1" w:styleId="l-tit-endr-avsnitt">
    <w:name w:val="l-tit-endr-avsnitt"/>
    <w:basedOn w:val="l-tit-endr-lovkap"/>
    <w:qFormat/>
    <w:rsid w:val="009B28A1"/>
  </w:style>
  <w:style w:type="paragraph" w:customStyle="1" w:styleId="Listebombe">
    <w:name w:val="Liste bombe"/>
    <w:basedOn w:val="Liste"/>
    <w:qFormat/>
    <w:rsid w:val="009B28A1"/>
    <w:pPr>
      <w:numPr>
        <w:numId w:val="14"/>
      </w:numPr>
      <w:ind w:left="397" w:hanging="397"/>
    </w:pPr>
  </w:style>
  <w:style w:type="paragraph" w:customStyle="1" w:styleId="Listebombe2">
    <w:name w:val="Liste bombe 2"/>
    <w:basedOn w:val="Liste2"/>
    <w:qFormat/>
    <w:rsid w:val="009B28A1"/>
    <w:pPr>
      <w:numPr>
        <w:numId w:val="15"/>
      </w:numPr>
      <w:ind w:left="794" w:hanging="397"/>
    </w:pPr>
  </w:style>
  <w:style w:type="paragraph" w:styleId="Liste2">
    <w:name w:val="List 2"/>
    <w:basedOn w:val="Liste"/>
    <w:qFormat/>
    <w:rsid w:val="009B28A1"/>
    <w:pPr>
      <w:numPr>
        <w:numId w:val="22"/>
      </w:numPr>
      <w:ind w:left="794" w:hanging="397"/>
    </w:pPr>
  </w:style>
  <w:style w:type="paragraph" w:customStyle="1" w:styleId="Listebombe3">
    <w:name w:val="Liste bombe 3"/>
    <w:basedOn w:val="Liste3"/>
    <w:qFormat/>
    <w:rsid w:val="009B28A1"/>
    <w:pPr>
      <w:numPr>
        <w:numId w:val="16"/>
      </w:numPr>
      <w:ind w:left="1191" w:hanging="397"/>
    </w:pPr>
  </w:style>
  <w:style w:type="paragraph" w:styleId="Liste3">
    <w:name w:val="List 3"/>
    <w:basedOn w:val="Liste"/>
    <w:qFormat/>
    <w:rsid w:val="009B28A1"/>
    <w:pPr>
      <w:numPr>
        <w:numId w:val="23"/>
      </w:numPr>
      <w:ind w:left="1191" w:hanging="397"/>
    </w:pPr>
  </w:style>
  <w:style w:type="paragraph" w:customStyle="1" w:styleId="Listebombe4">
    <w:name w:val="Liste bombe 4"/>
    <w:basedOn w:val="Liste4"/>
    <w:qFormat/>
    <w:rsid w:val="009B28A1"/>
    <w:pPr>
      <w:numPr>
        <w:numId w:val="17"/>
      </w:numPr>
      <w:ind w:left="1588" w:hanging="397"/>
    </w:pPr>
  </w:style>
  <w:style w:type="paragraph" w:styleId="Liste4">
    <w:name w:val="List 4"/>
    <w:basedOn w:val="Liste"/>
    <w:qFormat/>
    <w:rsid w:val="009B28A1"/>
    <w:pPr>
      <w:numPr>
        <w:numId w:val="24"/>
      </w:numPr>
      <w:ind w:left="1588" w:hanging="397"/>
    </w:pPr>
  </w:style>
  <w:style w:type="paragraph" w:customStyle="1" w:styleId="Listebombe5">
    <w:name w:val="Liste bombe 5"/>
    <w:basedOn w:val="Liste5"/>
    <w:qFormat/>
    <w:rsid w:val="009B28A1"/>
    <w:pPr>
      <w:numPr>
        <w:numId w:val="18"/>
      </w:numPr>
      <w:ind w:left="1985" w:hanging="397"/>
    </w:pPr>
  </w:style>
  <w:style w:type="paragraph" w:styleId="Liste5">
    <w:name w:val="List 5"/>
    <w:basedOn w:val="Liste"/>
    <w:qFormat/>
    <w:rsid w:val="009B28A1"/>
    <w:pPr>
      <w:numPr>
        <w:numId w:val="25"/>
      </w:numPr>
      <w:ind w:left="1985" w:hanging="397"/>
    </w:pPr>
  </w:style>
  <w:style w:type="paragraph" w:customStyle="1" w:styleId="Listeavsnitt2">
    <w:name w:val="Listeavsnitt 2"/>
    <w:basedOn w:val="Listeavsnitt"/>
    <w:qFormat/>
    <w:rsid w:val="009B28A1"/>
    <w:pPr>
      <w:ind w:left="794"/>
    </w:pPr>
  </w:style>
  <w:style w:type="paragraph" w:customStyle="1" w:styleId="Listeavsnitt3">
    <w:name w:val="Listeavsnitt 3"/>
    <w:basedOn w:val="Listeavsnitt"/>
    <w:qFormat/>
    <w:rsid w:val="009B28A1"/>
    <w:pPr>
      <w:ind w:left="1191"/>
    </w:pPr>
  </w:style>
  <w:style w:type="paragraph" w:customStyle="1" w:styleId="Listeavsnitt4">
    <w:name w:val="Listeavsnitt 4"/>
    <w:basedOn w:val="Listeavsnitt"/>
    <w:qFormat/>
    <w:rsid w:val="009B28A1"/>
    <w:pPr>
      <w:ind w:left="1588"/>
    </w:pPr>
  </w:style>
  <w:style w:type="paragraph" w:customStyle="1" w:styleId="Listeavsnitt5">
    <w:name w:val="Listeavsnitt 5"/>
    <w:basedOn w:val="Listeavsnitt"/>
    <w:qFormat/>
    <w:rsid w:val="009B28A1"/>
    <w:pPr>
      <w:ind w:left="1985"/>
    </w:pPr>
  </w:style>
  <w:style w:type="paragraph" w:customStyle="1" w:styleId="Petit">
    <w:name w:val="Petit"/>
    <w:basedOn w:val="Normal"/>
    <w:next w:val="Normal"/>
    <w:qFormat/>
    <w:rsid w:val="009B28A1"/>
    <w:rPr>
      <w:spacing w:val="6"/>
      <w:sz w:val="19"/>
    </w:rPr>
  </w:style>
  <w:style w:type="paragraph" w:customStyle="1" w:styleId="TrykkeriMerknad">
    <w:name w:val="TrykkeriMerknad"/>
    <w:basedOn w:val="Normal"/>
    <w:qFormat/>
    <w:rsid w:val="009B28A1"/>
    <w:pPr>
      <w:spacing w:before="60"/>
    </w:pPr>
    <w:rPr>
      <w:color w:val="BF4E14" w:themeColor="accent2" w:themeShade="BF"/>
      <w:spacing w:val="4"/>
      <w:sz w:val="26"/>
    </w:rPr>
  </w:style>
  <w:style w:type="paragraph" w:customStyle="1" w:styleId="ForfatterMerknad">
    <w:name w:val="ForfatterMerknad"/>
    <w:basedOn w:val="TrykkeriMerknad"/>
    <w:qFormat/>
    <w:rsid w:val="009B28A1"/>
    <w:pPr>
      <w:shd w:val="clear" w:color="auto" w:fill="FFFF99"/>
      <w:spacing w:line="240" w:lineRule="auto"/>
    </w:pPr>
    <w:rPr>
      <w:color w:val="80340D" w:themeColor="accent2" w:themeShade="80"/>
    </w:rPr>
  </w:style>
  <w:style w:type="paragraph" w:customStyle="1" w:styleId="UnOverskrift5">
    <w:name w:val="UnOverskrift 5"/>
    <w:basedOn w:val="Overskrift5"/>
    <w:next w:val="Normal"/>
    <w:qFormat/>
    <w:rsid w:val="009B28A1"/>
    <w:pPr>
      <w:numPr>
        <w:ilvl w:val="0"/>
        <w:numId w:val="0"/>
      </w:numPr>
    </w:pPr>
  </w:style>
  <w:style w:type="paragraph" w:customStyle="1" w:styleId="Ingress">
    <w:name w:val="Ingress"/>
    <w:basedOn w:val="Normal"/>
    <w:qFormat/>
    <w:rsid w:val="009B28A1"/>
    <w:rPr>
      <w:i/>
    </w:rPr>
  </w:style>
  <w:style w:type="paragraph" w:customStyle="1" w:styleId="FigurAltTekst">
    <w:name w:val="FigurAltTekst"/>
    <w:basedOn w:val="Note"/>
    <w:qFormat/>
    <w:rsid w:val="009B28A1"/>
    <w:rPr>
      <w:color w:val="7030A0"/>
    </w:rPr>
  </w:style>
  <w:style w:type="paragraph" w:customStyle="1" w:styleId="meta-dep">
    <w:name w:val="meta-dep"/>
    <w:basedOn w:val="Normal"/>
    <w:next w:val="Normal"/>
    <w:qFormat/>
    <w:rsid w:val="009B28A1"/>
    <w:rPr>
      <w:rFonts w:ascii="Courier New" w:hAnsi="Courier New"/>
      <w:vanish/>
      <w:color w:val="C00000"/>
      <w:sz w:val="28"/>
    </w:rPr>
  </w:style>
  <w:style w:type="paragraph" w:customStyle="1" w:styleId="meta-depavd">
    <w:name w:val="meta-depavd"/>
    <w:basedOn w:val="meta-dep"/>
    <w:next w:val="Normal"/>
    <w:qFormat/>
    <w:rsid w:val="009B28A1"/>
  </w:style>
  <w:style w:type="paragraph" w:customStyle="1" w:styleId="meta-forf">
    <w:name w:val="meta-forf"/>
    <w:basedOn w:val="meta-dep"/>
    <w:next w:val="Normal"/>
    <w:qFormat/>
    <w:rsid w:val="009B28A1"/>
  </w:style>
  <w:style w:type="paragraph" w:customStyle="1" w:styleId="meta-spr">
    <w:name w:val="meta-spr"/>
    <w:basedOn w:val="meta-dep"/>
    <w:next w:val="Normal"/>
    <w:qFormat/>
    <w:rsid w:val="009B28A1"/>
  </w:style>
  <w:style w:type="paragraph" w:customStyle="1" w:styleId="meta-ingress">
    <w:name w:val="meta-ingress"/>
    <w:basedOn w:val="meta-dep"/>
    <w:next w:val="Normal"/>
    <w:qFormat/>
    <w:rsid w:val="009B28A1"/>
    <w:rPr>
      <w:color w:val="0A2F41" w:themeColor="accent1" w:themeShade="80"/>
      <w:sz w:val="24"/>
    </w:rPr>
  </w:style>
  <w:style w:type="paragraph" w:customStyle="1" w:styleId="meta-sperrefrist">
    <w:name w:val="meta-sperrefrist"/>
    <w:basedOn w:val="meta-dep"/>
    <w:next w:val="Normal"/>
    <w:qFormat/>
    <w:rsid w:val="009B28A1"/>
  </w:style>
  <w:style w:type="paragraph" w:customStyle="1" w:styleId="meta-objUrl">
    <w:name w:val="meta-objUrl"/>
    <w:basedOn w:val="meta-dep"/>
    <w:next w:val="Normal"/>
    <w:qFormat/>
    <w:rsid w:val="009B28A1"/>
    <w:rPr>
      <w:color w:val="7030A0"/>
    </w:rPr>
  </w:style>
  <w:style w:type="paragraph" w:customStyle="1" w:styleId="meta-dokFormat">
    <w:name w:val="meta-dokFormat"/>
    <w:basedOn w:val="meta-dep"/>
    <w:next w:val="Normal"/>
    <w:qFormat/>
    <w:rsid w:val="009B28A1"/>
    <w:rPr>
      <w:color w:val="7030A0"/>
    </w:rPr>
  </w:style>
  <w:style w:type="paragraph" w:styleId="Indeks1">
    <w:name w:val="index 1"/>
    <w:basedOn w:val="Normal"/>
    <w:next w:val="Normal"/>
    <w:autoRedefine/>
    <w:uiPriority w:val="99"/>
    <w:semiHidden/>
    <w:unhideWhenUsed/>
    <w:rsid w:val="009B28A1"/>
    <w:pPr>
      <w:spacing w:after="0" w:line="240" w:lineRule="auto"/>
      <w:ind w:left="240" w:hanging="240"/>
    </w:pPr>
  </w:style>
  <w:style w:type="paragraph" w:styleId="Indeks2">
    <w:name w:val="index 2"/>
    <w:basedOn w:val="Normal"/>
    <w:next w:val="Normal"/>
    <w:autoRedefine/>
    <w:uiPriority w:val="99"/>
    <w:semiHidden/>
    <w:unhideWhenUsed/>
    <w:rsid w:val="009B28A1"/>
    <w:pPr>
      <w:spacing w:after="0" w:line="240" w:lineRule="auto"/>
      <w:ind w:left="480" w:hanging="240"/>
    </w:pPr>
  </w:style>
  <w:style w:type="paragraph" w:styleId="Indeks3">
    <w:name w:val="index 3"/>
    <w:basedOn w:val="Normal"/>
    <w:next w:val="Normal"/>
    <w:autoRedefine/>
    <w:uiPriority w:val="99"/>
    <w:semiHidden/>
    <w:unhideWhenUsed/>
    <w:rsid w:val="009B28A1"/>
    <w:pPr>
      <w:spacing w:after="0" w:line="240" w:lineRule="auto"/>
      <w:ind w:left="720" w:hanging="240"/>
    </w:pPr>
  </w:style>
  <w:style w:type="paragraph" w:styleId="Indeks4">
    <w:name w:val="index 4"/>
    <w:basedOn w:val="Normal"/>
    <w:next w:val="Normal"/>
    <w:autoRedefine/>
    <w:uiPriority w:val="99"/>
    <w:semiHidden/>
    <w:unhideWhenUsed/>
    <w:rsid w:val="009B28A1"/>
    <w:pPr>
      <w:spacing w:after="0" w:line="240" w:lineRule="auto"/>
      <w:ind w:left="960" w:hanging="240"/>
    </w:pPr>
  </w:style>
  <w:style w:type="paragraph" w:styleId="Indeks5">
    <w:name w:val="index 5"/>
    <w:basedOn w:val="Normal"/>
    <w:next w:val="Normal"/>
    <w:autoRedefine/>
    <w:uiPriority w:val="99"/>
    <w:semiHidden/>
    <w:unhideWhenUsed/>
    <w:rsid w:val="009B28A1"/>
    <w:pPr>
      <w:spacing w:after="0" w:line="240" w:lineRule="auto"/>
      <w:ind w:left="1200" w:hanging="240"/>
    </w:pPr>
  </w:style>
  <w:style w:type="paragraph" w:styleId="Indeks6">
    <w:name w:val="index 6"/>
    <w:basedOn w:val="Normal"/>
    <w:next w:val="Normal"/>
    <w:autoRedefine/>
    <w:uiPriority w:val="99"/>
    <w:semiHidden/>
    <w:unhideWhenUsed/>
    <w:rsid w:val="009B28A1"/>
    <w:pPr>
      <w:spacing w:after="0" w:line="240" w:lineRule="auto"/>
      <w:ind w:left="1440" w:hanging="240"/>
    </w:pPr>
  </w:style>
  <w:style w:type="paragraph" w:styleId="Indeks7">
    <w:name w:val="index 7"/>
    <w:basedOn w:val="Normal"/>
    <w:next w:val="Normal"/>
    <w:autoRedefine/>
    <w:uiPriority w:val="99"/>
    <w:semiHidden/>
    <w:unhideWhenUsed/>
    <w:rsid w:val="009B28A1"/>
    <w:pPr>
      <w:spacing w:after="0" w:line="240" w:lineRule="auto"/>
      <w:ind w:left="1680" w:hanging="240"/>
    </w:pPr>
  </w:style>
  <w:style w:type="paragraph" w:styleId="Indeks8">
    <w:name w:val="index 8"/>
    <w:basedOn w:val="Normal"/>
    <w:next w:val="Normal"/>
    <w:autoRedefine/>
    <w:uiPriority w:val="99"/>
    <w:semiHidden/>
    <w:unhideWhenUsed/>
    <w:rsid w:val="009B28A1"/>
    <w:pPr>
      <w:spacing w:after="0" w:line="240" w:lineRule="auto"/>
      <w:ind w:left="1920" w:hanging="240"/>
    </w:pPr>
  </w:style>
  <w:style w:type="paragraph" w:styleId="Indeks9">
    <w:name w:val="index 9"/>
    <w:basedOn w:val="Normal"/>
    <w:next w:val="Normal"/>
    <w:autoRedefine/>
    <w:uiPriority w:val="99"/>
    <w:semiHidden/>
    <w:unhideWhenUsed/>
    <w:rsid w:val="009B28A1"/>
    <w:pPr>
      <w:spacing w:after="0" w:line="240" w:lineRule="auto"/>
      <w:ind w:left="2160" w:hanging="240"/>
    </w:pPr>
  </w:style>
  <w:style w:type="paragraph" w:styleId="INNH1">
    <w:name w:val="toc 1"/>
    <w:basedOn w:val="Normal"/>
    <w:next w:val="Normal"/>
    <w:uiPriority w:val="39"/>
    <w:rsid w:val="009B28A1"/>
    <w:pPr>
      <w:tabs>
        <w:tab w:val="right" w:leader="dot" w:pos="8306"/>
      </w:tabs>
      <w:ind w:right="1134"/>
    </w:pPr>
  </w:style>
  <w:style w:type="paragraph" w:styleId="INNH2">
    <w:name w:val="toc 2"/>
    <w:basedOn w:val="Normal"/>
    <w:next w:val="Normal"/>
    <w:uiPriority w:val="39"/>
    <w:rsid w:val="009B28A1"/>
    <w:pPr>
      <w:tabs>
        <w:tab w:val="right" w:leader="dot" w:pos="8306"/>
      </w:tabs>
      <w:ind w:left="199" w:right="1134"/>
    </w:pPr>
  </w:style>
  <w:style w:type="paragraph" w:styleId="INNH3">
    <w:name w:val="toc 3"/>
    <w:basedOn w:val="Normal"/>
    <w:next w:val="Normal"/>
    <w:uiPriority w:val="39"/>
    <w:rsid w:val="009B28A1"/>
    <w:pPr>
      <w:tabs>
        <w:tab w:val="right" w:leader="dot" w:pos="8306"/>
      </w:tabs>
      <w:ind w:left="403" w:right="1134"/>
    </w:pPr>
  </w:style>
  <w:style w:type="paragraph" w:styleId="INNH4">
    <w:name w:val="toc 4"/>
    <w:basedOn w:val="Normal"/>
    <w:next w:val="Normal"/>
    <w:semiHidden/>
    <w:rsid w:val="009B28A1"/>
    <w:pPr>
      <w:tabs>
        <w:tab w:val="right" w:leader="dot" w:pos="8306"/>
      </w:tabs>
      <w:ind w:left="600"/>
    </w:pPr>
  </w:style>
  <w:style w:type="paragraph" w:styleId="INNH5">
    <w:name w:val="toc 5"/>
    <w:basedOn w:val="Normal"/>
    <w:next w:val="Normal"/>
    <w:semiHidden/>
    <w:rsid w:val="009B28A1"/>
    <w:pPr>
      <w:tabs>
        <w:tab w:val="right" w:leader="dot" w:pos="8306"/>
      </w:tabs>
      <w:ind w:left="800"/>
    </w:pPr>
  </w:style>
  <w:style w:type="paragraph" w:styleId="INNH6">
    <w:name w:val="toc 6"/>
    <w:basedOn w:val="Normal"/>
    <w:next w:val="Normal"/>
    <w:autoRedefine/>
    <w:uiPriority w:val="39"/>
    <w:semiHidden/>
    <w:unhideWhenUsed/>
    <w:rsid w:val="009B28A1"/>
    <w:pPr>
      <w:spacing w:after="100"/>
      <w:ind w:left="1200"/>
    </w:pPr>
  </w:style>
  <w:style w:type="paragraph" w:styleId="INNH7">
    <w:name w:val="toc 7"/>
    <w:basedOn w:val="Normal"/>
    <w:next w:val="Normal"/>
    <w:autoRedefine/>
    <w:uiPriority w:val="39"/>
    <w:semiHidden/>
    <w:unhideWhenUsed/>
    <w:rsid w:val="009B28A1"/>
    <w:pPr>
      <w:spacing w:after="100"/>
      <w:ind w:left="1440"/>
    </w:pPr>
  </w:style>
  <w:style w:type="paragraph" w:styleId="INNH8">
    <w:name w:val="toc 8"/>
    <w:basedOn w:val="Normal"/>
    <w:next w:val="Normal"/>
    <w:autoRedefine/>
    <w:uiPriority w:val="39"/>
    <w:semiHidden/>
    <w:unhideWhenUsed/>
    <w:rsid w:val="009B28A1"/>
    <w:pPr>
      <w:spacing w:after="100"/>
      <w:ind w:left="1680"/>
    </w:pPr>
  </w:style>
  <w:style w:type="paragraph" w:styleId="INNH9">
    <w:name w:val="toc 9"/>
    <w:basedOn w:val="Normal"/>
    <w:next w:val="Normal"/>
    <w:autoRedefine/>
    <w:uiPriority w:val="39"/>
    <w:semiHidden/>
    <w:unhideWhenUsed/>
    <w:rsid w:val="009B28A1"/>
    <w:pPr>
      <w:spacing w:after="100"/>
      <w:ind w:left="1920"/>
    </w:pPr>
  </w:style>
  <w:style w:type="paragraph" w:styleId="Vanliginnrykk">
    <w:name w:val="Normal Indent"/>
    <w:basedOn w:val="Normal"/>
    <w:uiPriority w:val="99"/>
    <w:semiHidden/>
    <w:unhideWhenUsed/>
    <w:rsid w:val="009B28A1"/>
    <w:pPr>
      <w:ind w:left="708"/>
    </w:pPr>
  </w:style>
  <w:style w:type="paragraph" w:styleId="Merknadstekst">
    <w:name w:val="annotation text"/>
    <w:basedOn w:val="Normal"/>
    <w:link w:val="MerknadstekstTegn"/>
    <w:semiHidden/>
    <w:rsid w:val="009B28A1"/>
  </w:style>
  <w:style w:type="character" w:customStyle="1" w:styleId="MerknadstekstTegn">
    <w:name w:val="Merknadstekst Tegn"/>
    <w:basedOn w:val="Standardskriftforavsnitt"/>
    <w:link w:val="Merknadstekst"/>
    <w:semiHidden/>
    <w:rsid w:val="009B28A1"/>
    <w:rPr>
      <w:rFonts w:ascii="Open Sans" w:eastAsia="Times New Roman" w:hAnsi="Open Sans"/>
      <w:kern w:val="0"/>
      <w:sz w:val="22"/>
      <w:szCs w:val="22"/>
      <w14:ligatures w14:val="none"/>
    </w:rPr>
  </w:style>
  <w:style w:type="paragraph" w:styleId="Topptekst">
    <w:name w:val="header"/>
    <w:basedOn w:val="Normal"/>
    <w:link w:val="TopptekstTegn"/>
    <w:rsid w:val="009B28A1"/>
    <w:pPr>
      <w:tabs>
        <w:tab w:val="center" w:pos="4536"/>
        <w:tab w:val="right" w:pos="9072"/>
      </w:tabs>
    </w:pPr>
  </w:style>
  <w:style w:type="character" w:customStyle="1" w:styleId="TopptekstTegn">
    <w:name w:val="Topptekst Tegn"/>
    <w:basedOn w:val="Standardskriftforavsnitt"/>
    <w:link w:val="Topptekst"/>
    <w:rsid w:val="009B28A1"/>
    <w:rPr>
      <w:rFonts w:ascii="Open Sans" w:eastAsia="Times New Roman" w:hAnsi="Open Sans"/>
      <w:kern w:val="0"/>
      <w:sz w:val="22"/>
      <w:szCs w:val="22"/>
      <w14:ligatures w14:val="none"/>
    </w:rPr>
  </w:style>
  <w:style w:type="paragraph" w:styleId="Bunntekst">
    <w:name w:val="footer"/>
    <w:basedOn w:val="Normal"/>
    <w:link w:val="BunntekstTegn"/>
    <w:uiPriority w:val="99"/>
    <w:rsid w:val="009B28A1"/>
    <w:pPr>
      <w:tabs>
        <w:tab w:val="center" w:pos="4153"/>
        <w:tab w:val="right" w:pos="8306"/>
      </w:tabs>
    </w:pPr>
    <w:rPr>
      <w:spacing w:val="4"/>
    </w:rPr>
  </w:style>
  <w:style w:type="character" w:customStyle="1" w:styleId="BunntekstTegn">
    <w:name w:val="Bunntekst Tegn"/>
    <w:basedOn w:val="Standardskriftforavsnitt"/>
    <w:link w:val="Bunntekst"/>
    <w:uiPriority w:val="99"/>
    <w:rsid w:val="009B28A1"/>
    <w:rPr>
      <w:rFonts w:ascii="Open Sans" w:eastAsia="Times New Roman" w:hAnsi="Open Sans"/>
      <w:spacing w:val="4"/>
      <w:kern w:val="0"/>
      <w:sz w:val="22"/>
      <w:szCs w:val="22"/>
      <w14:ligatures w14:val="none"/>
    </w:rPr>
  </w:style>
  <w:style w:type="paragraph" w:styleId="Stikkordregisteroverskrift">
    <w:name w:val="index heading"/>
    <w:basedOn w:val="Normal"/>
    <w:next w:val="Indeks1"/>
    <w:uiPriority w:val="99"/>
    <w:semiHidden/>
    <w:unhideWhenUsed/>
    <w:rsid w:val="009B28A1"/>
    <w:rPr>
      <w:rFonts w:asciiTheme="majorHAnsi" w:eastAsiaTheme="majorEastAsia" w:hAnsiTheme="majorHAnsi" w:cstheme="majorBidi"/>
      <w:b/>
      <w:bCs/>
    </w:rPr>
  </w:style>
  <w:style w:type="paragraph" w:styleId="Bildetekst">
    <w:name w:val="caption"/>
    <w:basedOn w:val="Normal"/>
    <w:next w:val="Normal"/>
    <w:uiPriority w:val="35"/>
    <w:unhideWhenUsed/>
    <w:qFormat/>
    <w:rsid w:val="009B28A1"/>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9B28A1"/>
    <w:pPr>
      <w:spacing w:after="0"/>
    </w:pPr>
  </w:style>
  <w:style w:type="paragraph" w:styleId="Konvoluttadresse">
    <w:name w:val="envelope address"/>
    <w:basedOn w:val="Normal"/>
    <w:uiPriority w:val="99"/>
    <w:semiHidden/>
    <w:unhideWhenUsed/>
    <w:rsid w:val="009B28A1"/>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9B28A1"/>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9B28A1"/>
    <w:rPr>
      <w:vertAlign w:val="superscript"/>
    </w:rPr>
  </w:style>
  <w:style w:type="character" w:styleId="Merknadsreferanse">
    <w:name w:val="annotation reference"/>
    <w:basedOn w:val="Standardskriftforavsnitt"/>
    <w:semiHidden/>
    <w:rsid w:val="009B28A1"/>
    <w:rPr>
      <w:sz w:val="16"/>
    </w:rPr>
  </w:style>
  <w:style w:type="character" w:styleId="Linjenummer">
    <w:name w:val="line number"/>
    <w:basedOn w:val="Standardskriftforavsnitt"/>
    <w:uiPriority w:val="99"/>
    <w:semiHidden/>
    <w:unhideWhenUsed/>
    <w:rsid w:val="009B28A1"/>
  </w:style>
  <w:style w:type="character" w:styleId="Sidetall">
    <w:name w:val="page number"/>
    <w:basedOn w:val="Standardskriftforavsnitt"/>
    <w:rsid w:val="009B28A1"/>
  </w:style>
  <w:style w:type="character" w:styleId="Sluttnotereferanse">
    <w:name w:val="endnote reference"/>
    <w:basedOn w:val="Standardskriftforavsnitt"/>
    <w:uiPriority w:val="99"/>
    <w:semiHidden/>
    <w:unhideWhenUsed/>
    <w:rsid w:val="009B28A1"/>
    <w:rPr>
      <w:vertAlign w:val="superscript"/>
    </w:rPr>
  </w:style>
  <w:style w:type="paragraph" w:styleId="Sluttnotetekst">
    <w:name w:val="endnote text"/>
    <w:basedOn w:val="Normal"/>
    <w:link w:val="SluttnotetekstTegn"/>
    <w:uiPriority w:val="99"/>
    <w:semiHidden/>
    <w:unhideWhenUsed/>
    <w:rsid w:val="009B28A1"/>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9B28A1"/>
    <w:rPr>
      <w:rFonts w:ascii="Open Sans" w:eastAsia="Times New Roman" w:hAnsi="Open Sans"/>
      <w:kern w:val="0"/>
      <w:sz w:val="22"/>
      <w:szCs w:val="20"/>
      <w14:ligatures w14:val="none"/>
    </w:rPr>
  </w:style>
  <w:style w:type="paragraph" w:styleId="Kildeliste">
    <w:name w:val="table of authorities"/>
    <w:basedOn w:val="Normal"/>
    <w:next w:val="Normal"/>
    <w:uiPriority w:val="99"/>
    <w:semiHidden/>
    <w:unhideWhenUsed/>
    <w:rsid w:val="009B28A1"/>
    <w:pPr>
      <w:spacing w:after="0"/>
      <w:ind w:left="240" w:hanging="240"/>
    </w:pPr>
  </w:style>
  <w:style w:type="paragraph" w:styleId="Makrotekst">
    <w:name w:val="macro"/>
    <w:link w:val="MakrotekstTegn"/>
    <w:uiPriority w:val="99"/>
    <w:semiHidden/>
    <w:unhideWhenUsed/>
    <w:rsid w:val="009B28A1"/>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9B28A1"/>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9B28A1"/>
    <w:pPr>
      <w:spacing w:before="120"/>
    </w:pPr>
    <w:rPr>
      <w:rFonts w:asciiTheme="majorHAnsi" w:eastAsiaTheme="majorEastAsia" w:hAnsiTheme="majorHAnsi" w:cstheme="majorBidi"/>
      <w:b/>
      <w:bCs/>
      <w:szCs w:val="24"/>
    </w:rPr>
  </w:style>
  <w:style w:type="paragraph" w:styleId="Punktliste">
    <w:name w:val="List Bullet"/>
    <w:basedOn w:val="Normal"/>
    <w:rsid w:val="009B28A1"/>
    <w:pPr>
      <w:numPr>
        <w:numId w:val="2"/>
      </w:numPr>
      <w:spacing w:after="0"/>
    </w:pPr>
    <w:rPr>
      <w:spacing w:val="4"/>
    </w:rPr>
  </w:style>
  <w:style w:type="paragraph" w:styleId="Nummerertliste">
    <w:name w:val="List Number"/>
    <w:qFormat/>
    <w:rsid w:val="009B28A1"/>
    <w:pPr>
      <w:keepLines/>
      <w:numPr>
        <w:numId w:val="27"/>
      </w:numPr>
      <w:tabs>
        <w:tab w:val="num" w:pos="397"/>
      </w:tabs>
      <w:spacing w:after="0" w:line="288" w:lineRule="auto"/>
      <w:ind w:left="397" w:hanging="397"/>
    </w:pPr>
    <w:rPr>
      <w:rFonts w:ascii="Open Sans" w:eastAsia="Batang" w:hAnsi="Open Sans"/>
      <w:kern w:val="0"/>
      <w:sz w:val="22"/>
      <w:szCs w:val="20"/>
      <w14:ligatures w14:val="none"/>
    </w:rPr>
  </w:style>
  <w:style w:type="paragraph" w:styleId="Punktliste2">
    <w:name w:val="List Bullet 2"/>
    <w:basedOn w:val="Normal"/>
    <w:rsid w:val="009B28A1"/>
    <w:pPr>
      <w:numPr>
        <w:numId w:val="3"/>
      </w:numPr>
      <w:spacing w:after="0"/>
    </w:pPr>
    <w:rPr>
      <w:spacing w:val="4"/>
    </w:rPr>
  </w:style>
  <w:style w:type="paragraph" w:styleId="Punktliste3">
    <w:name w:val="List Bullet 3"/>
    <w:basedOn w:val="Normal"/>
    <w:rsid w:val="009B28A1"/>
    <w:pPr>
      <w:numPr>
        <w:numId w:val="4"/>
      </w:numPr>
      <w:spacing w:after="0"/>
    </w:pPr>
    <w:rPr>
      <w:spacing w:val="4"/>
    </w:rPr>
  </w:style>
  <w:style w:type="paragraph" w:styleId="Punktliste4">
    <w:name w:val="List Bullet 4"/>
    <w:basedOn w:val="Normal"/>
    <w:rsid w:val="009B28A1"/>
    <w:pPr>
      <w:numPr>
        <w:numId w:val="5"/>
      </w:numPr>
      <w:spacing w:after="0"/>
    </w:pPr>
  </w:style>
  <w:style w:type="paragraph" w:styleId="Punktliste5">
    <w:name w:val="List Bullet 5"/>
    <w:basedOn w:val="Normal"/>
    <w:rsid w:val="009B28A1"/>
    <w:pPr>
      <w:numPr>
        <w:numId w:val="6"/>
      </w:numPr>
      <w:spacing w:after="0"/>
    </w:pPr>
  </w:style>
  <w:style w:type="paragraph" w:styleId="Nummerertliste2">
    <w:name w:val="List Number 2"/>
    <w:basedOn w:val="Nummerertliste"/>
    <w:qFormat/>
    <w:rsid w:val="009B28A1"/>
    <w:pPr>
      <w:numPr>
        <w:numId w:val="28"/>
      </w:numPr>
      <w:ind w:left="794" w:hanging="397"/>
    </w:pPr>
  </w:style>
  <w:style w:type="paragraph" w:styleId="Nummerertliste3">
    <w:name w:val="List Number 3"/>
    <w:basedOn w:val="Nummerertliste"/>
    <w:qFormat/>
    <w:rsid w:val="009B28A1"/>
    <w:pPr>
      <w:numPr>
        <w:numId w:val="29"/>
      </w:numPr>
      <w:tabs>
        <w:tab w:val="num" w:pos="397"/>
      </w:tabs>
      <w:ind w:left="1191" w:hanging="397"/>
    </w:pPr>
  </w:style>
  <w:style w:type="paragraph" w:styleId="Nummerertliste4">
    <w:name w:val="List Number 4"/>
    <w:basedOn w:val="Nummerertliste"/>
    <w:rsid w:val="009B28A1"/>
    <w:pPr>
      <w:numPr>
        <w:numId w:val="30"/>
      </w:numPr>
      <w:tabs>
        <w:tab w:val="num" w:pos="397"/>
      </w:tabs>
      <w:ind w:left="1588" w:hanging="397"/>
    </w:pPr>
  </w:style>
  <w:style w:type="paragraph" w:styleId="Nummerertliste5">
    <w:name w:val="List Number 5"/>
    <w:basedOn w:val="Nummerertliste"/>
    <w:qFormat/>
    <w:rsid w:val="009B28A1"/>
    <w:pPr>
      <w:numPr>
        <w:numId w:val="31"/>
      </w:numPr>
      <w:tabs>
        <w:tab w:val="num" w:pos="397"/>
      </w:tabs>
      <w:ind w:left="1985" w:hanging="397"/>
    </w:pPr>
  </w:style>
  <w:style w:type="paragraph" w:styleId="Tittel">
    <w:name w:val="Title"/>
    <w:basedOn w:val="Normal"/>
    <w:next w:val="Normal"/>
    <w:link w:val="TittelTegn"/>
    <w:uiPriority w:val="10"/>
    <w:qFormat/>
    <w:rsid w:val="009B28A1"/>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9B28A1"/>
    <w:rPr>
      <w:rFonts w:asciiTheme="majorHAnsi" w:eastAsiaTheme="majorEastAsia" w:hAnsiTheme="majorHAnsi" w:cstheme="majorBidi"/>
      <w:color w:val="0A1D30" w:themeColor="text2" w:themeShade="BF"/>
      <w:spacing w:val="5"/>
      <w:kern w:val="28"/>
      <w:sz w:val="52"/>
      <w:szCs w:val="52"/>
      <w14:ligatures w14:val="none"/>
    </w:rPr>
  </w:style>
  <w:style w:type="paragraph" w:styleId="Hilsen">
    <w:name w:val="Closing"/>
    <w:basedOn w:val="Normal"/>
    <w:link w:val="HilsenTegn"/>
    <w:uiPriority w:val="99"/>
    <w:semiHidden/>
    <w:unhideWhenUsed/>
    <w:rsid w:val="009B28A1"/>
    <w:pPr>
      <w:spacing w:after="0" w:line="240" w:lineRule="auto"/>
      <w:ind w:left="4252"/>
    </w:pPr>
  </w:style>
  <w:style w:type="character" w:customStyle="1" w:styleId="HilsenTegn">
    <w:name w:val="Hilsen Tegn"/>
    <w:basedOn w:val="Standardskriftforavsnitt"/>
    <w:link w:val="Hilsen"/>
    <w:uiPriority w:val="99"/>
    <w:semiHidden/>
    <w:rsid w:val="009B28A1"/>
    <w:rPr>
      <w:rFonts w:ascii="Open Sans" w:eastAsia="Times New Roman" w:hAnsi="Open Sans"/>
      <w:kern w:val="0"/>
      <w:sz w:val="22"/>
      <w:szCs w:val="22"/>
      <w14:ligatures w14:val="none"/>
    </w:rPr>
  </w:style>
  <w:style w:type="paragraph" w:styleId="Underskrift">
    <w:name w:val="Signature"/>
    <w:basedOn w:val="Normal"/>
    <w:link w:val="UnderskriftTegn"/>
    <w:uiPriority w:val="99"/>
    <w:semiHidden/>
    <w:unhideWhenUsed/>
    <w:rsid w:val="009B28A1"/>
    <w:pPr>
      <w:spacing w:after="0" w:line="240" w:lineRule="auto"/>
      <w:ind w:left="4252"/>
    </w:pPr>
  </w:style>
  <w:style w:type="character" w:customStyle="1" w:styleId="UnderskriftTegn">
    <w:name w:val="Underskrift Tegn"/>
    <w:basedOn w:val="Standardskriftforavsnitt"/>
    <w:link w:val="Underskrift"/>
    <w:uiPriority w:val="99"/>
    <w:semiHidden/>
    <w:rsid w:val="009B28A1"/>
    <w:rPr>
      <w:rFonts w:ascii="Open Sans" w:eastAsia="Times New Roman" w:hAnsi="Open Sans"/>
      <w:kern w:val="0"/>
      <w:sz w:val="22"/>
      <w:szCs w:val="22"/>
      <w14:ligatures w14:val="none"/>
    </w:rPr>
  </w:style>
  <w:style w:type="paragraph" w:styleId="Brdtekst">
    <w:name w:val="Body Text"/>
    <w:basedOn w:val="Normal"/>
    <w:link w:val="BrdtekstTegn"/>
    <w:uiPriority w:val="99"/>
    <w:semiHidden/>
    <w:unhideWhenUsed/>
    <w:rsid w:val="009B28A1"/>
  </w:style>
  <w:style w:type="character" w:customStyle="1" w:styleId="BrdtekstTegn">
    <w:name w:val="Brødtekst Tegn"/>
    <w:basedOn w:val="Standardskriftforavsnitt"/>
    <w:link w:val="Brdtekst"/>
    <w:uiPriority w:val="99"/>
    <w:semiHidden/>
    <w:rsid w:val="009B28A1"/>
    <w:rPr>
      <w:rFonts w:ascii="Open Sans" w:eastAsia="Times New Roman" w:hAnsi="Open Sans"/>
      <w:kern w:val="0"/>
      <w:sz w:val="22"/>
      <w:szCs w:val="22"/>
      <w14:ligatures w14:val="none"/>
    </w:rPr>
  </w:style>
  <w:style w:type="paragraph" w:styleId="Brdtekstinnrykk">
    <w:name w:val="Body Text Indent"/>
    <w:basedOn w:val="Normal"/>
    <w:link w:val="BrdtekstinnrykkTegn"/>
    <w:uiPriority w:val="99"/>
    <w:semiHidden/>
    <w:unhideWhenUsed/>
    <w:rsid w:val="009B28A1"/>
    <w:pPr>
      <w:ind w:left="283"/>
    </w:pPr>
  </w:style>
  <w:style w:type="character" w:customStyle="1" w:styleId="BrdtekstinnrykkTegn">
    <w:name w:val="Brødtekstinnrykk Tegn"/>
    <w:basedOn w:val="Standardskriftforavsnitt"/>
    <w:link w:val="Brdtekstinnrykk"/>
    <w:uiPriority w:val="99"/>
    <w:semiHidden/>
    <w:rsid w:val="009B28A1"/>
    <w:rPr>
      <w:rFonts w:ascii="Open Sans" w:eastAsia="Times New Roman" w:hAnsi="Open Sans"/>
      <w:kern w:val="0"/>
      <w:sz w:val="22"/>
      <w:szCs w:val="22"/>
      <w14:ligatures w14:val="none"/>
    </w:rPr>
  </w:style>
  <w:style w:type="paragraph" w:styleId="Liste-forts">
    <w:name w:val="List Continue"/>
    <w:basedOn w:val="Normal"/>
    <w:uiPriority w:val="99"/>
    <w:semiHidden/>
    <w:unhideWhenUsed/>
    <w:rsid w:val="009B28A1"/>
    <w:pPr>
      <w:ind w:left="283"/>
      <w:contextualSpacing/>
    </w:pPr>
  </w:style>
  <w:style w:type="paragraph" w:styleId="Liste-forts2">
    <w:name w:val="List Continue 2"/>
    <w:basedOn w:val="Normal"/>
    <w:uiPriority w:val="99"/>
    <w:semiHidden/>
    <w:unhideWhenUsed/>
    <w:rsid w:val="009B28A1"/>
    <w:pPr>
      <w:ind w:left="566"/>
      <w:contextualSpacing/>
    </w:pPr>
  </w:style>
  <w:style w:type="paragraph" w:styleId="Liste-forts3">
    <w:name w:val="List Continue 3"/>
    <w:basedOn w:val="Normal"/>
    <w:uiPriority w:val="99"/>
    <w:semiHidden/>
    <w:unhideWhenUsed/>
    <w:rsid w:val="009B28A1"/>
    <w:pPr>
      <w:ind w:left="849"/>
      <w:contextualSpacing/>
    </w:pPr>
  </w:style>
  <w:style w:type="paragraph" w:styleId="Liste-forts4">
    <w:name w:val="List Continue 4"/>
    <w:basedOn w:val="Normal"/>
    <w:uiPriority w:val="99"/>
    <w:semiHidden/>
    <w:unhideWhenUsed/>
    <w:rsid w:val="009B28A1"/>
    <w:pPr>
      <w:ind w:left="1132"/>
      <w:contextualSpacing/>
    </w:pPr>
  </w:style>
  <w:style w:type="paragraph" w:styleId="Liste-forts5">
    <w:name w:val="List Continue 5"/>
    <w:basedOn w:val="Normal"/>
    <w:uiPriority w:val="99"/>
    <w:semiHidden/>
    <w:unhideWhenUsed/>
    <w:rsid w:val="009B28A1"/>
    <w:pPr>
      <w:ind w:left="1415"/>
      <w:contextualSpacing/>
    </w:pPr>
  </w:style>
  <w:style w:type="paragraph" w:styleId="Meldingshode">
    <w:name w:val="Message Header"/>
    <w:basedOn w:val="Normal"/>
    <w:link w:val="MeldingshodeTegn"/>
    <w:uiPriority w:val="99"/>
    <w:semiHidden/>
    <w:unhideWhenUsed/>
    <w:rsid w:val="009B28A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B28A1"/>
    <w:rPr>
      <w:rFonts w:asciiTheme="majorHAnsi" w:eastAsiaTheme="majorEastAsia" w:hAnsiTheme="majorHAnsi" w:cstheme="majorBidi"/>
      <w:kern w:val="0"/>
      <w:sz w:val="22"/>
      <w:shd w:val="pct20" w:color="auto" w:fill="auto"/>
      <w14:ligatures w14:val="none"/>
    </w:rPr>
  </w:style>
  <w:style w:type="paragraph" w:styleId="Innledendehilsen">
    <w:name w:val="Salutation"/>
    <w:basedOn w:val="Normal"/>
    <w:next w:val="Normal"/>
    <w:link w:val="InnledendehilsenTegn"/>
    <w:uiPriority w:val="99"/>
    <w:semiHidden/>
    <w:unhideWhenUsed/>
    <w:rsid w:val="009B28A1"/>
  </w:style>
  <w:style w:type="character" w:customStyle="1" w:styleId="InnledendehilsenTegn">
    <w:name w:val="Innledende hilsen Tegn"/>
    <w:basedOn w:val="Standardskriftforavsnitt"/>
    <w:link w:val="Innledendehilsen"/>
    <w:uiPriority w:val="99"/>
    <w:semiHidden/>
    <w:rsid w:val="009B28A1"/>
    <w:rPr>
      <w:rFonts w:ascii="Open Sans" w:eastAsia="Times New Roman" w:hAnsi="Open Sans"/>
      <w:kern w:val="0"/>
      <w:sz w:val="22"/>
      <w:szCs w:val="22"/>
      <w14:ligatures w14:val="none"/>
    </w:rPr>
  </w:style>
  <w:style w:type="paragraph" w:styleId="Brdtekst-frsteinnrykk">
    <w:name w:val="Body Text First Indent"/>
    <w:basedOn w:val="Brdtekst"/>
    <w:link w:val="Brdtekst-frsteinnrykkTegn"/>
    <w:uiPriority w:val="99"/>
    <w:semiHidden/>
    <w:unhideWhenUsed/>
    <w:rsid w:val="009B28A1"/>
    <w:pPr>
      <w:ind w:firstLine="360"/>
    </w:pPr>
  </w:style>
  <w:style w:type="character" w:customStyle="1" w:styleId="Brdtekst-frsteinnrykkTegn">
    <w:name w:val="Brødtekst - første innrykk Tegn"/>
    <w:basedOn w:val="BrdtekstTegn"/>
    <w:link w:val="Brdtekst-frsteinnrykk"/>
    <w:uiPriority w:val="99"/>
    <w:semiHidden/>
    <w:rsid w:val="009B28A1"/>
    <w:rPr>
      <w:rFonts w:ascii="Open Sans" w:eastAsia="Times New Roman" w:hAnsi="Open Sans"/>
      <w:kern w:val="0"/>
      <w:sz w:val="22"/>
      <w:szCs w:val="22"/>
      <w14:ligatures w14:val="none"/>
    </w:rPr>
  </w:style>
  <w:style w:type="paragraph" w:styleId="Brdtekst-frsteinnrykk2">
    <w:name w:val="Body Text First Indent 2"/>
    <w:basedOn w:val="Brdtekstinnrykk"/>
    <w:link w:val="Brdtekst-frsteinnrykk2Tegn"/>
    <w:uiPriority w:val="99"/>
    <w:semiHidden/>
    <w:unhideWhenUsed/>
    <w:rsid w:val="009B28A1"/>
    <w:pPr>
      <w:ind w:left="360" w:firstLine="360"/>
    </w:pPr>
  </w:style>
  <w:style w:type="character" w:customStyle="1" w:styleId="Brdtekst-frsteinnrykk2Tegn">
    <w:name w:val="Brødtekst - første innrykk 2 Tegn"/>
    <w:basedOn w:val="BrdtekstinnrykkTegn"/>
    <w:link w:val="Brdtekst-frsteinnrykk2"/>
    <w:uiPriority w:val="99"/>
    <w:semiHidden/>
    <w:rsid w:val="009B28A1"/>
    <w:rPr>
      <w:rFonts w:ascii="Open Sans" w:eastAsia="Times New Roman" w:hAnsi="Open Sans"/>
      <w:kern w:val="0"/>
      <w:sz w:val="22"/>
      <w:szCs w:val="22"/>
      <w14:ligatures w14:val="none"/>
    </w:rPr>
  </w:style>
  <w:style w:type="paragraph" w:styleId="Notatoverskrift">
    <w:name w:val="Note Heading"/>
    <w:basedOn w:val="Normal"/>
    <w:next w:val="Normal"/>
    <w:link w:val="NotatoverskriftTegn"/>
    <w:uiPriority w:val="99"/>
    <w:semiHidden/>
    <w:unhideWhenUsed/>
    <w:rsid w:val="009B28A1"/>
    <w:pPr>
      <w:spacing w:after="0" w:line="240" w:lineRule="auto"/>
    </w:pPr>
  </w:style>
  <w:style w:type="character" w:customStyle="1" w:styleId="NotatoverskriftTegn">
    <w:name w:val="Notatoverskrift Tegn"/>
    <w:basedOn w:val="Standardskriftforavsnitt"/>
    <w:link w:val="Notatoverskrift"/>
    <w:uiPriority w:val="99"/>
    <w:semiHidden/>
    <w:rsid w:val="009B28A1"/>
    <w:rPr>
      <w:rFonts w:ascii="Open Sans" w:eastAsia="Times New Roman" w:hAnsi="Open Sans"/>
      <w:kern w:val="0"/>
      <w:sz w:val="22"/>
      <w:szCs w:val="22"/>
      <w14:ligatures w14:val="none"/>
    </w:rPr>
  </w:style>
  <w:style w:type="paragraph" w:styleId="Brdtekst2">
    <w:name w:val="Body Text 2"/>
    <w:basedOn w:val="Normal"/>
    <w:link w:val="Brdtekst2Tegn"/>
    <w:uiPriority w:val="99"/>
    <w:semiHidden/>
    <w:unhideWhenUsed/>
    <w:rsid w:val="009B28A1"/>
    <w:pPr>
      <w:spacing w:line="480" w:lineRule="auto"/>
    </w:pPr>
  </w:style>
  <w:style w:type="character" w:customStyle="1" w:styleId="Brdtekst2Tegn">
    <w:name w:val="Brødtekst 2 Tegn"/>
    <w:basedOn w:val="Standardskriftforavsnitt"/>
    <w:link w:val="Brdtekst2"/>
    <w:uiPriority w:val="99"/>
    <w:semiHidden/>
    <w:rsid w:val="009B28A1"/>
    <w:rPr>
      <w:rFonts w:ascii="Open Sans" w:eastAsia="Times New Roman" w:hAnsi="Open Sans"/>
      <w:kern w:val="0"/>
      <w:sz w:val="22"/>
      <w:szCs w:val="22"/>
      <w14:ligatures w14:val="none"/>
    </w:rPr>
  </w:style>
  <w:style w:type="paragraph" w:styleId="Brdtekst3">
    <w:name w:val="Body Text 3"/>
    <w:basedOn w:val="Normal"/>
    <w:link w:val="Brdtekst3Tegn"/>
    <w:uiPriority w:val="99"/>
    <w:semiHidden/>
    <w:unhideWhenUsed/>
    <w:rsid w:val="009B28A1"/>
    <w:rPr>
      <w:sz w:val="16"/>
      <w:szCs w:val="16"/>
    </w:rPr>
  </w:style>
  <w:style w:type="character" w:customStyle="1" w:styleId="Brdtekst3Tegn">
    <w:name w:val="Brødtekst 3 Tegn"/>
    <w:basedOn w:val="Standardskriftforavsnitt"/>
    <w:link w:val="Brdtekst3"/>
    <w:uiPriority w:val="99"/>
    <w:semiHidden/>
    <w:rsid w:val="009B28A1"/>
    <w:rPr>
      <w:rFonts w:ascii="Open Sans" w:eastAsia="Times New Roman" w:hAnsi="Open Sans"/>
      <w:kern w:val="0"/>
      <w:sz w:val="16"/>
      <w:szCs w:val="16"/>
      <w14:ligatures w14:val="none"/>
    </w:rPr>
  </w:style>
  <w:style w:type="paragraph" w:styleId="Brdtekstinnrykk2">
    <w:name w:val="Body Text Indent 2"/>
    <w:basedOn w:val="Normal"/>
    <w:link w:val="Brdtekstinnrykk2Tegn"/>
    <w:uiPriority w:val="99"/>
    <w:semiHidden/>
    <w:unhideWhenUsed/>
    <w:rsid w:val="009B28A1"/>
    <w:pPr>
      <w:spacing w:line="480" w:lineRule="auto"/>
      <w:ind w:left="283"/>
    </w:pPr>
  </w:style>
  <w:style w:type="character" w:customStyle="1" w:styleId="Brdtekstinnrykk2Tegn">
    <w:name w:val="Brødtekstinnrykk 2 Tegn"/>
    <w:basedOn w:val="Standardskriftforavsnitt"/>
    <w:link w:val="Brdtekstinnrykk2"/>
    <w:uiPriority w:val="99"/>
    <w:semiHidden/>
    <w:rsid w:val="009B28A1"/>
    <w:rPr>
      <w:rFonts w:ascii="Open Sans" w:eastAsia="Times New Roman" w:hAnsi="Open Sans"/>
      <w:kern w:val="0"/>
      <w:sz w:val="22"/>
      <w:szCs w:val="22"/>
      <w14:ligatures w14:val="none"/>
    </w:rPr>
  </w:style>
  <w:style w:type="paragraph" w:styleId="Brdtekstinnrykk3">
    <w:name w:val="Body Text Indent 3"/>
    <w:basedOn w:val="Normal"/>
    <w:link w:val="Brdtekstinnrykk3Tegn"/>
    <w:uiPriority w:val="99"/>
    <w:semiHidden/>
    <w:unhideWhenUsed/>
    <w:rsid w:val="009B28A1"/>
    <w:pPr>
      <w:ind w:left="283"/>
    </w:pPr>
    <w:rPr>
      <w:sz w:val="16"/>
      <w:szCs w:val="16"/>
    </w:rPr>
  </w:style>
  <w:style w:type="character" w:customStyle="1" w:styleId="Brdtekstinnrykk3Tegn">
    <w:name w:val="Brødtekstinnrykk 3 Tegn"/>
    <w:basedOn w:val="Standardskriftforavsnitt"/>
    <w:link w:val="Brdtekstinnrykk3"/>
    <w:uiPriority w:val="99"/>
    <w:semiHidden/>
    <w:rsid w:val="009B28A1"/>
    <w:rPr>
      <w:rFonts w:ascii="Open Sans" w:eastAsia="Times New Roman" w:hAnsi="Open Sans"/>
      <w:kern w:val="0"/>
      <w:sz w:val="16"/>
      <w:szCs w:val="16"/>
      <w14:ligatures w14:val="none"/>
    </w:rPr>
  </w:style>
  <w:style w:type="paragraph" w:styleId="Blokktekst">
    <w:name w:val="Block Text"/>
    <w:basedOn w:val="Normal"/>
    <w:uiPriority w:val="99"/>
    <w:semiHidden/>
    <w:unhideWhenUsed/>
    <w:rsid w:val="009B28A1"/>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9B28A1"/>
    <w:rPr>
      <w:color w:val="96607D" w:themeColor="followedHyperlink"/>
      <w:u w:val="single"/>
    </w:rPr>
  </w:style>
  <w:style w:type="character" w:styleId="Sterk">
    <w:name w:val="Strong"/>
    <w:basedOn w:val="Standardskriftforavsnitt"/>
    <w:uiPriority w:val="22"/>
    <w:qFormat/>
    <w:rsid w:val="009B28A1"/>
    <w:rPr>
      <w:b/>
      <w:bCs/>
    </w:rPr>
  </w:style>
  <w:style w:type="character" w:styleId="Utheving">
    <w:name w:val="Emphasis"/>
    <w:basedOn w:val="Standardskriftforavsnitt"/>
    <w:uiPriority w:val="20"/>
    <w:qFormat/>
    <w:rsid w:val="009B28A1"/>
    <w:rPr>
      <w:i/>
      <w:iCs/>
    </w:rPr>
  </w:style>
  <w:style w:type="paragraph" w:styleId="Dokumentkart">
    <w:name w:val="Document Map"/>
    <w:basedOn w:val="Normal"/>
    <w:link w:val="DokumentkartTegn"/>
    <w:uiPriority w:val="99"/>
    <w:semiHidden/>
    <w:unhideWhenUsed/>
    <w:rsid w:val="009B28A1"/>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9B28A1"/>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9B28A1"/>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9B28A1"/>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9B28A1"/>
    <w:pPr>
      <w:spacing w:after="0" w:line="240" w:lineRule="auto"/>
    </w:pPr>
  </w:style>
  <w:style w:type="character" w:customStyle="1" w:styleId="E-postsignaturTegn">
    <w:name w:val="E-postsignatur Tegn"/>
    <w:basedOn w:val="Standardskriftforavsnitt"/>
    <w:link w:val="E-postsignatur"/>
    <w:uiPriority w:val="99"/>
    <w:semiHidden/>
    <w:rsid w:val="009B28A1"/>
    <w:rPr>
      <w:rFonts w:ascii="Open Sans" w:eastAsia="Times New Roman" w:hAnsi="Open Sans"/>
      <w:kern w:val="0"/>
      <w:sz w:val="22"/>
      <w:szCs w:val="22"/>
      <w14:ligatures w14:val="none"/>
    </w:rPr>
  </w:style>
  <w:style w:type="paragraph" w:styleId="NormalWeb">
    <w:name w:val="Normal (Web)"/>
    <w:basedOn w:val="Normal"/>
    <w:uiPriority w:val="99"/>
    <w:semiHidden/>
    <w:unhideWhenUsed/>
    <w:rsid w:val="009B28A1"/>
    <w:rPr>
      <w:rFonts w:cs="Times New Roman"/>
      <w:szCs w:val="24"/>
    </w:rPr>
  </w:style>
  <w:style w:type="character" w:styleId="HTML-akronym">
    <w:name w:val="HTML Acronym"/>
    <w:basedOn w:val="Standardskriftforavsnitt"/>
    <w:uiPriority w:val="99"/>
    <w:semiHidden/>
    <w:unhideWhenUsed/>
    <w:rsid w:val="009B28A1"/>
  </w:style>
  <w:style w:type="paragraph" w:styleId="HTML-adresse">
    <w:name w:val="HTML Address"/>
    <w:basedOn w:val="Normal"/>
    <w:link w:val="HTML-adresseTegn"/>
    <w:uiPriority w:val="99"/>
    <w:semiHidden/>
    <w:unhideWhenUsed/>
    <w:rsid w:val="009B28A1"/>
    <w:pPr>
      <w:spacing w:after="0" w:line="240" w:lineRule="auto"/>
    </w:pPr>
    <w:rPr>
      <w:i/>
      <w:iCs/>
    </w:rPr>
  </w:style>
  <w:style w:type="character" w:customStyle="1" w:styleId="HTML-adresseTegn">
    <w:name w:val="HTML-adresse Tegn"/>
    <w:basedOn w:val="Standardskriftforavsnitt"/>
    <w:link w:val="HTML-adresse"/>
    <w:uiPriority w:val="99"/>
    <w:semiHidden/>
    <w:rsid w:val="009B28A1"/>
    <w:rPr>
      <w:rFonts w:ascii="Open Sans" w:eastAsia="Times New Roman" w:hAnsi="Open Sans"/>
      <w:i/>
      <w:iCs/>
      <w:kern w:val="0"/>
      <w:sz w:val="22"/>
      <w:szCs w:val="22"/>
      <w14:ligatures w14:val="none"/>
    </w:rPr>
  </w:style>
  <w:style w:type="character" w:styleId="HTML-sitat">
    <w:name w:val="HTML Cite"/>
    <w:basedOn w:val="Standardskriftforavsnitt"/>
    <w:uiPriority w:val="99"/>
    <w:semiHidden/>
    <w:unhideWhenUsed/>
    <w:rsid w:val="009B28A1"/>
    <w:rPr>
      <w:i/>
      <w:iCs/>
    </w:rPr>
  </w:style>
  <w:style w:type="character" w:styleId="HTML-kode">
    <w:name w:val="HTML Code"/>
    <w:basedOn w:val="Standardskriftforavsnitt"/>
    <w:uiPriority w:val="99"/>
    <w:semiHidden/>
    <w:unhideWhenUsed/>
    <w:rsid w:val="009B28A1"/>
    <w:rPr>
      <w:rFonts w:ascii="Consolas" w:hAnsi="Consolas"/>
      <w:sz w:val="20"/>
      <w:szCs w:val="20"/>
    </w:rPr>
  </w:style>
  <w:style w:type="character" w:styleId="HTML-definisjon">
    <w:name w:val="HTML Definition"/>
    <w:basedOn w:val="Standardskriftforavsnitt"/>
    <w:uiPriority w:val="99"/>
    <w:semiHidden/>
    <w:unhideWhenUsed/>
    <w:rsid w:val="009B28A1"/>
    <w:rPr>
      <w:i/>
      <w:iCs/>
    </w:rPr>
  </w:style>
  <w:style w:type="character" w:styleId="HTML-tastatur">
    <w:name w:val="HTML Keyboard"/>
    <w:basedOn w:val="Standardskriftforavsnitt"/>
    <w:uiPriority w:val="99"/>
    <w:semiHidden/>
    <w:unhideWhenUsed/>
    <w:rsid w:val="009B28A1"/>
    <w:rPr>
      <w:rFonts w:ascii="Consolas" w:hAnsi="Consolas"/>
      <w:sz w:val="20"/>
      <w:szCs w:val="20"/>
    </w:rPr>
  </w:style>
  <w:style w:type="paragraph" w:styleId="HTML-forhndsformatert">
    <w:name w:val="HTML Preformatted"/>
    <w:basedOn w:val="Normal"/>
    <w:link w:val="HTML-forhndsformatertTegn"/>
    <w:uiPriority w:val="99"/>
    <w:semiHidden/>
    <w:unhideWhenUsed/>
    <w:rsid w:val="009B28A1"/>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9B28A1"/>
    <w:rPr>
      <w:rFonts w:ascii="Consolas" w:eastAsia="Times New Roman" w:hAnsi="Consolas"/>
      <w:kern w:val="0"/>
      <w:sz w:val="22"/>
      <w:szCs w:val="20"/>
      <w14:ligatures w14:val="none"/>
    </w:rPr>
  </w:style>
  <w:style w:type="character" w:styleId="HTML-eksempel">
    <w:name w:val="HTML Sample"/>
    <w:basedOn w:val="Standardskriftforavsnitt"/>
    <w:uiPriority w:val="99"/>
    <w:semiHidden/>
    <w:unhideWhenUsed/>
    <w:rsid w:val="009B28A1"/>
    <w:rPr>
      <w:rFonts w:ascii="Consolas" w:hAnsi="Consolas"/>
      <w:sz w:val="24"/>
      <w:szCs w:val="24"/>
    </w:rPr>
  </w:style>
  <w:style w:type="character" w:styleId="HTML-skrivemaskin">
    <w:name w:val="HTML Typewriter"/>
    <w:basedOn w:val="Standardskriftforavsnitt"/>
    <w:uiPriority w:val="99"/>
    <w:semiHidden/>
    <w:unhideWhenUsed/>
    <w:rsid w:val="009B28A1"/>
    <w:rPr>
      <w:rFonts w:ascii="Consolas" w:hAnsi="Consolas"/>
      <w:sz w:val="20"/>
      <w:szCs w:val="20"/>
    </w:rPr>
  </w:style>
  <w:style w:type="character" w:styleId="HTML-variabel">
    <w:name w:val="HTML Variable"/>
    <w:basedOn w:val="Standardskriftforavsnitt"/>
    <w:uiPriority w:val="99"/>
    <w:semiHidden/>
    <w:unhideWhenUsed/>
    <w:rsid w:val="009B28A1"/>
    <w:rPr>
      <w:i/>
      <w:iCs/>
    </w:rPr>
  </w:style>
  <w:style w:type="paragraph" w:styleId="Kommentaremne">
    <w:name w:val="annotation subject"/>
    <w:basedOn w:val="Merknadstekst"/>
    <w:next w:val="Merknadstekst"/>
    <w:link w:val="KommentaremneTegn"/>
    <w:uiPriority w:val="99"/>
    <w:semiHidden/>
    <w:unhideWhenUsed/>
    <w:rsid w:val="009B28A1"/>
    <w:pPr>
      <w:spacing w:line="240" w:lineRule="auto"/>
    </w:pPr>
    <w:rPr>
      <w:b/>
      <w:bCs/>
      <w:szCs w:val="20"/>
    </w:rPr>
  </w:style>
  <w:style w:type="character" w:customStyle="1" w:styleId="KommentaremneTegn">
    <w:name w:val="Kommentaremne Tegn"/>
    <w:basedOn w:val="MerknadstekstTegn"/>
    <w:link w:val="Kommentaremne"/>
    <w:uiPriority w:val="99"/>
    <w:semiHidden/>
    <w:rsid w:val="009B28A1"/>
    <w:rPr>
      <w:rFonts w:ascii="Open Sans" w:eastAsia="Times New Roman" w:hAnsi="Open Sans"/>
      <w:b/>
      <w:bCs/>
      <w:kern w:val="0"/>
      <w:sz w:val="22"/>
      <w:szCs w:val="20"/>
      <w14:ligatures w14:val="none"/>
    </w:rPr>
  </w:style>
  <w:style w:type="paragraph" w:styleId="Bobletekst">
    <w:name w:val="Balloon Text"/>
    <w:basedOn w:val="Normal"/>
    <w:link w:val="BobletekstTegn"/>
    <w:uiPriority w:val="99"/>
    <w:semiHidden/>
    <w:unhideWhenUsed/>
    <w:rsid w:val="009B28A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B28A1"/>
    <w:rPr>
      <w:rFonts w:ascii="Tahoma" w:eastAsia="Times New Roman" w:hAnsi="Tahoma" w:cs="Tahoma"/>
      <w:kern w:val="0"/>
      <w:sz w:val="16"/>
      <w:szCs w:val="16"/>
      <w14:ligatures w14:val="none"/>
    </w:rPr>
  </w:style>
  <w:style w:type="table" w:styleId="Tabellrutenett">
    <w:name w:val="Table Grid"/>
    <w:basedOn w:val="Vanligtabell"/>
    <w:uiPriority w:val="59"/>
    <w:rsid w:val="009B28A1"/>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9B28A1"/>
    <w:rPr>
      <w:color w:val="808080"/>
    </w:rPr>
  </w:style>
  <w:style w:type="paragraph" w:styleId="Ingenmellomrom">
    <w:name w:val="No Spacing"/>
    <w:uiPriority w:val="1"/>
    <w:qFormat/>
    <w:rsid w:val="009B28A1"/>
    <w:pPr>
      <w:spacing w:after="0" w:line="240" w:lineRule="auto"/>
    </w:pPr>
    <w:rPr>
      <w:rFonts w:ascii="Calibri" w:eastAsia="Times New Roman" w:hAnsi="Calibri"/>
      <w:kern w:val="0"/>
      <w:szCs w:val="22"/>
      <w14:ligatures w14:val="none"/>
    </w:rPr>
  </w:style>
  <w:style w:type="paragraph" w:styleId="Listeavsnitt">
    <w:name w:val="List Paragraph"/>
    <w:basedOn w:val="friliste"/>
    <w:uiPriority w:val="34"/>
    <w:qFormat/>
    <w:rsid w:val="009B28A1"/>
    <w:pPr>
      <w:spacing w:before="0"/>
      <w:ind w:firstLine="0"/>
    </w:pPr>
  </w:style>
  <w:style w:type="paragraph" w:styleId="Sitat">
    <w:name w:val="Quote"/>
    <w:basedOn w:val="Normal"/>
    <w:next w:val="Normal"/>
    <w:link w:val="SitatTegn"/>
    <w:uiPriority w:val="29"/>
    <w:qFormat/>
    <w:rsid w:val="009B28A1"/>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9B28A1"/>
    <w:rPr>
      <w:rFonts w:ascii="Open Sans" w:eastAsia="Times New Roman" w:hAnsi="Open Sans"/>
      <w:i/>
      <w:iCs/>
      <w:color w:val="404040" w:themeColor="text1" w:themeTint="BF"/>
      <w:kern w:val="0"/>
      <w:sz w:val="22"/>
      <w:szCs w:val="22"/>
      <w14:ligatures w14:val="none"/>
    </w:rPr>
  </w:style>
  <w:style w:type="paragraph" w:styleId="Sterktsitat">
    <w:name w:val="Intense Quote"/>
    <w:basedOn w:val="Normal"/>
    <w:next w:val="Normal"/>
    <w:link w:val="SterktsitatTegn"/>
    <w:uiPriority w:val="30"/>
    <w:qFormat/>
    <w:rsid w:val="009B28A1"/>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9B28A1"/>
    <w:rPr>
      <w:rFonts w:ascii="Open Sans" w:eastAsia="Times New Roman" w:hAnsi="Open Sans"/>
      <w:b/>
      <w:bCs/>
      <w:i/>
      <w:iCs/>
      <w:color w:val="156082" w:themeColor="accent1"/>
      <w:kern w:val="0"/>
      <w:sz w:val="22"/>
      <w:szCs w:val="22"/>
      <w14:ligatures w14:val="none"/>
    </w:rPr>
  </w:style>
  <w:style w:type="character" w:styleId="Svakutheving">
    <w:name w:val="Subtle Emphasis"/>
    <w:basedOn w:val="Standardskriftforavsnitt"/>
    <w:uiPriority w:val="19"/>
    <w:qFormat/>
    <w:rsid w:val="009B28A1"/>
    <w:rPr>
      <w:i/>
      <w:iCs/>
      <w:color w:val="808080" w:themeColor="text1" w:themeTint="7F"/>
    </w:rPr>
  </w:style>
  <w:style w:type="character" w:styleId="Sterkutheving">
    <w:name w:val="Intense Emphasis"/>
    <w:basedOn w:val="Standardskriftforavsnitt"/>
    <w:uiPriority w:val="21"/>
    <w:qFormat/>
    <w:rsid w:val="009B28A1"/>
    <w:rPr>
      <w:b/>
      <w:bCs/>
      <w:i/>
      <w:iCs/>
      <w:color w:val="156082" w:themeColor="accent1"/>
    </w:rPr>
  </w:style>
  <w:style w:type="character" w:styleId="Svakreferanse">
    <w:name w:val="Subtle Reference"/>
    <w:basedOn w:val="Standardskriftforavsnitt"/>
    <w:uiPriority w:val="31"/>
    <w:qFormat/>
    <w:rsid w:val="009B28A1"/>
    <w:rPr>
      <w:smallCaps/>
      <w:color w:val="E97132" w:themeColor="accent2"/>
      <w:u w:val="single"/>
    </w:rPr>
  </w:style>
  <w:style w:type="character" w:styleId="Sterkreferanse">
    <w:name w:val="Intense Reference"/>
    <w:basedOn w:val="Standardskriftforavsnitt"/>
    <w:uiPriority w:val="32"/>
    <w:qFormat/>
    <w:rsid w:val="009B28A1"/>
    <w:rPr>
      <w:b/>
      <w:bCs/>
      <w:smallCaps/>
      <w:color w:val="E97132" w:themeColor="accent2"/>
      <w:spacing w:val="5"/>
      <w:u w:val="single"/>
    </w:rPr>
  </w:style>
  <w:style w:type="character" w:styleId="Boktittel">
    <w:name w:val="Book Title"/>
    <w:basedOn w:val="Standardskriftforavsnitt"/>
    <w:uiPriority w:val="33"/>
    <w:qFormat/>
    <w:rsid w:val="009B28A1"/>
    <w:rPr>
      <w:b/>
      <w:bCs/>
      <w:smallCaps/>
      <w:spacing w:val="5"/>
    </w:rPr>
  </w:style>
  <w:style w:type="paragraph" w:styleId="Bibliografi">
    <w:name w:val="Bibliography"/>
    <w:basedOn w:val="Normal"/>
    <w:next w:val="Normal"/>
    <w:uiPriority w:val="37"/>
    <w:semiHidden/>
    <w:unhideWhenUsed/>
    <w:rsid w:val="009B28A1"/>
  </w:style>
  <w:style w:type="paragraph" w:styleId="Overskriftforinnholdsfortegnelse">
    <w:name w:val="TOC Heading"/>
    <w:basedOn w:val="Overskrift1"/>
    <w:next w:val="Normal"/>
    <w:uiPriority w:val="39"/>
    <w:unhideWhenUsed/>
    <w:qFormat/>
    <w:rsid w:val="009B28A1"/>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9B28A1"/>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9B28A1"/>
    <w:pPr>
      <w:spacing w:after="0" w:line="240" w:lineRule="auto"/>
    </w:pPr>
    <w:rPr>
      <w:rFonts w:eastAsiaTheme="minorHAnsi"/>
      <w:kern w:val="0"/>
      <w:sz w:val="22"/>
      <w:szCs w:val="22"/>
      <w:lang w:eastAsia="en-US"/>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9B28A1"/>
    <w:pPr>
      <w:spacing w:after="0" w:line="240" w:lineRule="auto"/>
    </w:pPr>
    <w:rPr>
      <w:rFonts w:eastAsiaTheme="minorHAnsi"/>
      <w:color w:val="FFFFFF" w:themeColor="background1"/>
      <w:kern w:val="0"/>
      <w:sz w:val="22"/>
      <w:szCs w:val="22"/>
      <w:lang w:eastAsia="en-US"/>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9B28A1"/>
    <w:tblPr/>
    <w:tcPr>
      <w:shd w:val="clear" w:color="auto" w:fill="83CAEB" w:themeFill="accent1" w:themeFillTint="66"/>
    </w:tcPr>
  </w:style>
  <w:style w:type="table" w:customStyle="1" w:styleId="GronnBoks">
    <w:name w:val="GronnBoks"/>
    <w:basedOn w:val="StandardBoks"/>
    <w:uiPriority w:val="99"/>
    <w:rsid w:val="009B28A1"/>
    <w:tblPr/>
    <w:tcPr>
      <w:shd w:val="clear" w:color="auto" w:fill="B3E5A1" w:themeFill="accent6" w:themeFillTint="66"/>
    </w:tcPr>
  </w:style>
  <w:style w:type="table" w:customStyle="1" w:styleId="RodBoks">
    <w:name w:val="RodBoks"/>
    <w:basedOn w:val="StandardBoks"/>
    <w:uiPriority w:val="99"/>
    <w:rsid w:val="009B28A1"/>
    <w:tblPr/>
    <w:tcPr>
      <w:shd w:val="clear" w:color="auto" w:fill="FFB3B3"/>
    </w:tcPr>
  </w:style>
  <w:style w:type="paragraph" w:customStyle="1" w:styleId="BoksGraaTittel">
    <w:name w:val="BoksGraaTittel"/>
    <w:basedOn w:val="Normal"/>
    <w:next w:val="Normal"/>
    <w:qFormat/>
    <w:rsid w:val="009B28A1"/>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9B28A1"/>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9B28A1"/>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9B28A1"/>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9B28A1"/>
    <w:rPr>
      <w:u w:val="single"/>
    </w:rPr>
  </w:style>
  <w:style w:type="paragraph" w:customStyle="1" w:styleId="del-nr">
    <w:name w:val="del-nr"/>
    <w:basedOn w:val="Normal"/>
    <w:qFormat/>
    <w:rsid w:val="009B28A1"/>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9B28A1"/>
    <w:pPr>
      <w:pageBreakBefore/>
      <w:autoSpaceDE w:val="0"/>
      <w:autoSpaceDN w:val="0"/>
      <w:adjustRightInd w:val="0"/>
      <w:spacing w:after="200" w:line="580" w:lineRule="atLeast"/>
      <w:jc w:val="center"/>
      <w:outlineLvl w:val="0"/>
    </w:pPr>
    <w:rPr>
      <w:rFonts w:ascii="Times New Roman" w:hAnsi="Times New Roman" w:cs="UniCentury Old Style"/>
      <w:i/>
      <w:iCs/>
      <w:color w:val="000000"/>
      <w:w w:val="0"/>
      <w:kern w:val="0"/>
      <w:sz w:val="46"/>
      <w:szCs w:val="46"/>
      <w14:ligatures w14:val="none"/>
    </w:rPr>
  </w:style>
  <w:style w:type="paragraph" w:customStyle="1" w:styleId="tblRad">
    <w:name w:val="tblRad"/>
    <w:rsid w:val="009B28A1"/>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9B28A1"/>
  </w:style>
  <w:style w:type="paragraph" w:customStyle="1" w:styleId="tbl2LinjeSumBold">
    <w:name w:val="tbl2LinjeSumBold"/>
    <w:basedOn w:val="tblRad"/>
    <w:rsid w:val="009B28A1"/>
    <w:rPr>
      <w:b/>
    </w:rPr>
  </w:style>
  <w:style w:type="paragraph" w:customStyle="1" w:styleId="tblDelsum1">
    <w:name w:val="tblDelsum1"/>
    <w:basedOn w:val="tblRad"/>
    <w:rsid w:val="009B28A1"/>
    <w:rPr>
      <w:i/>
    </w:rPr>
  </w:style>
  <w:style w:type="paragraph" w:customStyle="1" w:styleId="tblDelsum1-Kapittel">
    <w:name w:val="tblDelsum1 - Kapittel"/>
    <w:basedOn w:val="tblDelsum1"/>
    <w:rsid w:val="009B28A1"/>
    <w:pPr>
      <w:keepNext w:val="0"/>
    </w:pPr>
  </w:style>
  <w:style w:type="paragraph" w:customStyle="1" w:styleId="tblDelsum2">
    <w:name w:val="tblDelsum2"/>
    <w:basedOn w:val="tblRad"/>
    <w:rsid w:val="009B28A1"/>
    <w:rPr>
      <w:b/>
      <w:i/>
    </w:rPr>
  </w:style>
  <w:style w:type="paragraph" w:customStyle="1" w:styleId="tblDelsum2-Kapittel">
    <w:name w:val="tblDelsum2 - Kapittel"/>
    <w:basedOn w:val="tblDelsum2"/>
    <w:rsid w:val="009B28A1"/>
    <w:pPr>
      <w:keepNext w:val="0"/>
    </w:pPr>
  </w:style>
  <w:style w:type="paragraph" w:customStyle="1" w:styleId="tblTabelloverskrift">
    <w:name w:val="tblTabelloverskrift"/>
    <w:rsid w:val="009B28A1"/>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9B28A1"/>
    <w:pPr>
      <w:spacing w:after="0"/>
      <w:jc w:val="right"/>
    </w:pPr>
    <w:rPr>
      <w:b w:val="0"/>
      <w:caps w:val="0"/>
      <w:sz w:val="16"/>
    </w:rPr>
  </w:style>
  <w:style w:type="paragraph" w:customStyle="1" w:styleId="tblKategoriOverskrift">
    <w:name w:val="tblKategoriOverskrift"/>
    <w:basedOn w:val="tblRad"/>
    <w:rsid w:val="009B28A1"/>
    <w:pPr>
      <w:spacing w:before="120"/>
    </w:pPr>
    <w:rPr>
      <w:b/>
    </w:rPr>
  </w:style>
  <w:style w:type="paragraph" w:customStyle="1" w:styleId="tblKolonneoverskrift">
    <w:name w:val="tblKolonneoverskrift"/>
    <w:basedOn w:val="Normal"/>
    <w:rsid w:val="009B28A1"/>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9B28A1"/>
    <w:pPr>
      <w:spacing w:after="360"/>
      <w:jc w:val="center"/>
    </w:pPr>
    <w:rPr>
      <w:b w:val="0"/>
      <w:caps w:val="0"/>
    </w:rPr>
  </w:style>
  <w:style w:type="paragraph" w:customStyle="1" w:styleId="tblKolonneoverskrift-Vedtak">
    <w:name w:val="tblKolonneoverskrift - Vedtak"/>
    <w:basedOn w:val="tblTabelloverskrift-Vedtak"/>
    <w:rsid w:val="009B28A1"/>
    <w:pPr>
      <w:spacing w:after="0"/>
    </w:pPr>
  </w:style>
  <w:style w:type="paragraph" w:customStyle="1" w:styleId="tblOverskrift-Vedtak">
    <w:name w:val="tblOverskrift - Vedtak"/>
    <w:basedOn w:val="tblRad"/>
    <w:rsid w:val="009B28A1"/>
    <w:pPr>
      <w:spacing w:before="360"/>
      <w:jc w:val="center"/>
    </w:pPr>
  </w:style>
  <w:style w:type="paragraph" w:customStyle="1" w:styleId="tblRadBold">
    <w:name w:val="tblRadBold"/>
    <w:basedOn w:val="tblRad"/>
    <w:rsid w:val="009B28A1"/>
    <w:rPr>
      <w:b/>
    </w:rPr>
  </w:style>
  <w:style w:type="paragraph" w:customStyle="1" w:styleId="tblRadItalic">
    <w:name w:val="tblRadItalic"/>
    <w:basedOn w:val="tblRad"/>
    <w:rsid w:val="009B28A1"/>
    <w:rPr>
      <w:i/>
    </w:rPr>
  </w:style>
  <w:style w:type="paragraph" w:customStyle="1" w:styleId="tblRadItalicSiste">
    <w:name w:val="tblRadItalicSiste"/>
    <w:basedOn w:val="tblRadItalic"/>
    <w:rsid w:val="009B28A1"/>
  </w:style>
  <w:style w:type="paragraph" w:customStyle="1" w:styleId="tblRadMedLuft">
    <w:name w:val="tblRadMedLuft"/>
    <w:basedOn w:val="tblRad"/>
    <w:rsid w:val="009B28A1"/>
    <w:pPr>
      <w:spacing w:before="120"/>
    </w:pPr>
  </w:style>
  <w:style w:type="paragraph" w:customStyle="1" w:styleId="tblRadMedLuftSiste">
    <w:name w:val="tblRadMedLuftSiste"/>
    <w:basedOn w:val="tblRadMedLuft"/>
    <w:rsid w:val="009B28A1"/>
    <w:pPr>
      <w:spacing w:after="120"/>
    </w:pPr>
  </w:style>
  <w:style w:type="paragraph" w:customStyle="1" w:styleId="tblRadMedLuftSiste-Vedtak">
    <w:name w:val="tblRadMedLuftSiste - Vedtak"/>
    <w:basedOn w:val="tblRadMedLuftSiste"/>
    <w:rsid w:val="009B28A1"/>
    <w:pPr>
      <w:keepNext w:val="0"/>
    </w:pPr>
  </w:style>
  <w:style w:type="paragraph" w:customStyle="1" w:styleId="tblRadSiste">
    <w:name w:val="tblRadSiste"/>
    <w:basedOn w:val="tblRad"/>
    <w:rsid w:val="009B28A1"/>
  </w:style>
  <w:style w:type="paragraph" w:customStyle="1" w:styleId="tblSluttsum">
    <w:name w:val="tblSluttsum"/>
    <w:basedOn w:val="tblRad"/>
    <w:rsid w:val="009B28A1"/>
    <w:pPr>
      <w:spacing w:before="120"/>
    </w:pPr>
    <w:rPr>
      <w:b/>
      <w:i/>
    </w:rPr>
  </w:style>
  <w:style w:type="paragraph" w:customStyle="1" w:styleId="Stil1">
    <w:name w:val="Stil1"/>
    <w:basedOn w:val="Normal"/>
    <w:qFormat/>
    <w:rsid w:val="009B28A1"/>
    <w:pPr>
      <w:spacing w:after="100"/>
    </w:pPr>
  </w:style>
  <w:style w:type="paragraph" w:customStyle="1" w:styleId="Stil2">
    <w:name w:val="Stil2"/>
    <w:basedOn w:val="Normal"/>
    <w:autoRedefine/>
    <w:qFormat/>
    <w:rsid w:val="009B28A1"/>
    <w:pPr>
      <w:spacing w:after="100"/>
    </w:pPr>
  </w:style>
  <w:style w:type="paragraph" w:customStyle="1" w:styleId="Forside-departement">
    <w:name w:val="Forside-departement"/>
    <w:qFormat/>
    <w:rsid w:val="009B28A1"/>
    <w:pPr>
      <w:spacing w:after="0" w:line="280" w:lineRule="atLeast"/>
    </w:pPr>
    <w:rPr>
      <w:rFonts w:ascii="Open Sans" w:eastAsia="Times New Roman" w:hAnsi="Open Sans" w:cs="Open Sans"/>
      <w:kern w:val="0"/>
      <w14:ligatures w14:val="none"/>
    </w:rPr>
  </w:style>
  <w:style w:type="paragraph" w:customStyle="1" w:styleId="Forside-rapport">
    <w:name w:val="Forside-rapport"/>
    <w:qFormat/>
    <w:rsid w:val="009B28A1"/>
    <w:pPr>
      <w:spacing w:line="259" w:lineRule="auto"/>
      <w:jc w:val="right"/>
    </w:pPr>
    <w:rPr>
      <w:rFonts w:ascii="Open Sans" w:eastAsia="Times New Roman" w:hAnsi="Open Sans" w:cs="Open Sans"/>
      <w:kern w:val="0"/>
      <w14:ligatures w14:val="none"/>
    </w:rPr>
  </w:style>
  <w:style w:type="paragraph" w:customStyle="1" w:styleId="Forside-tittel">
    <w:name w:val="Forside-tittel"/>
    <w:next w:val="Forside-departement"/>
    <w:qFormat/>
    <w:rsid w:val="009B28A1"/>
    <w:pPr>
      <w:spacing w:after="0" w:line="240" w:lineRule="auto"/>
    </w:pPr>
    <w:rPr>
      <w:rFonts w:ascii="Open Sans" w:eastAsia="Times New Roman" w:hAnsi="Open Sans" w:cs="Open Sans"/>
      <w:color w:val="000000"/>
      <w:kern w:val="0"/>
      <w:sz w:val="66"/>
      <w:szCs w:val="66"/>
      <w:lang w:eastAsia="en-US"/>
      <w14:ligatures w14:val="none"/>
    </w:rPr>
  </w:style>
  <w:style w:type="character" w:styleId="Emneknagg">
    <w:name w:val="Hashtag"/>
    <w:basedOn w:val="Standardskriftforavsnitt"/>
    <w:uiPriority w:val="99"/>
    <w:semiHidden/>
    <w:unhideWhenUsed/>
    <w:rsid w:val="00346CBB"/>
    <w:rPr>
      <w:color w:val="2B579A"/>
      <w:shd w:val="clear" w:color="auto" w:fill="E1DFDD"/>
    </w:rPr>
  </w:style>
  <w:style w:type="character" w:styleId="Omtale">
    <w:name w:val="Mention"/>
    <w:basedOn w:val="Standardskriftforavsnitt"/>
    <w:uiPriority w:val="99"/>
    <w:semiHidden/>
    <w:unhideWhenUsed/>
    <w:rsid w:val="00346CBB"/>
    <w:rPr>
      <w:color w:val="2B579A"/>
      <w:shd w:val="clear" w:color="auto" w:fill="E1DFDD"/>
    </w:rPr>
  </w:style>
  <w:style w:type="character" w:styleId="Smarthyperkobling">
    <w:name w:val="Smart Hyperlink"/>
    <w:basedOn w:val="Standardskriftforavsnitt"/>
    <w:uiPriority w:val="99"/>
    <w:semiHidden/>
    <w:unhideWhenUsed/>
    <w:rsid w:val="00346CBB"/>
    <w:rPr>
      <w:u w:val="dotted"/>
    </w:rPr>
  </w:style>
  <w:style w:type="character" w:styleId="Smartkobling">
    <w:name w:val="Smart Link"/>
    <w:basedOn w:val="Standardskriftforavsnitt"/>
    <w:uiPriority w:val="99"/>
    <w:semiHidden/>
    <w:unhideWhenUsed/>
    <w:rsid w:val="00346CBB"/>
    <w:rPr>
      <w:color w:val="0000FF"/>
      <w:u w:val="single"/>
      <w:shd w:val="clear" w:color="auto" w:fill="F3F2F1"/>
    </w:rPr>
  </w:style>
  <w:style w:type="character" w:styleId="Ulstomtale">
    <w:name w:val="Unresolved Mention"/>
    <w:basedOn w:val="Standardskriftforavsnitt"/>
    <w:uiPriority w:val="99"/>
    <w:semiHidden/>
    <w:unhideWhenUsed/>
    <w:rsid w:val="00346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regjeringen.no/contentassets/c9be5e1850304bdbb0e071c2a3d09925/grunnlaget-for-inntektsoppgjorene-februar-2025.pdf" TargetMode="External"/><Relationship Id="rId4" Type="http://schemas.openxmlformats.org/officeDocument/2006/relationships/settings" Target="settings.xml"/><Relationship Id="rId9" Type="http://schemas.openxmlformats.org/officeDocument/2006/relationships/hyperlink" Target="https://www.regjeringen.no/no/dep/hod/org/styrer-rad-og-utvalg/teknisk-beregningsutvalg-for-spesialisthelsetjenestens-okonomi-tbs/id3046365/" TargetMode="External"/><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49D21-DE8A-4AE4-8159-3E82B8CD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16</TotalTime>
  <Pages>93</Pages>
  <Words>16574</Words>
  <Characters>95633</Characters>
  <Application>Microsoft Office Word</Application>
  <DocSecurity>0</DocSecurity>
  <Lines>4553</Lines>
  <Paragraphs>3032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Madsen Rogne</dc:creator>
  <cp:keywords/>
  <dc:description/>
  <cp:lastModifiedBy>Lars Rune Opsahl</cp:lastModifiedBy>
  <cp:revision>9</cp:revision>
  <dcterms:created xsi:type="dcterms:W3CDTF">2025-06-20T10:41:00Z</dcterms:created>
  <dcterms:modified xsi:type="dcterms:W3CDTF">2025-08-14T07:04:00Z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2025-06-20T10:51:39Z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db3ae576-07b0-46a5-9a4a-8f9c3bb36684</vt:lpwstr>
  </property>
  <property fmtid="{D5CDD505-2E9C-101B-9397-08002B2CF9AE}" pid="8" name="MSIP_Label_b22f7043-6caf-4431-9109-8eff758a1d8b_ContentBits">
    <vt:lpwstr>0</vt:lpwstr>
  </property>
</Properties>
</file>