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D21" w:rsidRDefault="00C3770E" w:rsidP="00CE47F2">
      <w:pPr>
        <w:pStyle w:val="i-dep"/>
      </w:pPr>
      <w:r>
        <w:t>Nærings- og fiskeridepartementet</w:t>
      </w:r>
    </w:p>
    <w:p w:rsidR="00D24D21" w:rsidRDefault="00D24D21" w:rsidP="00CE47F2">
      <w:pPr>
        <w:pStyle w:val="i-hode"/>
      </w:pPr>
      <w:r>
        <w:t>Meld. St. 18</w:t>
      </w:r>
    </w:p>
    <w:p w:rsidR="00D24D21" w:rsidRDefault="00D24D21" w:rsidP="00CE47F2">
      <w:pPr>
        <w:pStyle w:val="i-sesjon"/>
      </w:pPr>
      <w:r>
        <w:t>(2018–2019)</w:t>
      </w:r>
    </w:p>
    <w:p w:rsidR="00D24D21" w:rsidRDefault="00D24D21" w:rsidP="00CE47F2">
      <w:pPr>
        <w:pStyle w:val="i-hode-tit"/>
      </w:pPr>
      <w:r>
        <w:t>Melding til Stortinget</w:t>
      </w:r>
    </w:p>
    <w:p w:rsidR="00D24D21" w:rsidRDefault="00D24D21" w:rsidP="00CE47F2">
      <w:pPr>
        <w:pStyle w:val="i-tit"/>
      </w:pPr>
      <w:r>
        <w:t>Helsenæringen</w:t>
      </w:r>
    </w:p>
    <w:p w:rsidR="00D24D21" w:rsidRDefault="00D24D21" w:rsidP="00CE47F2">
      <w:pPr>
        <w:pStyle w:val="i-undertit"/>
        <w:rPr>
          <w:rFonts w:ascii="Times New Roman" w:hAnsi="Times New Roman" w:cs="Times New Roman"/>
          <w:sz w:val="24"/>
          <w:szCs w:val="24"/>
          <w:lang w:val="en-GB"/>
        </w:rPr>
      </w:pPr>
      <w:r>
        <w:t>Sammen om verdiskaping og bedre tjenester</w:t>
      </w:r>
    </w:p>
    <w:p w:rsidR="00D24D21" w:rsidRDefault="00C3770E" w:rsidP="00CE47F2">
      <w:pPr>
        <w:pStyle w:val="i-dep"/>
      </w:pPr>
      <w:r>
        <w:t>Nærings- og fiskeridepartementet</w:t>
      </w:r>
    </w:p>
    <w:p w:rsidR="00D24D21" w:rsidRDefault="00D24D21" w:rsidP="00CE47F2">
      <w:pPr>
        <w:pStyle w:val="i-hode"/>
      </w:pPr>
      <w:r>
        <w:t>Meld. St. 18</w:t>
      </w:r>
    </w:p>
    <w:p w:rsidR="00D24D21" w:rsidRDefault="00D24D21" w:rsidP="00CE47F2">
      <w:pPr>
        <w:pStyle w:val="i-sesjon"/>
      </w:pPr>
      <w:r>
        <w:t>(2018–2019</w:t>
      </w:r>
      <w:bookmarkStart w:id="0" w:name="_GoBack"/>
      <w:bookmarkEnd w:id="0"/>
      <w:r>
        <w:t>)</w:t>
      </w:r>
    </w:p>
    <w:p w:rsidR="00D24D21" w:rsidRDefault="00D24D21" w:rsidP="00CE47F2">
      <w:pPr>
        <w:pStyle w:val="i-hode-tit"/>
      </w:pPr>
      <w:r>
        <w:t>Melding til Stortinget</w:t>
      </w:r>
    </w:p>
    <w:p w:rsidR="00D24D21" w:rsidRDefault="00D24D21" w:rsidP="00CE47F2">
      <w:pPr>
        <w:pStyle w:val="i-tit"/>
      </w:pPr>
      <w:r>
        <w:t>Helsenæringen</w:t>
      </w:r>
    </w:p>
    <w:p w:rsidR="00D24D21" w:rsidRDefault="00D24D21" w:rsidP="00CE47F2">
      <w:pPr>
        <w:pStyle w:val="i-undertit"/>
      </w:pPr>
      <w:r>
        <w:t>Sammen om verdiskaping og bedre tjenester</w:t>
      </w:r>
    </w:p>
    <w:p w:rsidR="00D24D21" w:rsidRDefault="00D24D21" w:rsidP="00CE47F2">
      <w:pPr>
        <w:pStyle w:val="i-statsrdato"/>
      </w:pPr>
      <w:r>
        <w:t>Tilråding fra Nærings- og fiskeridepartementet 5. april 2019, godkjent i statsråd samme dag. (Regjeringen Solberg)</w:t>
      </w:r>
    </w:p>
    <w:p w:rsidR="00D24D21" w:rsidRDefault="00E21CFB" w:rsidP="00CE47F2">
      <w:pPr>
        <w:pStyle w:val="del-nr"/>
      </w:pPr>
      <w:r>
        <w:t>Del I</w:t>
      </w:r>
    </w:p>
    <w:p w:rsidR="00D24D21" w:rsidRDefault="00D24D21" w:rsidP="00CE47F2">
      <w:pPr>
        <w:pStyle w:val="del-tittel"/>
        <w:rPr>
          <w:w w:val="100"/>
        </w:rPr>
      </w:pPr>
      <w:r>
        <w:rPr>
          <w:w w:val="100"/>
        </w:rPr>
        <w:t>Næringslivet er en del av løsningen</w:t>
      </w:r>
    </w:p>
    <w:p w:rsidR="00D24D21" w:rsidRDefault="00D24D21" w:rsidP="00CE47F2">
      <w:pPr>
        <w:pStyle w:val="Overskrift1"/>
      </w:pPr>
      <w:r>
        <w:t>Innledning og sammendrag</w:t>
      </w:r>
    </w:p>
    <w:p w:rsidR="00D24D21" w:rsidRDefault="00D24D21" w:rsidP="00CE47F2">
      <w:r>
        <w:t>Den norske helse- og omsorgstjenesten står overfor store utfordringer. For å løse utfordringene må det arbeides på flere områder. Den offentlige helse- og omsorgstjenestene kan ha mye å tjene på et bedre samarbeid med næringslivet og dra nytte av innovasjonskraften, kompetansen og ressursene som finnes i norske bedrifter. I arbeidet med å nå de helsepolitiske målene om å skape pasientens helse- og omsorg</w:t>
      </w:r>
      <w:r>
        <w:t>s</w:t>
      </w:r>
      <w:r>
        <w:t>tjeneste og å bidra til god helse for alle, kan dermed også det næringspolitiske målet om økt verdiskaping i norsk økonomi nås.</w:t>
      </w:r>
    </w:p>
    <w:p w:rsidR="00D24D21" w:rsidRDefault="00D24D21" w:rsidP="00CE47F2">
      <w:r>
        <w:lastRenderedPageBreak/>
        <w:t>Denne meldingen presenterer regjeringens politikk for helsenæringen. En aldrende befolkning og flere personer med sammensatte sykdommer utfordrer den norske helse- og omsorgstjenesten. Kombinert med den teknologiske utviklingen og behovet for omstilling av norsk økonomi, gir dette muligheter for n</w:t>
      </w:r>
      <w:r>
        <w:t>æ</w:t>
      </w:r>
      <w:r>
        <w:t>ringslivet. Meldingen skisserer hindre og barrierer norsk helsenæring står overfor, og beskriver regj</w:t>
      </w:r>
      <w:r>
        <w:t>e</w:t>
      </w:r>
      <w:r>
        <w:t>ringens politikk for å møte dette. Temaer i meldingen er særlig knyttet til ledelse, betydningen av forskning og innovasjon samt samspillet mellom private og offentlige aktører, i</w:t>
      </w:r>
      <w:r>
        <w:t>n</w:t>
      </w:r>
      <w:r>
        <w:t>kludert et velfungerende hjemmemarked for norsk helsenæring.</w:t>
      </w:r>
    </w:p>
    <w:p w:rsidR="00D24D21" w:rsidRDefault="00D24D21" w:rsidP="00CE47F2">
      <w:pPr>
        <w:pStyle w:val="Overskrift2"/>
      </w:pPr>
      <w:r>
        <w:t>Målet med meldingen</w:t>
      </w:r>
    </w:p>
    <w:p w:rsidR="00D24D21" w:rsidRDefault="00D24D21" w:rsidP="00CE47F2">
      <w:r>
        <w:t xml:space="preserve">Hovedmålet med </w:t>
      </w:r>
      <w:r>
        <w:rPr>
          <w:rStyle w:val="kursiv"/>
          <w:sz w:val="21"/>
          <w:szCs w:val="21"/>
        </w:rPr>
        <w:t>Helsenæringsmeldingen</w:t>
      </w:r>
      <w:r>
        <w:t xml:space="preserve"> er å bidra til økt konkurransekraft i den norske helsenæringen og samtidig bidra til en mer bærekraftig helse- og omsorgstjeneste, i form av mer effektiv foreby</w:t>
      </w:r>
      <w:r>
        <w:t>g</w:t>
      </w:r>
      <w:r>
        <w:t>ging, behandling og omsorg.</w:t>
      </w:r>
    </w:p>
    <w:p w:rsidR="00D24D21" w:rsidRDefault="00D24D21" w:rsidP="00CE47F2">
      <w:r>
        <w:t>Regjeringens næringspolitikk treffer helsenæringen godt. Det er gjort forenklinger for næringslivet og skatt</w:t>
      </w:r>
      <w:r>
        <w:t>e</w:t>
      </w:r>
      <w:r>
        <w:t>endringer, herunder redusert selskapsskatt. De landsdekkende, næringsrettede ordningene for forskning og innovasjon er styrket, og helsenæringen bruker ordningene aktivt. Hovedutfor</w:t>
      </w:r>
      <w:r>
        <w:t>d</w:t>
      </w:r>
      <w:r>
        <w:t>ringene for videre vekst og utvikling i helsenæringen ligger i etterspørselssiden i det norske hje</w:t>
      </w:r>
      <w:r>
        <w:t>m</w:t>
      </w:r>
      <w:r>
        <w:t>memarkedet. De</w:t>
      </w:r>
      <w:r>
        <w:t>r</w:t>
      </w:r>
      <w:r>
        <w:t>som de største hindrene og barrierene i hjemmemarkedet blir håndtert, vil dette styrke helsenæringens konkurransekraft. Den offentlige helse- og o</w:t>
      </w:r>
      <w:r>
        <w:t>m</w:t>
      </w:r>
      <w:r>
        <w:t>sorgstjenesten skal være en krevende, men konstruktiv samarbeidspartner og kunde.</w:t>
      </w:r>
    </w:p>
    <w:p w:rsidR="00D24D21" w:rsidRDefault="00D24D21" w:rsidP="00CE47F2">
      <w:r>
        <w:t>Bedrifter som ønsker å levere til, og samarbeide med, den offentlige helse- og omsorgssektoren, bør ha innsikt i sektorens behov og levere løsninger som bidrar til bærekraft. De bedriftene som leverer de varene og tjenestene helse- og omsorgssektoren trenger for å løse sine utfordringer på en mer effektiv måte, vil kunne nå et stort marked, ikke bare i Norge, men også internasjonalt.</w:t>
      </w:r>
    </w:p>
    <w:p w:rsidR="00D24D21" w:rsidRDefault="00D24D21" w:rsidP="00CE47F2">
      <w:r>
        <w:t>Pasientens helsetjeneste må utvikles innenfor bærekraftige rammer. Næringslivet er en del av lø</w:t>
      </w:r>
      <w:r>
        <w:t>s</w:t>
      </w:r>
      <w:r>
        <w:t>ningen. Et a</w:t>
      </w:r>
      <w:r>
        <w:t>t</w:t>
      </w:r>
      <w:r>
        <w:t>traktivt hjemmemarked for helsenæringen vil danne grunnlag for økt verdiskaping og flere lønnsomme arbeid</w:t>
      </w:r>
      <w:r>
        <w:t>s</w:t>
      </w:r>
      <w:r>
        <w:t>plasser i norsk økonomi.</w:t>
      </w:r>
    </w:p>
    <w:p w:rsidR="00D24D21" w:rsidRDefault="00D24D21" w:rsidP="00CE47F2">
      <w:pPr>
        <w:pStyle w:val="Overskrift2"/>
      </w:pPr>
      <w:r>
        <w:t>Sammendrag</w:t>
      </w:r>
    </w:p>
    <w:p w:rsidR="00D24D21" w:rsidRDefault="00D24D21" w:rsidP="00CE47F2">
      <w:r>
        <w:t xml:space="preserve">Meldingen består av to hoveddeler. Del 1 i meldingen er beskrivende. I </w:t>
      </w:r>
      <w:r>
        <w:rPr>
          <w:rStyle w:val="kursiv"/>
          <w:sz w:val="21"/>
          <w:szCs w:val="21"/>
        </w:rPr>
        <w:t>kapittel 2</w:t>
      </w:r>
      <w:r>
        <w:t xml:space="preserve"> beskrives helse</w:t>
      </w:r>
      <w:r>
        <w:t>n</w:t>
      </w:r>
      <w:r>
        <w:t>æringen og helse- og omsorgssektoren. Helsenæringen består av virksomheter som utvikler og produserer varer og tjenester til bruk i privat og offentlig helse- og omsorgstjeneste eller til bruk i forebygging, diagnostikk, behandling og rehabilitering av sykdom hos mennesker. Verdiskapingen i helsenæringen utgjør om lag tre pst. av fastlandsøkonomien. Veksten i verdiskapingen i helse</w:t>
      </w:r>
      <w:r>
        <w:t>n</w:t>
      </w:r>
      <w:r>
        <w:t>æringen har de siste årene vært høyere enn i fastlandsøkonomien samlet sett. Helsenæringen sy</w:t>
      </w:r>
      <w:r>
        <w:t>s</w:t>
      </w:r>
      <w:r>
        <w:t>selsatte om lag 100 000 personer i 2016, en økning på 18 pst. fra 2008. Veksten i sysselsetting har vært lavere enn for verdiskapingen, noe som betyr at verd</w:t>
      </w:r>
      <w:r>
        <w:t>i</w:t>
      </w:r>
      <w:r>
        <w:t>skapingen per sysselsatt har økt.</w:t>
      </w:r>
    </w:p>
    <w:p w:rsidR="00D24D21" w:rsidRDefault="00D24D21" w:rsidP="00CE47F2">
      <w:r>
        <w:t xml:space="preserve">Utviklingstrekk innenfor økonomi, teknologi og medisin med relevans for næringen beskrives i </w:t>
      </w:r>
      <w:r>
        <w:rPr>
          <w:rStyle w:val="kursiv"/>
          <w:sz w:val="21"/>
          <w:szCs w:val="21"/>
        </w:rPr>
        <w:t>kapi</w:t>
      </w:r>
      <w:r>
        <w:rPr>
          <w:rStyle w:val="kursiv"/>
          <w:sz w:val="21"/>
          <w:szCs w:val="21"/>
        </w:rPr>
        <w:t>t</w:t>
      </w:r>
      <w:r>
        <w:rPr>
          <w:rStyle w:val="kursiv"/>
          <w:sz w:val="21"/>
          <w:szCs w:val="21"/>
        </w:rPr>
        <w:t>tel 3</w:t>
      </w:r>
      <w:r>
        <w:t>. I likhet med mange andre OECD-land vil Norge i årene framover få flere eldre og personer med sammensatte og kroniske sykdommer, og møte høyere krav fra pasienter og pårørende. Samt</w:t>
      </w:r>
      <w:r>
        <w:t>i</w:t>
      </w:r>
      <w:r>
        <w:t>dig er det en rekke utviklingstrekk som krever omstilling av norsk økonomi. Den teknologiske u</w:t>
      </w:r>
      <w:r>
        <w:t>t</w:t>
      </w:r>
      <w:r>
        <w:t>viklingen har betydning for utviklingen av den norske helse- og omsorgstjenesten, og den har b</w:t>
      </w:r>
      <w:r>
        <w:t>e</w:t>
      </w:r>
      <w:r>
        <w:lastRenderedPageBreak/>
        <w:t>tydning for utviklingen av norsk næringsliv. Den teknologiske framgangen, blant annet digitalisering og muliggjørende teknologier, vil over tid endre næringslivet.</w:t>
      </w:r>
    </w:p>
    <w:p w:rsidR="00D24D21" w:rsidRDefault="00D24D21" w:rsidP="00CE47F2">
      <w:r>
        <w:t xml:space="preserve">I </w:t>
      </w:r>
      <w:r>
        <w:rPr>
          <w:rStyle w:val="kursiv"/>
          <w:sz w:val="21"/>
          <w:szCs w:val="21"/>
        </w:rPr>
        <w:t>kapittel 4</w:t>
      </w:r>
      <w:r>
        <w:t xml:space="preserve"> trekkes viktige muligheter og utfordringer for norsk helsenæring fram. Utgangspunktet for norsk helsenæring er godt, men det er barrierer som kan gjøre det krevende å vokse, for enkel</w:t>
      </w:r>
      <w:r>
        <w:t>t</w:t>
      </w:r>
      <w:r>
        <w:t>virksomheter og som næring. Fortrinnene som ligger til grunn for en vekstkraftig og innovativ he</w:t>
      </w:r>
      <w:r>
        <w:t>l</w:t>
      </w:r>
      <w:r>
        <w:t>senæring er et resultat av investeringer som er gjort over mange år: i utdanning, forskning og utvi</w:t>
      </w:r>
      <w:r>
        <w:t>k</w:t>
      </w:r>
      <w:r>
        <w:t>ling, i et åpent og tillitsfullt samfunn, og i en kunnskapsbasert helse- og omsorgstjeneste med høy dekningsgrad og høy kvalitet. Norsk næringsliv har samlet sett gode vilkår, med et effektivt ska</w:t>
      </w:r>
      <w:r>
        <w:t>t</w:t>
      </w:r>
      <w:r>
        <w:t>tesystem, god infrastruktur og politisk stabilitet. Vår høyt utdannede arbeidskraft har i internasjonal sammenheng lave lønninger. Norge vurderes dessuten som et land hvor det er relativt enkelt å drive næringsvir</w:t>
      </w:r>
      <w:r>
        <w:t>k</w:t>
      </w:r>
      <w:r>
        <w:t>somhet.</w:t>
      </w:r>
    </w:p>
    <w:p w:rsidR="00D24D21" w:rsidRDefault="00D24D21" w:rsidP="00CE47F2">
      <w:r>
        <w:t xml:space="preserve">Utfordringene helsenæringen står overfor er blant annet knyttet til kulturen for samarbeid mellom næringsliv, universitets- og høyskolesektoren og helse- og omsorgssektoren. Uklarhet om hvor langt det offentliges ansvar går i å utvikle og sørge for nye løsninger, særlig på e-helseområdet, og den offentlige helse- og omsorgstjenestens håndtering av offentlige anskaffelser er til tider krevende. Videre har antallet industrifinansierte kliniske studier av legemidler gått ned de siste </w:t>
      </w:r>
      <w:r>
        <w:rPr>
          <w:spacing w:val="-2"/>
        </w:rPr>
        <w:t>årene. Delene av næringslivet som utvikler e-helse</w:t>
      </w:r>
      <w:r>
        <w:t>løsninger og medisinsk utstyr ser behov for bedre tilgang til testf</w:t>
      </w:r>
      <w:r>
        <w:t>a</w:t>
      </w:r>
      <w:r>
        <w:t>siliteter. Tilgangen til helse- og registerdata er utfordrende for mange i helse</w:t>
      </w:r>
      <w:r>
        <w:t>n</w:t>
      </w:r>
      <w:r>
        <w:t>æringen. Det er videre et potensial for økt kommersi</w:t>
      </w:r>
      <w:r>
        <w:t>a</w:t>
      </w:r>
      <w:r>
        <w:t>lisering av forskning og ideer fra helse- og omsorgssektoren. Arbeidet med kommersialisering og å skaffe tilstrekkelig finansiering oppleves som vanskelig for mange bedrifter innenfor helsenæringen i Norge. Erfaringer og innspill fra næringen viser at et velfung</w:t>
      </w:r>
      <w:r>
        <w:t>e</w:t>
      </w:r>
      <w:r>
        <w:t>rende hjemmemarked er viktig for at norske b</w:t>
      </w:r>
      <w:r>
        <w:t>e</w:t>
      </w:r>
      <w:r>
        <w:t>drifter skal lykkes i globale markeder.</w:t>
      </w:r>
    </w:p>
    <w:p w:rsidR="00D24D21" w:rsidRDefault="00D24D21" w:rsidP="00CE47F2">
      <w:r>
        <w:t xml:space="preserve">Del 2 av meldingen presenterer regjeringens målsettinger, politikk og tiltak. I </w:t>
      </w:r>
      <w:r>
        <w:rPr>
          <w:rStyle w:val="kursiv"/>
          <w:sz w:val="21"/>
          <w:szCs w:val="21"/>
        </w:rPr>
        <w:t>kapittel 5</w:t>
      </w:r>
      <w:r>
        <w:t xml:space="preserve"> beskrives r</w:t>
      </w:r>
      <w:r>
        <w:t>e</w:t>
      </w:r>
      <w:r>
        <w:t>gjeringens næringspolitiske og helsepolitiske mål. Videre presenteres den overordnede politikken for helsenæringen, som skal bidra til at disse målene nås og at de gjensidig understøtter hverandre. Mer effektive helse- og omsorgstjenester fordrer et konstruktivt samarbeid med helsenæringen n</w:t>
      </w:r>
      <w:r>
        <w:t>a</w:t>
      </w:r>
      <w:r>
        <w:t>sjonalt og internasjonalt. Samtidig kan et bedre samarbeid danne grunnlag for vekst i helsenæringen. Det helsepol</w:t>
      </w:r>
      <w:r>
        <w:t>i</w:t>
      </w:r>
      <w:r>
        <w:t>tiske målet om god og effektiv pasientbehandling vil indirekte kunne bidra til å nå målet om økt samlet verdiskaping i norsk økonomi innenfor bærekraftige rammer.</w:t>
      </w:r>
    </w:p>
    <w:p w:rsidR="00D24D21" w:rsidRDefault="00D24D21" w:rsidP="00CE47F2">
      <w:r>
        <w:t>Med positiv utvikling på noen av områdene som er omtalt ovenfor, vil både næringspolitiske og helsepolitiske mål kunne nås. Regjeringens politikk for å oppnå dette presenteres i resten av kapi</w:t>
      </w:r>
      <w:r>
        <w:t>t</w:t>
      </w:r>
      <w:r>
        <w:t>lene i me</w:t>
      </w:r>
      <w:r>
        <w:t>l</w:t>
      </w:r>
      <w:r>
        <w:t>dingen.</w:t>
      </w:r>
    </w:p>
    <w:p w:rsidR="00D24D21" w:rsidRDefault="00D24D21" w:rsidP="00CE47F2">
      <w:pPr>
        <w:rPr>
          <w:rStyle w:val="kursiv"/>
          <w:sz w:val="21"/>
          <w:szCs w:val="21"/>
        </w:rPr>
      </w:pPr>
      <w:r>
        <w:rPr>
          <w:rStyle w:val="kursiv"/>
          <w:sz w:val="21"/>
          <w:szCs w:val="21"/>
        </w:rPr>
        <w:t>I kapittel 6</w:t>
      </w:r>
      <w:r>
        <w:t xml:space="preserve"> argumenteres det for at næringslivet kan bidra til både bedre løsninger og en mer effektiv ressursbruk i helsesektoren. Næringslivet kan, med sine arbeidsformer og dynamikk, bistå hels</w:t>
      </w:r>
      <w:r>
        <w:t>e</w:t>
      </w:r>
      <w:r>
        <w:t>tjenesten og helseforvaltningen til å nå sine mål. Det er ledelsen i helse- og omsorgstjenesten sitt ansvar å u</w:t>
      </w:r>
      <w:r>
        <w:t>t</w:t>
      </w:r>
      <w:r>
        <w:t>nytte dette potensialet og å gjøre det på en hensiktsmessig måte.</w:t>
      </w:r>
    </w:p>
    <w:p w:rsidR="00D24D21" w:rsidRDefault="00D24D21" w:rsidP="00CE47F2">
      <w:r>
        <w:t>Regjeringen ønsker en sterkere kultur for dialog og kontakt mellom næringsliv og helse- og o</w:t>
      </w:r>
      <w:r>
        <w:t>m</w:t>
      </w:r>
      <w:r>
        <w:t>sorgssektoren. Næringslivet og helse- og omsorgssektoren har ulike ansvar og interesser. Helse- og omsorgssektoren skal være en krevende utviklingspartner og kunde, og samtidig stille høye krav til dok</w:t>
      </w:r>
      <w:r>
        <w:t>u</w:t>
      </w:r>
      <w:r>
        <w:t>mentasjon. Det kreves profesjonalitet og forutsigbarhet i disse rollene. Regjeringen forventer at helse- og omsorgstjenesten og helseforvaltningen har gode prinsipper og rutiner for samarbeid med næringslivet.</w:t>
      </w:r>
    </w:p>
    <w:p w:rsidR="00D24D21" w:rsidRDefault="00D24D21" w:rsidP="00CE47F2">
      <w:r>
        <w:lastRenderedPageBreak/>
        <w:t>I kapittelet beskrives betydningen av ledelse for å skape en nødvendig kultur for innovasjon og utvikling i hels</w:t>
      </w:r>
      <w:r>
        <w:t>e</w:t>
      </w:r>
      <w:r>
        <w:t>sektoren og næringslivets rolle i dette. Kapittelet drøfter videre det offentliges og privates rolle i å utvikle nye tjenester, særlig innenfor IKT. Videre beskrives rammene for næring</w:t>
      </w:r>
      <w:r>
        <w:t>s</w:t>
      </w:r>
      <w:r>
        <w:t>livssamarbeid samt ulike former for sama</w:t>
      </w:r>
      <w:r>
        <w:t>r</w:t>
      </w:r>
      <w:r>
        <w:t>beidsarenaer.</w:t>
      </w:r>
    </w:p>
    <w:p w:rsidR="00D24D21" w:rsidRDefault="00D24D21" w:rsidP="00CE47F2">
      <w:r>
        <w:t>For å bidra til at innovasjonskraften, kompetansen og ressursene i næringslivet i større grad skal gi gevinster for helse- og omsorgstjenestene, vil regjeringen:</w:t>
      </w:r>
    </w:p>
    <w:p w:rsidR="00D24D21" w:rsidRDefault="00D24D21" w:rsidP="00CE47F2">
      <w:pPr>
        <w:pStyle w:val="Liste"/>
      </w:pPr>
      <w:r>
        <w:t>tydeliggjøre forventninger om samarbeid med næringslivet i oppdragsdokumentet til de regionale hels</w:t>
      </w:r>
      <w:r>
        <w:t>e</w:t>
      </w:r>
      <w:r>
        <w:t>foretakene og i tildelingsbrev til underliggende etater</w:t>
      </w:r>
    </w:p>
    <w:p w:rsidR="00D24D21" w:rsidRDefault="00D24D21" w:rsidP="00CE47F2">
      <w:pPr>
        <w:pStyle w:val="Liste"/>
      </w:pPr>
      <w:r>
        <w:t>overføre ansvar, oppgaver og ansatte knyttet til eksisterende e-helseløsninger fra Direktoratet for e-helse til Norsk Helsenett SF</w:t>
      </w:r>
    </w:p>
    <w:p w:rsidR="00D24D21" w:rsidRDefault="00D24D21" w:rsidP="00CE47F2">
      <w:pPr>
        <w:pStyle w:val="Liste"/>
      </w:pPr>
      <w:r>
        <w:t>legge fram en ny nasjonal helse- og sykehusplan hvor samhandling, teknologi og kompetanse er sen</w:t>
      </w:r>
      <w:r>
        <w:t>t</w:t>
      </w:r>
      <w:r>
        <w:t>rale temaer</w:t>
      </w:r>
    </w:p>
    <w:p w:rsidR="00D24D21" w:rsidRDefault="00D24D21" w:rsidP="00CE47F2">
      <w:pPr>
        <w:pStyle w:val="Liste"/>
      </w:pPr>
      <w:r>
        <w:t>fortsette utviklingsarbeidet av finansieringssystemet til sykehusene for at det bedre skal understøtte sammenhengende forløp, bruk av ny teknologi og innovasjon i tjenesteutfo</w:t>
      </w:r>
      <w:r>
        <w:t>r</w:t>
      </w:r>
      <w:r>
        <w:t>mingen</w:t>
      </w:r>
    </w:p>
    <w:p w:rsidR="00D24D21" w:rsidRDefault="00D24D21" w:rsidP="00CE47F2">
      <w:pPr>
        <w:pStyle w:val="Liste"/>
      </w:pPr>
      <w:r>
        <w:t>videreutvikle HelseOmsorg21-rådet som samhandlingsarena for næringslivssamarbeid</w:t>
      </w:r>
    </w:p>
    <w:p w:rsidR="00D24D21" w:rsidRDefault="00D24D21" w:rsidP="00CE47F2">
      <w:pPr>
        <w:pStyle w:val="Liste"/>
      </w:pPr>
      <w:r>
        <w:t>vurdere hvordan innovasjonsaktivitet i de kommunale helse- og omsorgstjenestene best kan utvikles</w:t>
      </w:r>
    </w:p>
    <w:p w:rsidR="00D24D21" w:rsidRDefault="00D24D21" w:rsidP="00CE47F2">
      <w:pPr>
        <w:pStyle w:val="Liste"/>
      </w:pPr>
      <w:r>
        <w:t>tilrettelegge for at Husbanken kan videreutvikle veiledningsarbeidet overfor kommuner og berørte bransjer for å stimulere til kunnskapsutvikling og nye løsninger på leverandørsiden i forbindelse med forvaltningen av investeringstilskuddet til heldøgns omsorgsplasser</w:t>
      </w:r>
    </w:p>
    <w:p w:rsidR="00D24D21" w:rsidRDefault="00D24D21" w:rsidP="00CE47F2">
      <w:pPr>
        <w:pStyle w:val="Liste"/>
      </w:pPr>
      <w:r>
        <w:t>legge til rette for lederutvikling innenfor innovasjon og næringsutvikling, herunder at dette ivaretas i det nye topplederprogrammet for ledere i spesialisthelsetjenesten og kommunale helse- og omsorg</w:t>
      </w:r>
      <w:r>
        <w:t>s</w:t>
      </w:r>
      <w:r>
        <w:t>tjenester</w:t>
      </w:r>
    </w:p>
    <w:p w:rsidR="00D24D21" w:rsidRDefault="00D24D21" w:rsidP="00CE47F2">
      <w:r>
        <w:t>I</w:t>
      </w:r>
      <w:r>
        <w:rPr>
          <w:rStyle w:val="kursiv"/>
          <w:sz w:val="21"/>
          <w:szCs w:val="21"/>
        </w:rPr>
        <w:t xml:space="preserve"> kapittel 7</w:t>
      </w:r>
      <w:r>
        <w:t xml:space="preserve"> beskrives betydningen av gode vilkår for å drive næringsvirksomhet generelt, og for forskning, utvikling, innovasjon og vekst spesielt. Tilgang til internasjonale markeder og næring</w:t>
      </w:r>
      <w:r>
        <w:t>s</w:t>
      </w:r>
      <w:r>
        <w:t>livets evne til å utnytte global kunnskap er avgjørende.</w:t>
      </w:r>
    </w:p>
    <w:p w:rsidR="00D24D21" w:rsidRDefault="00D24D21" w:rsidP="00CE47F2">
      <w:r>
        <w:t>Regjeringen fører en næringspolitikk som legger til rette for vekst og utvikling i næringslivet, også i helsenæringen. Gode vilkår for å drive næringsvirksomhet sikrer at arbeidskraft og kapital går dit hvor avkastningen er størst. Det vil si en effektiv bruk av samfunnets ressurser og høy verdiskaping.</w:t>
      </w:r>
    </w:p>
    <w:p w:rsidR="00D24D21" w:rsidRDefault="00D24D21" w:rsidP="00CE47F2">
      <w:r>
        <w:t>Forskning og innovasjon legger til rette for fornyelse og omstilling til et mer produktivt næringsliv. Siden 2013 har regjeringen styrket de landsdekkende, næringsrettede ordningene for forskning og inn</w:t>
      </w:r>
      <w:r>
        <w:t>o</w:t>
      </w:r>
      <w:r>
        <w:t>vasjon, og helsenæringen bruker disse ordningene aktivt. Regjeringen har en langtidsplan for forskning og høyere utdanning, og satsingene i langtidsplanen vil være viktig for videre vekst og utvikling i helse</w:t>
      </w:r>
      <w:r>
        <w:t>n</w:t>
      </w:r>
      <w:r>
        <w:t>æringen.</w:t>
      </w:r>
    </w:p>
    <w:p w:rsidR="00D24D21" w:rsidRDefault="00D24D21" w:rsidP="00CE47F2">
      <w:r>
        <w:t>Regjeringen arbeider for gode betingelser for handel og markedsadgang og godt fungerende kap</w:t>
      </w:r>
      <w:r>
        <w:t>i</w:t>
      </w:r>
      <w:r>
        <w:t>talmarkeder. Helsenæringen er en global næring der vekstpotensialet i mange tilfeller avhenger av tilgang til utenlandske markeder. Tilstrekkelig tilgang til kapital i de ulike utviklingsfasene for oppstartsbedrifter er helt avgjørende for deres vekst, og kapitalmarkeder påvirker omstilling og næringslivets konkurrans</w:t>
      </w:r>
      <w:r>
        <w:t>e</w:t>
      </w:r>
      <w:r>
        <w:t>kraft.</w:t>
      </w:r>
    </w:p>
    <w:p w:rsidR="00D24D21" w:rsidRDefault="00D24D21" w:rsidP="00CE47F2">
      <w:r>
        <w:t>Regjeringen mener næringspolitikken er godt innrettet for å fremme vekst og utvikling i helse</w:t>
      </w:r>
      <w:r>
        <w:t>n</w:t>
      </w:r>
      <w:r>
        <w:t>æringen, men ser behov for utredninger og tiltak på enkelte områder. For å legge til rette for videre pos</w:t>
      </w:r>
      <w:r>
        <w:t>i</w:t>
      </w:r>
      <w:r>
        <w:t>tiv utvikling i helsenæringen, vil regjeringen:</w:t>
      </w:r>
    </w:p>
    <w:p w:rsidR="00D24D21" w:rsidRDefault="00D24D21" w:rsidP="00CE47F2">
      <w:pPr>
        <w:pStyle w:val="Liste"/>
      </w:pPr>
      <w:r>
        <w:lastRenderedPageBreak/>
        <w:t>vurdere Kapitaltilgangsutvalgets utredning og anbefalinger, herunder endringer i beskatning av ansatteopsjoner i små, nyetablerte selskaper og evaluering av møteplasser som kobler entreprenører og investorer</w:t>
      </w:r>
    </w:p>
    <w:p w:rsidR="00D24D21" w:rsidRDefault="00D24D21" w:rsidP="00CE47F2">
      <w:pPr>
        <w:pStyle w:val="Liste"/>
      </w:pPr>
      <w:r>
        <w:t>utrede mulighetene for å utnytte eventuell restkapasitet i eksisterende laborat</w:t>
      </w:r>
      <w:r>
        <w:t>o</w:t>
      </w:r>
      <w:r>
        <w:t>rier/infrastruktur for testing og pilotering ved universiteter, høyskoler og sykehus ved å gjøre den tilgjengelig for næringslivet, og vurdere eventuelle insentiver for å få dette til</w:t>
      </w:r>
    </w:p>
    <w:p w:rsidR="00D24D21" w:rsidRDefault="00D24D21" w:rsidP="00CE47F2">
      <w:pPr>
        <w:pStyle w:val="Liste"/>
      </w:pPr>
      <w:r>
        <w:t>legge fram en vurdering av instituttsektorens rolle i forsknings- og innovasjonssystemet og av hvorvidt sektoren er godt tilpasset framtidige behov</w:t>
      </w:r>
    </w:p>
    <w:p w:rsidR="00D24D21" w:rsidRDefault="00D24D21" w:rsidP="00CE47F2">
      <w:pPr>
        <w:pStyle w:val="Liste"/>
      </w:pPr>
      <w:r>
        <w:t>kartlegge potensialet for økt samhandling med helsenæringen i relevante deler av institut</w:t>
      </w:r>
      <w:r>
        <w:t>t</w:t>
      </w:r>
      <w:r>
        <w:t>sektoren</w:t>
      </w:r>
    </w:p>
    <w:p w:rsidR="00D24D21" w:rsidRDefault="00D24D21" w:rsidP="00CE47F2">
      <w:pPr>
        <w:pStyle w:val="Liste"/>
      </w:pPr>
      <w:r>
        <w:t>tydeliggjøre forventninger om at Innovasjon Norge i sine vurderinger av kompetanse og ressurser ved utekontorene legger vekt på behovene til helsenæringen og andre framvo</w:t>
      </w:r>
      <w:r>
        <w:t>k</w:t>
      </w:r>
      <w:r>
        <w:t>sende næringer som kan ha særlig nytte av bistand til innpass på internasjonale markeder</w:t>
      </w:r>
    </w:p>
    <w:p w:rsidR="00D24D21" w:rsidRDefault="00D24D21" w:rsidP="00CE47F2">
      <w:pPr>
        <w:pStyle w:val="Liste"/>
      </w:pPr>
      <w:r>
        <w:t>utrede om staten bør ta en koordinerende rolle i felles internasjonal profilering for enkel</w:t>
      </w:r>
      <w:r>
        <w:t>t</w:t>
      </w:r>
      <w:r>
        <w:t>næringer og forskningsmiljøer</w:t>
      </w:r>
    </w:p>
    <w:p w:rsidR="00D24D21" w:rsidRDefault="00D24D21" w:rsidP="00CE47F2">
      <w:pPr>
        <w:pStyle w:val="Liste"/>
      </w:pPr>
      <w:r>
        <w:t>videreføre arbeidet med å øke norsk deltakelse i EU-programmene og legge til rette for at norske se</w:t>
      </w:r>
      <w:r>
        <w:t>l</w:t>
      </w:r>
      <w:r>
        <w:t>skaper kan delta i innovative anskaffelser i andre europeiske land</w:t>
      </w:r>
    </w:p>
    <w:p w:rsidR="00D24D21" w:rsidRDefault="00D24D21" w:rsidP="00CE47F2">
      <w:pPr>
        <w:pStyle w:val="Liste"/>
      </w:pPr>
      <w:r>
        <w:t>gjøre en helhetlig gjennomgang av det næringsrettede virkemiddelapparatet. Gjenno</w:t>
      </w:r>
      <w:r>
        <w:t>m</w:t>
      </w:r>
      <w:r>
        <w:t>gangen skal sikre at virkemiddelapparatet er effektivt og brukervennlig for næringslivet, herunder helsenæringen</w:t>
      </w:r>
    </w:p>
    <w:p w:rsidR="00D24D21" w:rsidRDefault="00D24D21" w:rsidP="00CE47F2">
      <w:pPr>
        <w:pStyle w:val="Liste"/>
      </w:pPr>
      <w:r>
        <w:t>videreføre satsingen på næringsrelevant forskning og innovasjon. Vi prioriterer de n</w:t>
      </w:r>
      <w:r>
        <w:t>æ</w:t>
      </w:r>
      <w:r>
        <w:t>ringspolitiske vi</w:t>
      </w:r>
      <w:r>
        <w:t>r</w:t>
      </w:r>
      <w:r>
        <w:t>kemidlene som har høyest innovasjonsgrad og effektivitet, og viderefører satsingen på de brede land</w:t>
      </w:r>
      <w:r>
        <w:t>s</w:t>
      </w:r>
      <w:r>
        <w:t>dekkende ordningene</w:t>
      </w:r>
    </w:p>
    <w:p w:rsidR="00D24D21" w:rsidRDefault="00D24D21" w:rsidP="00CE47F2">
      <w:r>
        <w:t>I</w:t>
      </w:r>
      <w:r>
        <w:rPr>
          <w:rStyle w:val="kursiv"/>
          <w:sz w:val="21"/>
          <w:szCs w:val="21"/>
        </w:rPr>
        <w:t xml:space="preserve"> kapittel 8 </w:t>
      </w:r>
      <w:r>
        <w:t>argumenteres det for at norsk helse- og omsorgstjeneste skal være en attraktiv sama</w:t>
      </w:r>
      <w:r>
        <w:t>r</w:t>
      </w:r>
      <w:r>
        <w:t>beidspartner for norsk og internasjonalt næringsliv. Bedrifter som leverer de varene og tjenestene helse- og omsorgstjenesten trenger kan nå et stort marked, ikke bare i Norge, men også internasj</w:t>
      </w:r>
      <w:r>
        <w:t>o</w:t>
      </w:r>
      <w:r>
        <w:t>nalt. For å ly</w:t>
      </w:r>
      <w:r>
        <w:t>k</w:t>
      </w:r>
      <w:r>
        <w:t>kes må bedriftene kjenne til tjenestens behov og kunne dokumentere effekt, sikkerhet og kostnadseffektivitet. Bedriftene må sette seg inn i organisatoriske, regulatoriske og etiske ra</w:t>
      </w:r>
      <w:r>
        <w:t>m</w:t>
      </w:r>
      <w:r>
        <w:t>mer. Videre er kunnskap om prioriteringskriteriene og vurderings- og beslutningssystemene for innføring av nye løsninger i helse- og omsorgstjenesten viktig.</w:t>
      </w:r>
    </w:p>
    <w:p w:rsidR="00D24D21" w:rsidRDefault="00D24D21" w:rsidP="00CE47F2">
      <w:r>
        <w:t>Dette kapittelet beskriver hvordan helse- og omsorgstjenesten og næringslivet samhandler i de ulike trinnene i utviklingsløpene når nye produkter, tjenester og arbeidsprosesser utvikles og innføres. Kapi</w:t>
      </w:r>
      <w:r>
        <w:t>t</w:t>
      </w:r>
      <w:r>
        <w:t>telet drøfter hvordan helse- og omsorgstjenesten i de ulike trinnene kan bruke helsenæringen for å nå sine mål.</w:t>
      </w:r>
    </w:p>
    <w:p w:rsidR="00D24D21" w:rsidRDefault="00D24D21" w:rsidP="00CE47F2">
      <w:r>
        <w:t>Regjeringen ønsker å legge til rette for bedre samhandling mellom helse- og omsorgstjenestene og ulike private og ideelle aktører i økosystemet for helseinnovasjon. Det skal skje i de ulike leddene fra behovsanalyse, gjennom utviklingsløpet, via anskaffelse og til implementering, spredning og ev</w:t>
      </w:r>
      <w:r>
        <w:t>a</w:t>
      </w:r>
      <w:r>
        <w:t>luering av produktet i klinisk praksis.</w:t>
      </w:r>
    </w:p>
    <w:p w:rsidR="00D24D21" w:rsidRDefault="00D24D21" w:rsidP="00CE47F2">
      <w:r>
        <w:t>For at norsk helse- og omsorgstjeneste skal være en attraktiv samarbeidspartner for norsk og inte</w:t>
      </w:r>
      <w:r>
        <w:t>r</w:t>
      </w:r>
      <w:r>
        <w:t>nasjonalt n</w:t>
      </w:r>
      <w:r>
        <w:t>æ</w:t>
      </w:r>
      <w:r>
        <w:t>ringsliv vil regjeringen:</w:t>
      </w:r>
    </w:p>
    <w:p w:rsidR="00D24D21" w:rsidRDefault="00D24D21" w:rsidP="00CE47F2">
      <w:pPr>
        <w:pStyle w:val="Liste"/>
      </w:pPr>
      <w:r>
        <w:t>legge til rette for økt bruk av innovative offentlige anskaffelser i helse- og omsorgstjenesten og hels</w:t>
      </w:r>
      <w:r>
        <w:t>e</w:t>
      </w:r>
      <w:r>
        <w:t>forvaltningen</w:t>
      </w:r>
    </w:p>
    <w:p w:rsidR="00D24D21" w:rsidRDefault="00D24D21" w:rsidP="00CE47F2">
      <w:pPr>
        <w:pStyle w:val="Liste"/>
      </w:pPr>
      <w:r>
        <w:t>legge fram en handlingsplan for kliniske studier</w:t>
      </w:r>
    </w:p>
    <w:p w:rsidR="00D24D21" w:rsidRDefault="00D24D21" w:rsidP="00CE47F2">
      <w:pPr>
        <w:pStyle w:val="Liste"/>
      </w:pPr>
      <w:r>
        <w:lastRenderedPageBreak/>
        <w:t>etablere «én vei inn» for kliniske studier ved at NorCRIN</w:t>
      </w:r>
      <w:r>
        <w:rPr>
          <w:vertAlign w:val="superscript"/>
        </w:rPr>
        <w:footnoteReference w:id="1"/>
      </w:r>
      <w:r>
        <w:t xml:space="preserve"> kobles tettere til næringslivet gjennom en partnerskapsmodell</w:t>
      </w:r>
    </w:p>
    <w:p w:rsidR="00D24D21" w:rsidRDefault="00D24D21" w:rsidP="00CE47F2">
      <w:pPr>
        <w:pStyle w:val="Liste"/>
      </w:pPr>
      <w:r>
        <w:t>utrede hvordan ulike virkemidler for forskning og innovasjon i kombinasjon kan bidra til et mer helhetlig løp fram mot implementering av ny teknologi og nye løsninger i helse- og omsorgstjenesten</w:t>
      </w:r>
    </w:p>
    <w:p w:rsidR="00D24D21" w:rsidRDefault="00D24D21" w:rsidP="00CE47F2">
      <w:pPr>
        <w:pStyle w:val="Liste"/>
      </w:pPr>
      <w:r>
        <w:t>innføre en indikator for kliniske studier og på sikt bruke den som del av resultatbasert f</w:t>
      </w:r>
      <w:r>
        <w:t>i</w:t>
      </w:r>
      <w:r>
        <w:t>nansiering av forskning i spesialisthelsetjenesten</w:t>
      </w:r>
    </w:p>
    <w:p w:rsidR="00D24D21" w:rsidRDefault="00D24D21" w:rsidP="00CE47F2">
      <w:pPr>
        <w:pStyle w:val="Liste"/>
      </w:pPr>
      <w:r>
        <w:t>innføre indikatorer for måling av innovasjon i spesialisthelsetjenesten og vurdere å bruke dem som del av resultatbasert finansiering av forskning og innovasjon i spesialisthelsetj</w:t>
      </w:r>
      <w:r>
        <w:t>e</w:t>
      </w:r>
      <w:r>
        <w:t>nesten</w:t>
      </w:r>
    </w:p>
    <w:p w:rsidR="00D24D21" w:rsidRDefault="00D24D21" w:rsidP="00CE47F2">
      <w:pPr>
        <w:pStyle w:val="Liste"/>
      </w:pPr>
      <w:r>
        <w:t>etablere en helseanalyseplattform for å effektivisere og forenkle tilgangen til helsedata til forskning og analyse samtidig som personvernet styrkes, herunder gjøre det mulig å benytte helsedata mer aktivt i u</w:t>
      </w:r>
      <w:r>
        <w:t>t</w:t>
      </w:r>
      <w:r>
        <w:t>viklingsforløpet til legemidler og medisinsk teknologi</w:t>
      </w:r>
    </w:p>
    <w:p w:rsidR="00D24D21" w:rsidRDefault="00D24D21" w:rsidP="00CE47F2">
      <w:pPr>
        <w:pStyle w:val="Liste"/>
      </w:pPr>
      <w:r>
        <w:t>legge til rette for at det utvikles flere verdensledende fagmiljøer i Norge. Som ledd i dette arbeidet bygges Livsvitenskapsbygget på Universitetet i Oslo, som vil sikre høy kvalitet og relevans i utdanning og forskning</w:t>
      </w:r>
    </w:p>
    <w:p w:rsidR="00D24D21" w:rsidRDefault="00D24D21" w:rsidP="00CE47F2">
      <w:pPr>
        <w:pStyle w:val="Liste"/>
      </w:pPr>
      <w:r>
        <w:t xml:space="preserve">styrke koblingen mellom kunnskapsbehovene som identifiseres i </w:t>
      </w:r>
      <w:r>
        <w:rPr>
          <w:rStyle w:val="kursiv"/>
          <w:sz w:val="21"/>
          <w:szCs w:val="21"/>
        </w:rPr>
        <w:t>Nye metoder</w:t>
      </w:r>
      <w:r>
        <w:t xml:space="preserve"> og bruk av elektroniske legemiddelkurver, medisinske kvalitetsregistre og registerstøttede kliniske studier (real world data)</w:t>
      </w:r>
    </w:p>
    <w:p w:rsidR="00D24D21" w:rsidRDefault="00D24D21" w:rsidP="00CE47F2">
      <w:pPr>
        <w:pStyle w:val="Liste"/>
      </w:pPr>
      <w:r>
        <w:t>sikre at Innovasjonskontoret i Statens legemiddelverk er i stand til å gi god regulatorisk rådgivning for næringslivet og helsetjenesten</w:t>
      </w:r>
    </w:p>
    <w:p w:rsidR="00D24D21" w:rsidRDefault="00D24D21" w:rsidP="00CE47F2">
      <w:pPr>
        <w:rPr>
          <w:rStyle w:val="kursiv"/>
          <w:sz w:val="21"/>
          <w:szCs w:val="21"/>
        </w:rPr>
      </w:pPr>
      <w:r>
        <w:rPr>
          <w:rStyle w:val="kursiv"/>
          <w:sz w:val="21"/>
          <w:szCs w:val="21"/>
        </w:rPr>
        <w:t xml:space="preserve">Kapittel 9 </w:t>
      </w:r>
      <w:r>
        <w:t>ser på betingelser for kommersialisering av resultater fra medisinsk og helsefaglig offentlig finansiert forskning og av ideer utviklet i helse- og omsorgssektoren. Kommersialisering er å få ideer og oppfinnelser ut i et marked.</w:t>
      </w:r>
    </w:p>
    <w:p w:rsidR="00D24D21" w:rsidRDefault="00D24D21" w:rsidP="00CE47F2">
      <w:r>
        <w:t>Ideer og oppfinnelser sprunget ut fra forskning og praksis, kan og bør komme pasienter og samfunnet til gode i form av nye varer og tjenester og bedre arbeidsprosesser.</w:t>
      </w:r>
    </w:p>
    <w:p w:rsidR="00D24D21" w:rsidRDefault="00D24D21" w:rsidP="00CE47F2">
      <w:r>
        <w:t>Regjeringen har som ambisjon å styrke arbeidet med kommersialisering av resultater fra offentlig finansiert forskning ytterligere. Regjeringen mener det er potensial for økt kommersialisering av medisinsk og helsefaglig forskning og ideer fra helse- og omsorgssektoren.</w:t>
      </w:r>
    </w:p>
    <w:p w:rsidR="00D24D21" w:rsidRDefault="00D24D21" w:rsidP="00CE47F2">
      <w:r>
        <w:t>For å styrke arbeidet med kommersialisering vil regjeringen:</w:t>
      </w:r>
    </w:p>
    <w:p w:rsidR="00D24D21" w:rsidRDefault="00D24D21" w:rsidP="00CE47F2">
      <w:pPr>
        <w:pStyle w:val="Liste"/>
      </w:pPr>
      <w:r>
        <w:t>vurdere insentiver for kommersialisering av forskningsresultater i universitets- og høysk</w:t>
      </w:r>
      <w:r>
        <w:t>o</w:t>
      </w:r>
      <w:r>
        <w:t>lesektoren, med vekt på implikasjoner for helseforetakene</w:t>
      </w:r>
    </w:p>
    <w:p w:rsidR="00D24D21" w:rsidRDefault="00D24D21" w:rsidP="00CE47F2">
      <w:pPr>
        <w:pStyle w:val="Liste"/>
      </w:pPr>
      <w:r>
        <w:t>kartlegge om det er behov for bedre veiledning om immaterialrettigheter i helsenæringen eller deler av denne</w:t>
      </w:r>
    </w:p>
    <w:p w:rsidR="00D24D21" w:rsidRDefault="00D24D21" w:rsidP="00CE47F2">
      <w:pPr>
        <w:pStyle w:val="Liste"/>
      </w:pPr>
      <w:r>
        <w:t>kartlegge entreprenørskapsundervisning og behovet for å styrke denne innenfor de hels</w:t>
      </w:r>
      <w:r>
        <w:t>e</w:t>
      </w:r>
      <w:r>
        <w:t>faglige utda</w:t>
      </w:r>
      <w:r>
        <w:t>n</w:t>
      </w:r>
      <w:r>
        <w:t>ningene</w:t>
      </w:r>
    </w:p>
    <w:p w:rsidR="00D24D21" w:rsidRDefault="00D24D21" w:rsidP="00CE47F2">
      <w:pPr>
        <w:pStyle w:val="Liste"/>
      </w:pPr>
      <w:r>
        <w:t>utarbeide en handlingsplan for kvinnelige gründere med sikte på ferdigstillelse i 2019</w:t>
      </w:r>
    </w:p>
    <w:p w:rsidR="00D24D21" w:rsidRDefault="00D24D21" w:rsidP="00CE47F2">
      <w:pPr>
        <w:pStyle w:val="Overskrift2"/>
      </w:pPr>
      <w:r>
        <w:t>Bakgrunn for meldingen</w:t>
      </w:r>
    </w:p>
    <w:p w:rsidR="00D24D21" w:rsidRDefault="00D24D21" w:rsidP="00CE47F2">
      <w:r>
        <w:t xml:space="preserve">I behandlingen av Meld. St. 27 (2016–2017) </w:t>
      </w:r>
      <w:r>
        <w:rPr>
          <w:rStyle w:val="kursiv"/>
          <w:sz w:val="21"/>
          <w:szCs w:val="21"/>
        </w:rPr>
        <w:t>Industrien – grønnere, smartere og mer nyskapende</w:t>
      </w:r>
      <w:r>
        <w:t xml:space="preserve"> ga n</w:t>
      </w:r>
      <w:r>
        <w:t>æ</w:t>
      </w:r>
      <w:r>
        <w:t>ringskomiteen følgende enstemmige innstilling (Innst. 453 S (2016–2017)):</w:t>
      </w:r>
    </w:p>
    <w:p w:rsidR="00D24D21" w:rsidRDefault="00D24D21" w:rsidP="00CE47F2">
      <w:pPr>
        <w:pStyle w:val="blokksit"/>
      </w:pPr>
      <w:r>
        <w:lastRenderedPageBreak/>
        <w:t>«Komiteen ønsker at det fremmes en helseindustrimelding som adresserer følgende punkter som et minimum:</w:t>
      </w:r>
    </w:p>
    <w:p w:rsidR="00D24D21" w:rsidRDefault="00D24D21" w:rsidP="00CE47F2">
      <w:pPr>
        <w:pStyle w:val="Liste"/>
      </w:pPr>
      <w:r>
        <w:t>Utnytte Norges fortrinn og ha som mål at Norge blir ledende i Europa på e-helse innen 2025</w:t>
      </w:r>
    </w:p>
    <w:p w:rsidR="00D24D21" w:rsidRDefault="00D24D21" w:rsidP="00CE47F2">
      <w:pPr>
        <w:pStyle w:val="Liste"/>
      </w:pPr>
      <w:r>
        <w:t>Et tydeligere innovasjonsmandat for hele helsesektoren og sørge for mer innovasjon i o</w:t>
      </w:r>
      <w:r>
        <w:t>f</w:t>
      </w:r>
      <w:r>
        <w:t>fentlige anska</w:t>
      </w:r>
      <w:r>
        <w:t>f</w:t>
      </w:r>
      <w:r>
        <w:t>felser, slik at hjemmemarkedet styrkes</w:t>
      </w:r>
    </w:p>
    <w:p w:rsidR="00D24D21" w:rsidRDefault="00D24D21" w:rsidP="00CE47F2">
      <w:pPr>
        <w:pStyle w:val="Liste"/>
      </w:pPr>
      <w:r>
        <w:t>Bedre tilrettelegging for kliniske studier og bruk av helseregistre</w:t>
      </w:r>
    </w:p>
    <w:p w:rsidR="00D24D21" w:rsidRDefault="00D24D21" w:rsidP="00CE47F2">
      <w:pPr>
        <w:pStyle w:val="Liste"/>
      </w:pPr>
      <w:r>
        <w:t>Sørge for at forskningen når pasientene gjennom sterkere kultur og bedre insentiver for kommersi</w:t>
      </w:r>
      <w:r>
        <w:t>a</w:t>
      </w:r>
      <w:r>
        <w:t>lisering</w:t>
      </w:r>
    </w:p>
    <w:p w:rsidR="00D24D21" w:rsidRDefault="00D24D21" w:rsidP="00CE47F2">
      <w:pPr>
        <w:pStyle w:val="Liste"/>
      </w:pPr>
      <w:r>
        <w:t>Styrke tilgangen til risikokapital»</w:t>
      </w:r>
    </w:p>
    <w:p w:rsidR="00D24D21" w:rsidRDefault="00D24D21" w:rsidP="00CE47F2">
      <w:r>
        <w:t>På bakgrunn av dette fattet Stortinget enstemmig vedtak (anmodningsvedtak 951) om å be regj</w:t>
      </w:r>
      <w:r>
        <w:t>e</w:t>
      </w:r>
      <w:r>
        <w:t>ringen om å fremme en stortingsmelding om helseindustrien. I denne meldingen er det noe videre begrepet helse</w:t>
      </w:r>
      <w:r>
        <w:rPr>
          <w:rStyle w:val="kursiv"/>
          <w:sz w:val="21"/>
          <w:szCs w:val="21"/>
        </w:rPr>
        <w:t>n</w:t>
      </w:r>
      <w:r>
        <w:rPr>
          <w:rStyle w:val="kursiv"/>
          <w:sz w:val="21"/>
          <w:szCs w:val="21"/>
        </w:rPr>
        <w:t>æring</w:t>
      </w:r>
      <w:r>
        <w:t xml:space="preserve"> brukt.</w:t>
      </w:r>
    </w:p>
    <w:p w:rsidR="00D24D21" w:rsidRDefault="00D24D21" w:rsidP="00CE47F2">
      <w:pPr>
        <w:pStyle w:val="Overskrift2"/>
      </w:pPr>
      <w:r>
        <w:t>Innspillsmøter, studietur og innspill</w:t>
      </w:r>
    </w:p>
    <w:p w:rsidR="00D24D21" w:rsidRDefault="00D24D21" w:rsidP="00CE47F2">
      <w:r>
        <w:t>I arbeidet med stortingsmeldingen har regjeringen lagt stor vekt på å få innspill fra næringslivet, helse- og omsorgstjenesten, virkemiddelapparat og forskningsmiljøer.</w:t>
      </w:r>
    </w:p>
    <w:p w:rsidR="00D24D21" w:rsidRDefault="00D24D21" w:rsidP="00CE47F2">
      <w:pPr>
        <w:pStyle w:val="Overskrift3"/>
      </w:pPr>
      <w:r>
        <w:t>Innspillsmøter</w:t>
      </w:r>
    </w:p>
    <w:p w:rsidR="00D24D21" w:rsidRDefault="00D24D21" w:rsidP="00CE47F2">
      <w:r>
        <w:t>I august 2017 inviterte den daværende næringsministeren og helse- og omsorgsministeren til å</w:t>
      </w:r>
      <w:r>
        <w:t>p</w:t>
      </w:r>
      <w:r>
        <w:t>ningskonferanse for arbeidet med meldingen i Forskningsparken i Oslo. Sentrale aktører fra n</w:t>
      </w:r>
      <w:r>
        <w:t>æ</w:t>
      </w:r>
      <w:r>
        <w:t>ringsliv, offentlig sektor og virkemiddelapparatet ga sine råd om hvordan Norge kan utvikle fram</w:t>
      </w:r>
      <w:r>
        <w:t>t</w:t>
      </w:r>
      <w:r>
        <w:t>idens helsenæring.</w:t>
      </w:r>
    </w:p>
    <w:p w:rsidR="00D24D21" w:rsidRDefault="00D24D21" w:rsidP="00CE47F2">
      <w:r>
        <w:t>Helseministeren arrangerte innspillsmøte med helse- og omsorgstjenesten og helsenæringen på Ves</w:t>
      </w:r>
      <w:r>
        <w:t>t</w:t>
      </w:r>
      <w:r>
        <w:t>landet på PROBE-laboratoriet til Universitet i Bergen i januar 2018. Med på møtet var offentlige og private virksomheter fra områdene rundt Stavanger og Bergen.</w:t>
      </w:r>
    </w:p>
    <w:p w:rsidR="00D24D21" w:rsidRDefault="00D24D21" w:rsidP="00CE47F2">
      <w:r>
        <w:t>Det har også vært avholdt flere tematiske innspillsmøter. Noen med politisk ledelse, andre kun med embetsverket. Tema for disse møtene har vært: e-helse og helsedata, legemiddelindustrien, innov</w:t>
      </w:r>
      <w:r>
        <w:t>a</w:t>
      </w:r>
      <w:r>
        <w:t>sjon, næringslivssamarbeid og kapitaltilgang.</w:t>
      </w:r>
    </w:p>
    <w:p w:rsidR="00D24D21" w:rsidRDefault="00D24D21" w:rsidP="00CE47F2">
      <w:pPr>
        <w:pStyle w:val="Overskrift3"/>
      </w:pPr>
      <w:r>
        <w:t>Studieturer</w:t>
      </w:r>
    </w:p>
    <w:p w:rsidR="00D24D21" w:rsidRDefault="00D24D21" w:rsidP="00CE47F2">
      <w:r>
        <w:t>I januar 2018 var helseministeren på studietur til Canada. Med seg hadde han representanter fra embetsverket i Helse- og omsorgsdepartementet og Nærings- og fiskeridepartementet, underli</w:t>
      </w:r>
      <w:r>
        <w:t>g</w:t>
      </w:r>
      <w:r>
        <w:t>gende etater, interesseorganisasjoner og næringsliv. Formålet med turen var å se hva kanadiske myndigheter har gjort for å legge til rette for offentlig-privat samarbeid om forskning og innovasjon innenfor helse, og for å fremme bruk av ny teknologi innenfor helse- og omsorgssektoren.</w:t>
      </w:r>
    </w:p>
    <w:p w:rsidR="00D24D21" w:rsidRDefault="00D24D21" w:rsidP="00CE47F2">
      <w:r>
        <w:t>I april 2018 dro helseministeren til Beijing og Shanghai, sammen med en delegasjon med repr</w:t>
      </w:r>
      <w:r>
        <w:t>e</w:t>
      </w:r>
      <w:r>
        <w:t>sentanter fra blant annet næringsliv, underliggende etater og embetsverk. Besøket hadde flere formål utover det å knytte politisk kontakt. Blant annet skulle delegasjonen lære om Kinas innovative lø</w:t>
      </w:r>
      <w:r>
        <w:t>s</w:t>
      </w:r>
      <w:r>
        <w:t>ninger og bruk av teknologi for en mer effektiv helsetjeneste, diskutere muligheter for samarbeid innenfor områdene antimikrobiell resistens (AMR), e-helse, innovasjon og forskning, og åpne dører for norsk helsenæring.</w:t>
      </w:r>
    </w:p>
    <w:p w:rsidR="00D24D21" w:rsidRDefault="00D24D21" w:rsidP="00CE47F2">
      <w:r>
        <w:lastRenderedPageBreak/>
        <w:t>Embetsverket i Helse- og omsorgsdepartementet og Nærings- og fiskeridepartementet var våren og sommeren 2018 på studietur til København og Stockholm. Målet med turene var å se hvordan våre no</w:t>
      </w:r>
      <w:r>
        <w:t>r</w:t>
      </w:r>
      <w:r>
        <w:t>diske naboer arbeider med helsenæring og offentlig-privat samarbeid om innovasjon i helse- og omsorg</w:t>
      </w:r>
      <w:r>
        <w:t>s</w:t>
      </w:r>
      <w:r>
        <w:t>tjenesten, særlig når det gjelder kliniske studier.</w:t>
      </w:r>
    </w:p>
    <w:p w:rsidR="00D24D21" w:rsidRDefault="00D24D21" w:rsidP="00CE47F2">
      <w:pPr>
        <w:pStyle w:val="Overskrift3"/>
      </w:pPr>
      <w:r>
        <w:t>Skriftlige innspill</w:t>
      </w:r>
    </w:p>
    <w:p w:rsidR="00D24D21" w:rsidRDefault="00D24D21" w:rsidP="00CE47F2">
      <w:r>
        <w:t>Helse- og omsorgsdepartementet og Nærings- og fiskeridepartementet har mottatt en rekke skriftlige innspill til arbeidet med denne stortingsmeldingen. Til sammen har departementene mottatt nær 60 skriftlige innspill fra forskjellige virksomheter og miljøer.</w:t>
      </w:r>
    </w:p>
    <w:p w:rsidR="00D24D21" w:rsidRDefault="00D24D21" w:rsidP="00CE47F2">
      <w:r>
        <w:t>I innspillene er det gitt synspunkter og fremmet konkrete forslag som gjelder rammevilkårene til he</w:t>
      </w:r>
      <w:r>
        <w:t>l</w:t>
      </w:r>
      <w:r>
        <w:t>senæringen. Innspillene har dannet et viktig grunnlag for arbeidet med å analysere utfordringene og mulighetene for helse</w:t>
      </w:r>
      <w:r>
        <w:t>n</w:t>
      </w:r>
      <w:r>
        <w:t>æringen. Mange av temaene som omtales i de skriftlige innspillene er sentrale temaer i denne stortingsmeldingen.</w:t>
      </w:r>
    </w:p>
    <w:p w:rsidR="00D24D21" w:rsidRDefault="00D24D21" w:rsidP="00CE47F2">
      <w:r>
        <w:t>Felles for nær alle innspill, er at helsenæringen omtales som viktig for å løse framtidens utfordringer innenfor helse- og omsorgstjenesten, og at disse utfordringene representerer store økonomiske m</w:t>
      </w:r>
      <w:r>
        <w:t>u</w:t>
      </w:r>
      <w:r>
        <w:t>ligheter for norsk he</w:t>
      </w:r>
      <w:r>
        <w:t>l</w:t>
      </w:r>
      <w:r>
        <w:t>senæring.</w:t>
      </w:r>
    </w:p>
    <w:p w:rsidR="00D24D21" w:rsidRDefault="00D24D21" w:rsidP="00CE47F2">
      <w:pPr>
        <w:pStyle w:val="Overskrift1"/>
      </w:pPr>
      <w:r>
        <w:t>Helsenæringen og helse- og omsorgssektoren</w:t>
      </w:r>
    </w:p>
    <w:p w:rsidR="00D24D21" w:rsidRDefault="00D24D21" w:rsidP="00CE47F2">
      <w:r>
        <w:t>Helsenæringen har den offentlige helse- og omsorgstjenesten som en viktig samarbeidspartner og kunde. Varer og tjenester fra næringen må ofte utvikles i tett samarbeid med tjenestene. En del produkter må også prøves ut på pasienter som en del av utviklingsløpet. Helsenæringen har også private forbrukere som kunder, i tillegg til annet næringsliv. I dette kapittelet beskrives næringen og helse- og omsorgssek</w:t>
      </w:r>
      <w:r>
        <w:t>t</w:t>
      </w:r>
      <w:r>
        <w:t>oren.</w:t>
      </w:r>
    </w:p>
    <w:p w:rsidR="00D24D21" w:rsidRDefault="00D24D21" w:rsidP="00CE47F2">
      <w:pPr>
        <w:pStyle w:val="Overskrift2"/>
      </w:pPr>
      <w:r>
        <w:t>Helsenæringen</w:t>
      </w:r>
    </w:p>
    <w:p w:rsidR="00D24D21" w:rsidRDefault="00D24D21" w:rsidP="00CE47F2">
      <w:r>
        <w:t>Helsenæringen består av virksomheter som utvikler og produserer varer og tjenester til bruk i privat og offentlig helse- og omsorgstjenesten eller til bruk i forebygging, diagnostikk, behandling og rehabilitering av sykdom hos mennesker. Næringen leverer varer og tjenester som er viktige for en stor del av befol</w:t>
      </w:r>
      <w:r>
        <w:t>k</w:t>
      </w:r>
      <w:r>
        <w:t>ningen.</w:t>
      </w:r>
    </w:p>
    <w:p w:rsidR="00D24D21" w:rsidRDefault="00D24D21" w:rsidP="00CE47F2">
      <w:r>
        <w:t>Det er stor variasjon blant bedriftene i helsenæringen i Norge. Noen er store og etablerte intern</w:t>
      </w:r>
      <w:r>
        <w:t>a</w:t>
      </w:r>
      <w:r>
        <w:t>sjonale selskaper, andre er små, men kan være voksende oppstartsforetak som kommersialiserer resultater av forskning. Noen er resultat av utvikling og gode ideer fra ansatte i helse- og omsorg</w:t>
      </w:r>
      <w:r>
        <w:t>s</w:t>
      </w:r>
      <w:r>
        <w:t>tjenesten. Videre er det bedrifter som er vel etablert i andre næringer, og som ser muligheter i et globalt helsemarked.</w:t>
      </w:r>
    </w:p>
    <w:p w:rsidR="00D24D21" w:rsidRDefault="00D24D21" w:rsidP="00CE47F2">
      <w:r>
        <w:t>Statistisk sentralbyrå (SSB) har på oppdrag fra Nærings- og fiskeridepartementet sammenstilt st</w:t>
      </w:r>
      <w:r>
        <w:t>a</w:t>
      </w:r>
      <w:r>
        <w:t>tistikk for helsenæringen i Norge for å vise næringens verdiskaping, sysselsetting, vareeksport og fors</w:t>
      </w:r>
      <w:r>
        <w:t>k</w:t>
      </w:r>
      <w:r>
        <w:t>ning og utvikling. Det foreligger tall for perioden 2008–2016. Tallene som presenteres her vil også presenteres på nettsiden HelseOmsorg21-monitor (se boks 2.2.). De siste årene har også ko</w:t>
      </w:r>
      <w:r>
        <w:t>n</w:t>
      </w:r>
      <w:r>
        <w:t>sulentselskapet Menon presentert beregninger over helsenæringens størrelse.</w:t>
      </w:r>
      <w:r>
        <w:rPr>
          <w:vertAlign w:val="superscript"/>
        </w:rPr>
        <w:footnoteReference w:id="2"/>
      </w:r>
      <w:r>
        <w:t xml:space="preserve"> Tallene fra Menon og </w:t>
      </w:r>
      <w:r>
        <w:lastRenderedPageBreak/>
        <w:t>SSB er ikke helt sammenlignbare, da det er benyttet ulike m</w:t>
      </w:r>
      <w:r>
        <w:t>e</w:t>
      </w:r>
      <w:r>
        <w:t>toder. Hensikten med statistikken i denne meldingen er å sammenligne helsenæringens økonomiske betydning med fastlandsøkonomien og å se på utviklingen over tid. Det er grunn til å tro at tallmaterialet ikke dekker alle vir</w:t>
      </w:r>
      <w:r>
        <w:t>k</w:t>
      </w:r>
      <w:r>
        <w:t>somheter som er aktive i helse</w:t>
      </w:r>
      <w:r>
        <w:t>n</w:t>
      </w:r>
      <w:r>
        <w:t>æringen i Norge, men tallene vil likevel gi en god beskrivelse av utviklingen de siste årene. Mange av de små b</w:t>
      </w:r>
      <w:r>
        <w:t>e</w:t>
      </w:r>
      <w:r>
        <w:t>driftene i helsenæringen har liten innvirkning på totalstørrelsene.</w:t>
      </w:r>
    </w:p>
    <w:p w:rsidR="00D24D21" w:rsidRDefault="00D24D21" w:rsidP="00CE47F2">
      <w:r>
        <w:t>I statistikken er helsenæringen delt inn i undergrupper basert på de varer og tjenester de leverer. Undergruppene som er benyttet er produksjon av helserelaterte varer, e-helse, apotek og grossister, forskning og utvikling i bioteknologi samt private tjenesteytere. Det er brukt eksisterende næring</w:t>
      </w:r>
      <w:r>
        <w:t>s</w:t>
      </w:r>
      <w:r>
        <w:t>inndeling fra nasjonalregnskapet</w:t>
      </w:r>
      <w:r>
        <w:rPr>
          <w:vertAlign w:val="superscript"/>
        </w:rPr>
        <w:footnoteReference w:id="3"/>
      </w:r>
      <w:r>
        <w:t xml:space="preserve"> der det allerede eksisterer, for eksempel farmasøytisk industri. For å identifisere andre bedrifter som er en del av helse</w:t>
      </w:r>
      <w:r>
        <w:t>n</w:t>
      </w:r>
      <w:r>
        <w:t>æringen er det tatt utgangspunkt i medlemskap i ulike org</w:t>
      </w:r>
      <w:r>
        <w:t>a</w:t>
      </w:r>
      <w:r>
        <w:t>nisasjoner, for eksempel Norway Health Tech, Nansen Neuroscience Network og Inven2.</w:t>
      </w:r>
    </w:p>
    <w:p w:rsidR="00D24D21" w:rsidRDefault="00D24D21" w:rsidP="00CE47F2">
      <w:r>
        <w:t xml:space="preserve">Private tjenesteytere utgjør den største delen av helsenæringen, jf. figur 2.1. Dette er </w:t>
      </w:r>
      <w:r>
        <w:rPr>
          <w:rStyle w:val="kursiv"/>
          <w:sz w:val="21"/>
          <w:szCs w:val="21"/>
        </w:rPr>
        <w:t>private tjenest</w:t>
      </w:r>
      <w:r>
        <w:rPr>
          <w:rStyle w:val="kursiv"/>
          <w:sz w:val="21"/>
          <w:szCs w:val="21"/>
        </w:rPr>
        <w:t>e</w:t>
      </w:r>
      <w:r>
        <w:rPr>
          <w:rStyle w:val="kursiv"/>
          <w:sz w:val="21"/>
          <w:szCs w:val="21"/>
        </w:rPr>
        <w:t xml:space="preserve">ytere innenfor omsorg, psykiatri, rus og somatikk, </w:t>
      </w:r>
      <w:r>
        <w:t>og de er delt inn i private helsetjenester og private pleie- og omsorgstjenester. Disse aktørene kan være en pådriver for innovasjon, gjennom at de kan ek</w:t>
      </w:r>
      <w:r>
        <w:t>s</w:t>
      </w:r>
      <w:r>
        <w:t>perimentere med nye tjenestemodeller, innføre ny teknologi og ved at de fyller nisjer det offentlige ikke tar i markedet. Regjeringen innførte i 2015 r</w:t>
      </w:r>
      <w:r>
        <w:t>e</w:t>
      </w:r>
      <w:r>
        <w:t>formen fritt behandlingsvalg. Målet er å redusere ventetider, utnytte ledig kapasitet og stimulere de offentlige sykehusene til å bli mer effektive. I ordningen kan private virksomh</w:t>
      </w:r>
      <w:r>
        <w:t>e</w:t>
      </w:r>
      <w:r>
        <w:t>ter som oppfyller visse krav levere enkelte spesialisthelsetjenester til en pris fastsatt av staten. Pasienter med rett til nødvendig helsehjelp i spesialisthels</w:t>
      </w:r>
      <w:r>
        <w:t>e</w:t>
      </w:r>
      <w:r>
        <w:t>tjenesten kan velge å motta helsehjelp hos de godkjente leverandørene.</w:t>
      </w:r>
    </w:p>
    <w:p w:rsidR="00D24D21" w:rsidRDefault="00E636F4" w:rsidP="00E636F4">
      <w:pPr>
        <w:pStyle w:val="Figur"/>
      </w:pPr>
      <w:r>
        <w:rPr>
          <w:noProof/>
        </w:rPr>
        <w:t>[:figur:figX-X.jpg]</w:t>
      </w:r>
    </w:p>
    <w:p w:rsidR="00D24D21" w:rsidRDefault="00D24D21" w:rsidP="00CE47F2">
      <w:pPr>
        <w:pStyle w:val="figur-tittel"/>
      </w:pPr>
      <w:r>
        <w:t>Helsenæringen. Verdiskaping, andeler av totalen</w:t>
      </w:r>
    </w:p>
    <w:p w:rsidR="00D24D21" w:rsidRDefault="00D24D21" w:rsidP="00CE47F2">
      <w:pPr>
        <w:pStyle w:val="Kilde"/>
        <w:rPr>
          <w:rFonts w:cs="Times New Roman"/>
          <w:sz w:val="24"/>
          <w:szCs w:val="24"/>
          <w:lang w:val="en-GB"/>
        </w:rPr>
      </w:pPr>
      <w:r>
        <w:t>SSB og NFD</w:t>
      </w:r>
    </w:p>
    <w:p w:rsidR="00D24D21" w:rsidRDefault="00D24D21" w:rsidP="00CE47F2">
      <w:r>
        <w:t>Flere av selskapene som leverer tjenester i Norge ser markedspotensial i land hvor det offentlige tjenestetilbudet er lite utbygd eller hvor det er et større innslag av konkurranse mellom private tj</w:t>
      </w:r>
      <w:r>
        <w:t>e</w:t>
      </w:r>
      <w:r>
        <w:t>nestetilbydere.</w:t>
      </w:r>
    </w:p>
    <w:p w:rsidR="00D24D21" w:rsidRDefault="00D24D21" w:rsidP="00CE47F2">
      <w:pPr>
        <w:rPr>
          <w:rStyle w:val="kursiv"/>
          <w:sz w:val="21"/>
          <w:szCs w:val="21"/>
        </w:rPr>
      </w:pPr>
      <w:r>
        <w:rPr>
          <w:rStyle w:val="kursiv"/>
          <w:sz w:val="21"/>
          <w:szCs w:val="21"/>
        </w:rPr>
        <w:t xml:space="preserve">Legemiddelgrossisters </w:t>
      </w:r>
      <w:r>
        <w:t>kjernevirksomhet er distribusjon av legemidler til apotek og profesjonelle sluttbrukere. Apotekenes kjernevirksomhet er å sørge for effektiv og sikker distribusjon, forsvarlig utlevering av legemidler og medvirkning til riktig legemiddelbruk gjennom veiledning av brukere og pasienter. Det pågår mye innovasjon</w:t>
      </w:r>
      <w:r>
        <w:t>s</w:t>
      </w:r>
      <w:r>
        <w:t>aktivitet i apotekene, jf. boks 2.1. Apotekenes rolle og politikk på området er b</w:t>
      </w:r>
      <w:r>
        <w:t>e</w:t>
      </w:r>
      <w:r>
        <w:t xml:space="preserve">handlet av Stortinget i Meld. St. 28 (2014–2015) </w:t>
      </w:r>
      <w:r>
        <w:rPr>
          <w:rStyle w:val="kursiv"/>
          <w:sz w:val="21"/>
          <w:szCs w:val="21"/>
        </w:rPr>
        <w:t>Legemiddelmeldingen</w:t>
      </w:r>
      <w:r>
        <w:t>.</w:t>
      </w:r>
    </w:p>
    <w:p w:rsidR="00D24D21" w:rsidRDefault="00D24D21" w:rsidP="00CE47F2">
      <w:pPr>
        <w:pStyle w:val="tittel-ramme"/>
      </w:pPr>
      <w:r>
        <w:lastRenderedPageBreak/>
        <w:t>Tjenesteinnovasjon i apotek</w:t>
      </w:r>
    </w:p>
    <w:p w:rsidR="00D24D21" w:rsidRDefault="00D24D21" w:rsidP="00CE47F2">
      <w:r>
        <w:t>Apotekene er et lavterskeltilbud for helsetjenester i Norge. Apotekenes hovedvirksomhet er å sørge for en sikker og effektiv distribusjon og utlevering av legemidler. Apotekene har også en lovpålagt plikt til å me</w:t>
      </w:r>
      <w:r>
        <w:t>d</w:t>
      </w:r>
      <w:r>
        <w:t>virke til riktig legemiddelbruk gjennom veiledning av brukere og pasienter.</w:t>
      </w:r>
    </w:p>
    <w:p w:rsidR="00D24D21" w:rsidRDefault="00D24D21" w:rsidP="00CE47F2">
      <w:r>
        <w:t>Apotekene har gode forutsetninger for å gi god informasjon om riktig legemiddelbruk, og for å bidra til tjenesteinnovasjon når det gjelder riktig bruk og etterlevelse. Det er ønskelig å utnytte den fa</w:t>
      </w:r>
      <w:r>
        <w:t>r</w:t>
      </w:r>
      <w:r>
        <w:t>masøytiske kompetansen på apotekene bedre, blant annet for å støtte riktig legemiddelbruk i b</w:t>
      </w:r>
      <w:r>
        <w:t>e</w:t>
      </w:r>
      <w:r>
        <w:t>folkningen. Ri</w:t>
      </w:r>
      <w:r>
        <w:t>k</w:t>
      </w:r>
      <w:r>
        <w:t>tigere legemiddelbruk kan bidra til færre legemiddelskader, som er en vanlig form for pasientskade.</w:t>
      </w:r>
    </w:p>
    <w:p w:rsidR="00D24D21" w:rsidRDefault="00D24D21" w:rsidP="00CE47F2">
      <w:r>
        <w:t>Dette er bakgrunnen for implementering av nye helsetjenester i norske apotek. I 2016 startet sta</w:t>
      </w:r>
      <w:r>
        <w:t>n</w:t>
      </w:r>
      <w:r>
        <w:t>dardisert inhal</w:t>
      </w:r>
      <w:r>
        <w:t>a</w:t>
      </w:r>
      <w:r>
        <w:t>sjonsveiledning i apotek. I 2018 ble det gjennomført 56 000 slike veiledninger. I 2018 startet man opp med tjenesten Medisinstart i apotek. Dette er en veiledningstjeneste ved ny leg</w:t>
      </w:r>
      <w:r>
        <w:t>e</w:t>
      </w:r>
      <w:r>
        <w:t>middelbehan</w:t>
      </w:r>
      <w:r>
        <w:t>d</w:t>
      </w:r>
      <w:r>
        <w:t>ling for pasienter med høyt blodtrykk, høyt kolesterol eller som skal begynne med blodfortynnende b</w:t>
      </w:r>
      <w:r>
        <w:t>e</w:t>
      </w:r>
      <w:r>
        <w:t>handling. Det ble gjennomført om lag 5 000 Medisinstartsamtaler i 2018.</w:t>
      </w:r>
    </w:p>
    <w:p w:rsidR="00D24D21" w:rsidRDefault="00E636F4" w:rsidP="00E636F4">
      <w:pPr>
        <w:pStyle w:val="Figur"/>
      </w:pPr>
      <w:r>
        <w:rPr>
          <w:noProof/>
        </w:rPr>
        <w:t>[:figur:figX-X.jpg]</w:t>
      </w:r>
    </w:p>
    <w:p w:rsidR="00D24D21" w:rsidRDefault="00D24D21" w:rsidP="00CE47F2">
      <w:pPr>
        <w:pStyle w:val="figur-tittel"/>
      </w:pPr>
      <w:r>
        <w:t>Medisinstartsamtale i apotek</w:t>
      </w:r>
    </w:p>
    <w:p w:rsidR="00D24D21" w:rsidRDefault="00D24D21" w:rsidP="00CE47F2">
      <w:pPr>
        <w:pStyle w:val="figur-noter"/>
      </w:pPr>
      <w:r>
        <w:t>Foto: Martha Louise Cuevas-Østrem</w:t>
      </w:r>
    </w:p>
    <w:p w:rsidR="00D24D21" w:rsidRDefault="00D24D21">
      <w:pPr>
        <w:pStyle w:val="Ramme-slutt"/>
        <w:rPr>
          <w:sz w:val="26"/>
          <w:szCs w:val="26"/>
        </w:rPr>
      </w:pPr>
      <w:r>
        <w:rPr>
          <w:sz w:val="26"/>
          <w:szCs w:val="26"/>
        </w:rPr>
        <w:t>[Boks slutt]</w:t>
      </w:r>
    </w:p>
    <w:p w:rsidR="00D24D21" w:rsidRDefault="00D24D21" w:rsidP="00CE47F2">
      <w:pPr>
        <w:rPr>
          <w:rStyle w:val="kursiv"/>
          <w:sz w:val="21"/>
          <w:szCs w:val="21"/>
        </w:rPr>
      </w:pPr>
      <w:r>
        <w:rPr>
          <w:rStyle w:val="kursiv"/>
          <w:sz w:val="21"/>
          <w:szCs w:val="21"/>
        </w:rPr>
        <w:t>Produksjon av helserelaterte varer</w:t>
      </w:r>
      <w:r>
        <w:t xml:space="preserve"> er en samlebetegnelse på flere undergrupper. På grunn av konfide</w:t>
      </w:r>
      <w:r>
        <w:t>n</w:t>
      </w:r>
      <w:r>
        <w:t>sialitetshensyn har SSB slått disse undergruppene sammen. Undergruppene er «Produksjon av fa</w:t>
      </w:r>
      <w:r>
        <w:t>r</w:t>
      </w:r>
      <w:r>
        <w:t>masøytiske råvarer og preparater» (farmasøytisk industri), «Produksjon av strålingsutstyr, elektr</w:t>
      </w:r>
      <w:r>
        <w:t>o</w:t>
      </w:r>
      <w:r>
        <w:t>medisinsk- og elektroterapeutisk utstyr» samt «Produksjon av medisinske og tanntekniske instr</w:t>
      </w:r>
      <w:r>
        <w:t>u</w:t>
      </w:r>
      <w:r>
        <w:t>menter og utstyr» (med</w:t>
      </w:r>
      <w:r>
        <w:t>i</w:t>
      </w:r>
      <w:r>
        <w:t>sinsk utstyr).</w:t>
      </w:r>
    </w:p>
    <w:p w:rsidR="00D24D21" w:rsidRDefault="00D24D21" w:rsidP="00CE47F2">
      <w:pPr>
        <w:rPr>
          <w:rStyle w:val="kursiv"/>
          <w:sz w:val="21"/>
          <w:szCs w:val="21"/>
        </w:rPr>
      </w:pPr>
      <w:r>
        <w:t>Farmasøytisk industri består av produsenter av legemidler, men også mange bedrifter som utvikler og produserer produkter som ikke defineres som legemidler, for eksempel innenfor diagnostikk. Ifølge Legemiddelindustriforeningen (LMI) er det elleve selskaper som har produksjon av leg</w:t>
      </w:r>
      <w:r>
        <w:t>e</w:t>
      </w:r>
      <w:r>
        <w:t>midler med ma</w:t>
      </w:r>
      <w:r>
        <w:t>r</w:t>
      </w:r>
      <w:r>
        <w:t>kedsføringstillatelse i Norge. Legemiddelindustrien spenner fra høyteknologiske og forskningsbaserte selskap, til selskap som baserer seg på framstilling av legemidler som ikke lenger har patent. Det er også stor variasjon i størrelsen på selskapene, fra små forskningsbaserte selskap som utvikler enkeltpreparat, til de store multinasjonale farmasøytiske selskapene.</w:t>
      </w:r>
      <w:r>
        <w:rPr>
          <w:vertAlign w:val="superscript"/>
        </w:rPr>
        <w:footnoteReference w:id="4"/>
      </w:r>
      <w:r>
        <w:t xml:space="preserve"> Flere av de store farmasøytiske selskapene har produksjon og/eller forskningsaktivitet i Norge, andre driver hove</w:t>
      </w:r>
      <w:r>
        <w:t>d</w:t>
      </w:r>
      <w:r>
        <w:t>sakelig med salg og distribusjon.</w:t>
      </w:r>
    </w:p>
    <w:p w:rsidR="00D24D21" w:rsidRDefault="00D24D21" w:rsidP="00CE47F2">
      <w:pPr>
        <w:rPr>
          <w:rStyle w:val="kursiv"/>
          <w:sz w:val="21"/>
          <w:szCs w:val="21"/>
        </w:rPr>
      </w:pPr>
      <w:r>
        <w:t>Medisinsk utstyr brukes i alle deler av helse- og omsorgstjenesten og er til betydelig hjelp for mange. Utstyret bidrar ofte til økt livskvalitet og kan også være direkte livreddende. Medisinsk utstyr i</w:t>
      </w:r>
      <w:r>
        <w:t>n</w:t>
      </w:r>
      <w:r>
        <w:t>kluderer instrument, a</w:t>
      </w:r>
      <w:r>
        <w:t>p</w:t>
      </w:r>
      <w:r>
        <w:t>parat, hjelpemiddel eller materiale, inkludert tilhørende programvare, som har som formål å diagnostisere, for</w:t>
      </w:r>
      <w:r>
        <w:t>e</w:t>
      </w:r>
      <w:r>
        <w:t xml:space="preserve">bygge, overvåke, behandle eller lindre sykdom, skade eller </w:t>
      </w:r>
      <w:r>
        <w:lastRenderedPageBreak/>
        <w:t>uførhet, eller til å undersøke, erstatte eller endre an</w:t>
      </w:r>
      <w:r>
        <w:t>a</w:t>
      </w:r>
      <w:r>
        <w:t>tomien eller en fysiologisk prosess. Det er stor variasjon i produktene, som inkluderer proteser, kirurgiske materiell, pacemakere og andre impla</w:t>
      </w:r>
      <w:r>
        <w:t>n</w:t>
      </w:r>
      <w:r>
        <w:t>tater og stort fastmontert utstyr som for eksempel CT-maskiner.</w:t>
      </w:r>
    </w:p>
    <w:p w:rsidR="00D24D21" w:rsidRDefault="00D24D21" w:rsidP="00CE47F2">
      <w:pPr>
        <w:rPr>
          <w:rStyle w:val="kursiv"/>
          <w:sz w:val="21"/>
          <w:szCs w:val="21"/>
        </w:rPr>
      </w:pPr>
      <w:r>
        <w:rPr>
          <w:rStyle w:val="kursiv"/>
          <w:sz w:val="21"/>
          <w:szCs w:val="21"/>
        </w:rPr>
        <w:t>E-helse</w:t>
      </w:r>
      <w:r>
        <w:t xml:space="preserve"> får stadig større betydning for helse- og omsorgstjenestene både i Norge og internasjonalt. Dette dreier seg om bedrifter som utvikler IKT-baserte varer og tjenester som brukes til overvåkning, forebygging og behandling av sykdommer, og til administrative systemer og prosesser i helse- og o</w:t>
      </w:r>
      <w:r>
        <w:t>m</w:t>
      </w:r>
      <w:r>
        <w:t>sorgstjenestene. En del av disse produktene faller inn under definisjonen av medisinsk utstyr, og det er derfor særskilte krav til disse. Mange av bedriftene som defineres inn under e-helse er bedrifter som er vel etablert i andre næringer, og som ser muligheter i et globalt helsemarked.</w:t>
      </w:r>
    </w:p>
    <w:p w:rsidR="00D24D21" w:rsidRDefault="00D24D21" w:rsidP="00CE47F2">
      <w:r>
        <w:t>Mange bedrifter i helsenæringen har store utgifter til forskning og utvikling. Metoden for å justere produksjon</w:t>
      </w:r>
      <w:r>
        <w:t>s</w:t>
      </w:r>
      <w:r>
        <w:t xml:space="preserve">tallene til nasjonalregnskapstall fungerer derfor ikke her, da det fører til tidvis uvanlig stor negativ bruttoprodukt. I statistikken blir de derfor ikke oppført med verdiskaping. Dette gjelder særlig kategorien </w:t>
      </w:r>
      <w:r>
        <w:rPr>
          <w:rStyle w:val="kursiv"/>
          <w:sz w:val="21"/>
          <w:szCs w:val="21"/>
        </w:rPr>
        <w:t>forsknings- og utvi</w:t>
      </w:r>
      <w:r>
        <w:rPr>
          <w:rStyle w:val="kursiv"/>
          <w:sz w:val="21"/>
          <w:szCs w:val="21"/>
        </w:rPr>
        <w:t>k</w:t>
      </w:r>
      <w:r>
        <w:rPr>
          <w:rStyle w:val="kursiv"/>
          <w:sz w:val="21"/>
          <w:szCs w:val="21"/>
        </w:rPr>
        <w:t>lingsarbeid i bioteknologi</w:t>
      </w:r>
      <w:r>
        <w:t>. Det må ikke forstås som at bedriftene i denne underkategorien ikke har betydning, men det reflekterer lange utviklingsløp.</w:t>
      </w:r>
    </w:p>
    <w:p w:rsidR="00D24D21" w:rsidRDefault="00D24D21" w:rsidP="00CE47F2">
      <w:r>
        <w:t>Tallene fra SSB viser at helsenæringen hadde en verdiskaping på 79,2 mrd. kroner i 2016. Verd</w:t>
      </w:r>
      <w:r>
        <w:t>i</w:t>
      </w:r>
      <w:r>
        <w:t>skapingen i he</w:t>
      </w:r>
      <w:r>
        <w:t>l</w:t>
      </w:r>
      <w:r>
        <w:t>senæringen utgjør om lag tre pst. av verdiskapingen i fastlandsøkonomien. Veksten i verdiskapingen i helsenæringen, målt i faste priser, har de siste årene vært høyere enn i fastland</w:t>
      </w:r>
      <w:r>
        <w:t>s</w:t>
      </w:r>
      <w:r>
        <w:t>økonomien samlet sett, jf. figur 2.4. I perioden 2008–2016 økte verdiskapingen i helsenæringen med 32 pst. Over samme tid var veksten i Fas</w:t>
      </w:r>
      <w:r>
        <w:t>t</w:t>
      </w:r>
      <w:r>
        <w:t>lands-Norge på 13 pst.</w:t>
      </w:r>
    </w:p>
    <w:p w:rsidR="00D24D21" w:rsidRDefault="00E636F4" w:rsidP="00E636F4">
      <w:pPr>
        <w:pStyle w:val="Figur"/>
      </w:pPr>
      <w:r>
        <w:rPr>
          <w:noProof/>
        </w:rPr>
        <w:t>[:figur:figX-X.jpg]</w:t>
      </w:r>
    </w:p>
    <w:p w:rsidR="00D24D21" w:rsidRDefault="00D24D21" w:rsidP="00CE47F2">
      <w:pPr>
        <w:pStyle w:val="figur-tittel"/>
      </w:pPr>
      <w:r>
        <w:t>Verdiskaping i helsenæringen, indekser i faste priser, 2008=100</w:t>
      </w:r>
    </w:p>
    <w:p w:rsidR="00D24D21" w:rsidRDefault="00D24D21" w:rsidP="00CE47F2">
      <w:pPr>
        <w:pStyle w:val="Kilde"/>
        <w:rPr>
          <w:rFonts w:cs="Times New Roman"/>
          <w:sz w:val="24"/>
          <w:szCs w:val="24"/>
          <w:lang w:val="en-GB"/>
        </w:rPr>
      </w:pPr>
      <w:r>
        <w:t>SSB og NFD</w:t>
      </w:r>
    </w:p>
    <w:p w:rsidR="00D24D21" w:rsidRDefault="00E636F4" w:rsidP="00E636F4">
      <w:pPr>
        <w:pStyle w:val="Figur"/>
      </w:pPr>
      <w:r>
        <w:rPr>
          <w:noProof/>
        </w:rPr>
        <w:t>[:figur:figX-X.jpg]</w:t>
      </w:r>
    </w:p>
    <w:p w:rsidR="00D24D21" w:rsidRDefault="00D24D21" w:rsidP="00CE47F2">
      <w:pPr>
        <w:pStyle w:val="figur-tittel"/>
      </w:pPr>
      <w:r>
        <w:t>Verdiskaping i helsenæring og fastlandsøkonomien, indekser i faste priser, 2008=100</w:t>
      </w:r>
    </w:p>
    <w:p w:rsidR="00D24D21" w:rsidRDefault="00D24D21" w:rsidP="00CE47F2">
      <w:pPr>
        <w:pStyle w:val="Kilde"/>
        <w:rPr>
          <w:rFonts w:cs="Times New Roman"/>
          <w:sz w:val="24"/>
          <w:szCs w:val="24"/>
          <w:lang w:val="en-GB"/>
        </w:rPr>
      </w:pPr>
      <w:r>
        <w:t>SSB og NFD</w:t>
      </w:r>
    </w:p>
    <w:p w:rsidR="00D24D21" w:rsidRDefault="00D24D21" w:rsidP="00CE47F2">
      <w:r>
        <w:t>Helsenæringen sysselsatte om lag 100 000 personer i 2016, opp 18 pst. fra 2008. Veksten i sysse</w:t>
      </w:r>
      <w:r>
        <w:t>l</w:t>
      </w:r>
      <w:r>
        <w:t>setting har vært lavere enn for verdiskapingen, noe som betyr at verdiskapingen per sysselsatt har økt. Veksten i sysselsettingen i helsenæringen ligger høyere enn for landet sett under ett, da sysse</w:t>
      </w:r>
      <w:r>
        <w:t>l</w:t>
      </w:r>
      <w:r>
        <w:t>settingsveksten i Norge var 5,5 pst. fra 2008 til 2016.</w:t>
      </w:r>
    </w:p>
    <w:p w:rsidR="00D24D21" w:rsidRDefault="00D24D21" w:rsidP="00CE47F2">
      <w:r>
        <w:t>I perioden 2008 til 2016 var det en oppgang i antall sysselsatte innenfor e-helse og apotek, mens det var nedgang i antall sysselsatte knyttet til produksjon av helserelaterte varer og forskning og utvi</w:t>
      </w:r>
      <w:r>
        <w:t>k</w:t>
      </w:r>
      <w:r>
        <w:t>ling i bioteknologi.</w:t>
      </w:r>
    </w:p>
    <w:p w:rsidR="00D24D21" w:rsidRDefault="00E636F4" w:rsidP="00E636F4">
      <w:pPr>
        <w:pStyle w:val="Figur"/>
      </w:pPr>
      <w:r>
        <w:rPr>
          <w:noProof/>
        </w:rPr>
        <w:t>[:figur:figX-X.jpg]</w:t>
      </w:r>
    </w:p>
    <w:p w:rsidR="00D24D21" w:rsidRDefault="00D24D21" w:rsidP="00CE47F2">
      <w:pPr>
        <w:pStyle w:val="figur-tittel"/>
      </w:pPr>
      <w:r>
        <w:t>Sysselsatte personer 2016. Andeler av totalen</w:t>
      </w:r>
    </w:p>
    <w:p w:rsidR="00D24D21" w:rsidRDefault="00D24D21" w:rsidP="00CE47F2">
      <w:pPr>
        <w:pStyle w:val="Kilde"/>
        <w:rPr>
          <w:rFonts w:cs="Times New Roman"/>
          <w:sz w:val="24"/>
          <w:szCs w:val="24"/>
          <w:lang w:val="en-GB"/>
        </w:rPr>
      </w:pPr>
      <w:r>
        <w:t>SSB og NFD</w:t>
      </w:r>
    </w:p>
    <w:p w:rsidR="00D24D21" w:rsidRDefault="00E636F4" w:rsidP="00E636F4">
      <w:pPr>
        <w:pStyle w:val="Figur"/>
      </w:pPr>
      <w:r>
        <w:rPr>
          <w:noProof/>
        </w:rPr>
        <w:lastRenderedPageBreak/>
        <w:t>[:figur:figX-X.jpg]</w:t>
      </w:r>
    </w:p>
    <w:p w:rsidR="00D24D21" w:rsidRDefault="00D24D21" w:rsidP="00CE47F2">
      <w:pPr>
        <w:pStyle w:val="figur-tittel"/>
      </w:pPr>
      <w:r>
        <w:t>Sysselsatte personer, utvikling 2008–2016</w:t>
      </w:r>
    </w:p>
    <w:p w:rsidR="00D24D21" w:rsidRDefault="00D24D21" w:rsidP="00CE47F2">
      <w:pPr>
        <w:pStyle w:val="Kilde"/>
        <w:rPr>
          <w:rFonts w:cs="Times New Roman"/>
          <w:sz w:val="24"/>
          <w:szCs w:val="24"/>
          <w:lang w:val="en-GB"/>
        </w:rPr>
      </w:pPr>
      <w:r>
        <w:t>SSB og NFD</w:t>
      </w:r>
    </w:p>
    <w:p w:rsidR="00D24D21" w:rsidRDefault="00D24D21" w:rsidP="009C17C8">
      <w:pPr>
        <w:pStyle w:val="Overskrift3"/>
        <w:numPr>
          <w:ilvl w:val="2"/>
          <w:numId w:val="220"/>
        </w:numPr>
      </w:pPr>
      <w:r>
        <w:t>Global næring</w:t>
      </w:r>
    </w:p>
    <w:p w:rsidR="00D24D21" w:rsidRDefault="00D24D21" w:rsidP="00CE47F2">
      <w:r>
        <w:t>Flere av bedriftene i den norske helsenæringen er globale selskap, med investeringer i flere land. Mange varer, særlig i legemiddelindustrien, kjennetegnes ved lange utviklings- og kommersialis</w:t>
      </w:r>
      <w:r>
        <w:t>e</w:t>
      </w:r>
      <w:r>
        <w:t>ringsløp på tvers av land. Dette er kostbart og innebærer høy risiko. Selv om helsenæringen globalt er preget av store mu</w:t>
      </w:r>
      <w:r>
        <w:t>l</w:t>
      </w:r>
      <w:r>
        <w:t>tinasjonale selskaper, er det stadig flere små og mellomstore bedrifter som satser globalt. Noen b</w:t>
      </w:r>
      <w:r>
        <w:t>e</w:t>
      </w:r>
      <w:r>
        <w:t>drifter går også rett i det globale markedet og omtales ofte som «born global». Det er store potensielle gevinster for slike bedrifter som lykkes internasjonalt. Samtidig kan salg på hjemmemarkedet være viktig for å ly</w:t>
      </w:r>
      <w:r>
        <w:t>k</w:t>
      </w:r>
      <w:r>
        <w:t>kes i globale markeder, særlig i konkurranse med aktører som allerede kan vise til en etablert posisjon på sine hjemmemarkeder.</w:t>
      </w:r>
    </w:p>
    <w:p w:rsidR="00D24D21" w:rsidRDefault="00D24D21" w:rsidP="00CE47F2">
      <w:r>
        <w:t>Når et produkt er utviklet, vil de fleste bedrifter ønske å øke markedsstørrelsen. De fleste bedriftene i helsenæringen har kunder i utlandet. Noen bedrifter eksporterer nesten hele produksjonen. Dette gjelder for eksempel GE HealthCare sin produksjon av grunnsubstanser til kontrastmidler som brukes til røntgen. Produksjonen ved vir</w:t>
      </w:r>
      <w:r>
        <w:t>k</w:t>
      </w:r>
      <w:r>
        <w:t>somhetens prosessanlegg i Oslo og Lindesnes inngår i større globale verd</w:t>
      </w:r>
      <w:r>
        <w:t>i</w:t>
      </w:r>
      <w:r>
        <w:t>kjeder, og er etter olje Norges største eksportprodukt til Kina (4,7 mrd. kroner i 2017). I Kina videreforedles produktet for distribusjon til hele verden. En tredjedel av kontras</w:t>
      </w:r>
      <w:r>
        <w:t>t</w:t>
      </w:r>
      <w:r>
        <w:t>væsken som brukes i helsesekt</w:t>
      </w:r>
      <w:r>
        <w:t>o</w:t>
      </w:r>
      <w:r>
        <w:t>ren og forskning globalt stammer fra produksjonen i Norge.</w:t>
      </w:r>
    </w:p>
    <w:p w:rsidR="00D24D21" w:rsidRDefault="00D24D21" w:rsidP="00CE47F2">
      <w:r>
        <w:t>En stor del av vareproduksjonen i helsenæringen eksporteres. Ifølge tall fra SSB eksporterte he</w:t>
      </w:r>
      <w:r>
        <w:t>l</w:t>
      </w:r>
      <w:r>
        <w:t>senæringen varer for 15,7 mrd. kroner i 2016. Helsenæringens andel av den totale fastlandseksporten utgjør om lag fire pst. Denne andelen har ligget nokså stabil de siste årene.</w:t>
      </w:r>
    </w:p>
    <w:p w:rsidR="00D24D21" w:rsidRDefault="00D24D21" w:rsidP="00CE47F2">
      <w:pPr>
        <w:pStyle w:val="Overskrift3"/>
      </w:pPr>
      <w:r>
        <w:t>Forskning og utvikling i helsenæringen</w:t>
      </w:r>
    </w:p>
    <w:p w:rsidR="00D24D21" w:rsidRDefault="00D24D21" w:rsidP="00CE47F2">
      <w:r>
        <w:t>Helsenæringen er en kunnskapsintensiv næring og har en betydelig forskningsaktivitet. For mange bedrifter utgjør forskning en stor del av deres virksomhet. Dette gjelder for eksempel innenfor u</w:t>
      </w:r>
      <w:r>
        <w:t>t</w:t>
      </w:r>
      <w:r>
        <w:t>vikling av legemidler, medisinsk utstyr, bioteknologi, men også innenfor utvikling av e-helseløsninger og velferdsteknologi. Gjennom forskning og innovasjon utvikles stadig nye pr</w:t>
      </w:r>
      <w:r>
        <w:t>o</w:t>
      </w:r>
      <w:r>
        <w:t>dukter og tjenester med vekstpote</w:t>
      </w:r>
      <w:r>
        <w:t>n</w:t>
      </w:r>
      <w:r>
        <w:t>sial.</w:t>
      </w:r>
    </w:p>
    <w:p w:rsidR="00D24D21" w:rsidRDefault="00D24D21" w:rsidP="00CE47F2">
      <w:r>
        <w:t>Ifølge tall fra SSB utførte hele norsk næringsliv forskning og utvikling (FoU) for om lag 32 mrd. kr</w:t>
      </w:r>
      <w:r>
        <w:t>o</w:t>
      </w:r>
      <w:r>
        <w:t>ner i 2017. Denne statistikken er basert på en utvalgsundersøkelse og det er ikke mulig å vite hvor mye av samlet FoU som inngår i helsenæringen slik den er avgrenset i denne meldingen.</w:t>
      </w:r>
      <w:r>
        <w:rPr>
          <w:vertAlign w:val="superscript"/>
        </w:rPr>
        <w:footnoteReference w:id="5"/>
      </w:r>
      <w:r>
        <w:t xml:space="preserve"> Den eneste delen av helsenæringen som er med i sin helhet er farmasøytisk industri, som utførte FoU for i overkant av 400 mill. kroner i 2017. I FoU-undersøkelsene rapporterer imidlertid næringslivet om spesifiserte temaomr</w:t>
      </w:r>
      <w:r>
        <w:t>å</w:t>
      </w:r>
      <w:r>
        <w:t>der. Ifølge denne rapporteringen brukte næringslivet i overkant av 1,7 mrd. kroner på helseområdet i 2016, mot 1,5 mrd. kroner i 2013. Helse og omsorg er her definert som «Helse og helsefremmende forhold, forebygging, årsaksmekanismer til sykdom, reduksjon og b</w:t>
      </w:r>
      <w:r>
        <w:t>e</w:t>
      </w:r>
      <w:r>
        <w:lastRenderedPageBreak/>
        <w:t>handling av sykdommer og funksjonsbegren</w:t>
      </w:r>
      <w:r>
        <w:t>s</w:t>
      </w:r>
      <w:r>
        <w:t>ninger. Organisering og effektivisering av tjenestene i helse- og omsorgssektoren. Klinisk og farmasøytisk FoU». Anslag fra Menon, som er basert på en noe annen definisjon av helsenæringen og annen beregningsmetode, viser at helsenæringen brukte om lag 2,6 mrd. kroner på FoU i 2017.</w:t>
      </w:r>
      <w:r>
        <w:rPr>
          <w:vertAlign w:val="superscript"/>
        </w:rPr>
        <w:footnoteReference w:id="6"/>
      </w:r>
      <w:r>
        <w:t xml:space="preserve"> Uavhengig av næringsdefinisjon og tallgrunnlag, så viser de ulike målinger at helsenæringens investeringer i forskning og u</w:t>
      </w:r>
      <w:r>
        <w:t>t</w:t>
      </w:r>
      <w:r>
        <w:t>vikling har vokst de siste årene.</w:t>
      </w:r>
    </w:p>
    <w:p w:rsidR="00D24D21" w:rsidRDefault="00D24D21" w:rsidP="00CE47F2">
      <w:r>
        <w:t>Beskyttelse av oppfinnelser i helsenæringen er nødvendig for at bedriftene skal kunne sikre seg avkastningen av de store investeringene som legges ned i produktutvikling. For mange produsenter i he</w:t>
      </w:r>
      <w:r>
        <w:t>l</w:t>
      </w:r>
      <w:r>
        <w:t>senæringen er det dyrt og tidkrevende å forske fram nye produkter, samtidig som produktene i en del tilfeller kan være lette å kopiere når de først foreligger og bringes på markedet. Dette kan se annerledes ut for mange nye, avanserte legemidler.</w:t>
      </w:r>
    </w:p>
    <w:p w:rsidR="00D24D21" w:rsidRDefault="00D24D21" w:rsidP="00CE47F2">
      <w:r>
        <w:t>Patenter kan beskytte nye oppfinnelser og disse patentene kan lisensieres, selges og kjøpes. Patenter kan også fungere som pant ved gjeldsopptak. På den måten kan patenter fungere som et verdipapir og utgjøre en stor del av verdien i bedriftene før de faktisk får produkter på markedet. Noen bedrifter, for eksempel innenfor bioteknologi, spesialiserer seg på å forske fram nye produkter, for så å selge denne kunnskapen videre til selskaper som sitter på kapasitet til å videreutvikle, teste og produsere i stor skala og distribuere til markeder verden over. Andre bedrifter med eget salgsapparat kan velge å kjøpe kun pr</w:t>
      </w:r>
      <w:r>
        <w:t>o</w:t>
      </w:r>
      <w:r>
        <w:t>duksjonskapasitet eksternt.</w:t>
      </w:r>
    </w:p>
    <w:p w:rsidR="00D24D21" w:rsidRDefault="00D24D21" w:rsidP="00CE47F2">
      <w:pPr>
        <w:pStyle w:val="tittel-ramme"/>
      </w:pPr>
      <w:r>
        <w:t>Samlet statistikk om forskning og innovasjon innenfor helse og o</w:t>
      </w:r>
      <w:r>
        <w:t>m</w:t>
      </w:r>
      <w:r>
        <w:t>sorg</w:t>
      </w:r>
    </w:p>
    <w:p w:rsidR="00D24D21" w:rsidRDefault="00D24D21" w:rsidP="00CE47F2">
      <w:r>
        <w:t>HelseOmsorg21-monitor ble opprettet i 2016. Monitoren viser nasjonal statistikk om blant annet befol</w:t>
      </w:r>
      <w:r>
        <w:t>k</w:t>
      </w:r>
      <w:r>
        <w:t>ningens sykdomsbyrde, private og offentlige ressurser til forskning og innovasjon fra ulike aktører, og resultater fra aktivitetene. Monitoren er basert på statistikk fra nasjonale statistikkpr</w:t>
      </w:r>
      <w:r>
        <w:t>o</w:t>
      </w:r>
      <w:r>
        <w:t>dusenter, herunder SSB, NIFU, CRIStin og Folkehelseinstituttet. I tillegg inngår statistikk fra vi</w:t>
      </w:r>
      <w:r>
        <w:t>r</w:t>
      </w:r>
      <w:r>
        <w:t>kemiddelaktører som Fors</w:t>
      </w:r>
      <w:r>
        <w:t>k</w:t>
      </w:r>
      <w:r>
        <w:t>ningsrådet og Innovasjon Norge.</w:t>
      </w:r>
    </w:p>
    <w:p w:rsidR="00D24D21" w:rsidRDefault="00D24D21" w:rsidP="00CE47F2">
      <w:r>
        <w:t>Monitoren er under videre utvikling. Monitoren vil utvikles til å inkludere statistikk fra SSB på omr</w:t>
      </w:r>
      <w:r>
        <w:t>å</w:t>
      </w:r>
      <w:r>
        <w:t>det og de nye indikatorene for innovasjon og for kliniske studier som er omtalt i kapittel 8.</w:t>
      </w:r>
    </w:p>
    <w:p w:rsidR="00D24D21" w:rsidRDefault="00D24D21" w:rsidP="00CE47F2">
      <w:r>
        <w:t>HelseOmsorg21-monitor er tilgjengelig på www.helseomsorg21monitor.no.</w:t>
      </w:r>
    </w:p>
    <w:p w:rsidR="00D24D21" w:rsidRDefault="00D24D21">
      <w:pPr>
        <w:pStyle w:val="Ramme-slutt"/>
        <w:rPr>
          <w:sz w:val="26"/>
          <w:szCs w:val="26"/>
        </w:rPr>
      </w:pPr>
      <w:r>
        <w:rPr>
          <w:sz w:val="26"/>
          <w:szCs w:val="26"/>
        </w:rPr>
        <w:t>[Boks slutt]</w:t>
      </w:r>
    </w:p>
    <w:p w:rsidR="00D24D21" w:rsidRDefault="00D24D21" w:rsidP="00CE47F2">
      <w:r>
        <w:t>Helsenæringens bruk av virkemidler for forskning og innovasjon viser også en sterk vekst i n</w:t>
      </w:r>
      <w:r>
        <w:t>æ</w:t>
      </w:r>
      <w:r>
        <w:t>ringens FoU- investeringer de siste årene.</w:t>
      </w:r>
    </w:p>
    <w:p w:rsidR="00D24D21" w:rsidRDefault="00D24D21" w:rsidP="00CE47F2">
      <w:r>
        <w:t xml:space="preserve"> Forsknings- og innovasjonsvirkemidlene er i all hovedsak åpne for helsenæringen. Samlet sett bruker helsenæringen de ulike offentlige virkemidlene aktivt og har gode prosjekter som når igjennom i konku</w:t>
      </w:r>
      <w:r>
        <w:t>r</w:t>
      </w:r>
      <w:r>
        <w:t>ransen om midlene. Dette omtales nærmere i kapittel 7.</w:t>
      </w:r>
    </w:p>
    <w:p w:rsidR="00D24D21" w:rsidRDefault="00D24D21" w:rsidP="00CE47F2">
      <w:pPr>
        <w:pStyle w:val="Overskrift3"/>
      </w:pPr>
      <w:r>
        <w:t>Reguleringer og dokumentasjonskrav</w:t>
      </w:r>
    </w:p>
    <w:p w:rsidR="00D24D21" w:rsidRDefault="00D24D21" w:rsidP="00CE47F2">
      <w:r>
        <w:t>Helse- og omsorgssektoren er en regulert sektor. Det stilles strenge kvalitetskrav til produkter og tjenester. Dette skyldes kravene til sikkerhet for pasienter og brukere, og at det skal kunne dok</w:t>
      </w:r>
      <w:r>
        <w:t>u</w:t>
      </w:r>
      <w:r>
        <w:lastRenderedPageBreak/>
        <w:t>menteres at produktene har en klinisk effekt eller ytelse. Bedrifter som utvikler og selger produkter må kunne dok</w:t>
      </w:r>
      <w:r>
        <w:t>u</w:t>
      </w:r>
      <w:r>
        <w:t>mentere dette overfor nasjonale og internasjonale godkjenningsinstanser.</w:t>
      </w:r>
    </w:p>
    <w:p w:rsidR="00D24D21" w:rsidRDefault="00D24D21" w:rsidP="00CE47F2">
      <w:r>
        <w:t>For helsenæringen er kravet om kliniske studier og tester på mennesker en særegen rammebetinge</w:t>
      </w:r>
      <w:r>
        <w:t>l</w:t>
      </w:r>
      <w:r>
        <w:t>se som gjør produktutvikling krevende og noen ganger langvarig. Kliniske studier benyttes for å d</w:t>
      </w:r>
      <w:r>
        <w:t>o</w:t>
      </w:r>
      <w:r>
        <w:t>kumentere effekt av og sikkerhet ved nye legemidler, medisinsk utstyr, digitale helseløsninger og nye behan</w:t>
      </w:r>
      <w:r>
        <w:t>d</w:t>
      </w:r>
      <w:r>
        <w:t>lingsprosedyrer som ledd i pasientbehandling.</w:t>
      </w:r>
    </w:p>
    <w:p w:rsidR="00D24D21" w:rsidRDefault="00D24D21" w:rsidP="00CE47F2">
      <w:r>
        <w:t>Norge er fullt ut tilknyttet det europeiske samarbeidet om legemidler og medisinsk utstyr. Det i</w:t>
      </w:r>
      <w:r>
        <w:t>n</w:t>
      </w:r>
      <w:r>
        <w:t>nebærer at Norge implementerer EU-regelverket om klinisk utprøvning av henholdsvis legemidler og med</w:t>
      </w:r>
      <w:r>
        <w:t>i</w:t>
      </w:r>
      <w:r>
        <w:t>sinsk utstyr.</w:t>
      </w:r>
    </w:p>
    <w:p w:rsidR="00D24D21" w:rsidRDefault="00D24D21" w:rsidP="00CE47F2">
      <w:pPr>
        <w:pStyle w:val="Overskrift2"/>
      </w:pPr>
      <w:r>
        <w:t>Helse- og omsorgssektoren</w:t>
      </w:r>
    </w:p>
    <w:p w:rsidR="00D24D21" w:rsidRDefault="00D24D21" w:rsidP="00CE47F2">
      <w:r>
        <w:t>Offentlige myndigheter har ansvar for at befolkningen får gode og likeverdige helse- og omsorg</w:t>
      </w:r>
      <w:r>
        <w:t>s</w:t>
      </w:r>
      <w:r>
        <w:t>tjenester. Helse- og omsorgssektoren spiller flere viktige roller for utviklingen av helsenæringen. Helsepersonell, pasienter, brukere og pårørende vil ofte være dem som etterspør nye løsninger, eller som selv har ideer til nye løsninger. Helsetjenesten er en viktig utviklingspartner for bedriftene, ved at det gjennomføres kl</w:t>
      </w:r>
      <w:r>
        <w:t>i</w:t>
      </w:r>
      <w:r>
        <w:t>niske studier, utprøving og pilotering av nye produkter og tjenester. Den offentlige kunden har stor in</w:t>
      </w:r>
      <w:r>
        <w:t>n</w:t>
      </w:r>
      <w:r>
        <w:t>flytelse gjennom sine anskaffelser.</w:t>
      </w:r>
    </w:p>
    <w:p w:rsidR="00D24D21" w:rsidRDefault="00D24D21" w:rsidP="00CE47F2">
      <w:r>
        <w:t>Innovasjon kan sikre en bærekraftig utvikling av tjenestene. For helse- og omsorgstjenesten er i</w:t>
      </w:r>
      <w:r>
        <w:t>n</w:t>
      </w:r>
      <w:r>
        <w:t>novasjon avgjørende for å få bedre og mer effektive tjenester. Slikt innovasjonsarbeid kan gi ko</w:t>
      </w:r>
      <w:r>
        <w:t>m</w:t>
      </w:r>
      <w:r>
        <w:t>mersialisering og næringsu</w:t>
      </w:r>
      <w:r>
        <w:t>t</w:t>
      </w:r>
      <w:r>
        <w:t>vikling.</w:t>
      </w:r>
    </w:p>
    <w:p w:rsidR="00D24D21" w:rsidRDefault="00D24D21" w:rsidP="00CE47F2">
      <w:pPr>
        <w:pStyle w:val="avsnitt-undertittel"/>
      </w:pPr>
      <w:r>
        <w:t>Kommunale helse- og omsorgstjenester</w:t>
      </w:r>
    </w:p>
    <w:p w:rsidR="00D24D21" w:rsidRDefault="00D24D21" w:rsidP="00CE47F2">
      <w:r>
        <w:t>Kommunene har ansvar for utbygging, utforming og organisering av et forsvarlig og godt tjenest</w:t>
      </w:r>
      <w:r>
        <w:t>e</w:t>
      </w:r>
      <w:r>
        <w:t>tilbud til den enkelte som har behov for helse- og omsorgstjenester. De kommunale helse- og o</w:t>
      </w:r>
      <w:r>
        <w:t>m</w:t>
      </w:r>
      <w:r>
        <w:t>sorgstjenestene utgjorde om lag 165 000 årsverk i 2017. Kommunens ansvar omfatter alle pasient- og brukergrupper, herunder personer med somatisk eller psykisk sykdom, skade eller lidelse, ru</w:t>
      </w:r>
      <w:r>
        <w:t>s</w:t>
      </w:r>
      <w:r>
        <w:t>middelproblem, sosiale problemer eller nedsatt funksjonsevne. For å kunne gi nødvendig hjelp skal det tilbys helsetjeneste i sk</w:t>
      </w:r>
      <w:r>
        <w:t>o</w:t>
      </w:r>
      <w:r>
        <w:t>ler, helsestasjonstjeneste, svangerskaps- og barselomsorgstjenester, utredning, diagnostisering og behandling, herunder fastlegeordning, sosial, psykososial og med</w:t>
      </w:r>
      <w:r>
        <w:t>i</w:t>
      </w:r>
      <w:r>
        <w:t>sinsk rehabilitering, helsetjenester i hjemmet, plass i institusjon, herunder sykehjem, og personlig assistanse. Til personer som har et særlig tyngende omsorgsarbeid skal det tilbys nødvendig pår</w:t>
      </w:r>
      <w:r>
        <w:t>ø</w:t>
      </w:r>
      <w:r>
        <w:t>rendestøtte, blant annet i form av informasjon, opplæring og veiledning. Kommunen skal også ha tilbud om avlastningstiltak og det skal finnes en or</w:t>
      </w:r>
      <w:r>
        <w:t>d</w:t>
      </w:r>
      <w:r>
        <w:t>ning med omsorgsstønad. Utover dette kan det være ordninger og tilbud som er tilpasset den enkelte ko</w:t>
      </w:r>
      <w:r>
        <w:t>m</w:t>
      </w:r>
      <w:r>
        <w:t>mune, som for eksempel matombringing og trygghetsalarm.</w:t>
      </w:r>
    </w:p>
    <w:p w:rsidR="00D24D21" w:rsidRDefault="00D24D21" w:rsidP="00CE47F2">
      <w:r>
        <w:t>Disse helse- og omsorgstjenestene finansieres i hovedsak gjennom kommunens frie inntekter. Den enkelte ko</w:t>
      </w:r>
      <w:r>
        <w:t>m</w:t>
      </w:r>
      <w:r>
        <w:t>mune avgjør selv hvordan tjenesten skal organiseres ut fra lokale forhold og behov. Det er videre kommunen som selv avgjør i hvilken utstrekning den ønsker å benytte seg av private a</w:t>
      </w:r>
      <w:r>
        <w:t>k</w:t>
      </w:r>
      <w:r>
        <w:t>tører til å utføre ulike oppgaver som hjemmetjenester og sykehjemstjenester.</w:t>
      </w:r>
    </w:p>
    <w:p w:rsidR="00D24D21" w:rsidRDefault="00D24D21" w:rsidP="00CE47F2">
      <w:r>
        <w:lastRenderedPageBreak/>
        <w:t>Staten har ansvar for å sikre kommunene gode rammevilkår gjennom regelverk og økonomiske ra</w:t>
      </w:r>
      <w:r>
        <w:t>m</w:t>
      </w:r>
      <w:r>
        <w:t>mer. Staten skal føre tilsyn og legge til rette for kommunal planlegging og utvikling i balansen mellom hensynet til et likeverdig tjenestetilbud til alle og tilpasning til lokale forhold og behov.</w:t>
      </w:r>
    </w:p>
    <w:p w:rsidR="00D24D21" w:rsidRDefault="00D24D21" w:rsidP="00CE47F2">
      <w:r>
        <w:t>Det offentlige bruker betydelige ressurser på hjelpemidler og tilrettelegging. Det er Arbeids- og sosialdepart</w:t>
      </w:r>
      <w:r>
        <w:t>e</w:t>
      </w:r>
      <w:r>
        <w:t>mentet som har ansvaret for hjelpemidler over folketrygdloven. Departementet har delegert ansvaret for å forvalte ordningen til NAV Hjelpemidler og tilrettelegging. I 2015 var u</w:t>
      </w:r>
      <w:r>
        <w:t>t</w:t>
      </w:r>
      <w:r>
        <w:t>giftene til hjelp</w:t>
      </w:r>
      <w:r>
        <w:t>e</w:t>
      </w:r>
      <w:r>
        <w:t>midler over folketrygden om lag 5,5 mrd. kroner. I tillegg var driftsutgiftene til hjelpemiddelsentralene om lag 1,1 mrd. kroner i 2015.</w:t>
      </w:r>
      <w:r>
        <w:rPr>
          <w:vertAlign w:val="superscript"/>
        </w:rPr>
        <w:footnoteReference w:id="7"/>
      </w:r>
      <w:r>
        <w:t xml:space="preserve"> NAV Hjelpemidler og tilrettelegging har ansvaret for å formidle hjelpemidler til funksjonshemmede som har varig behov (over to år). Kommunene har ansvaret for personer som har et midlertidig behov for hjelpemidler og tilrettele</w:t>
      </w:r>
      <w:r>
        <w:t>g</w:t>
      </w:r>
      <w:r>
        <w:t>ging.</w:t>
      </w:r>
    </w:p>
    <w:p w:rsidR="00D24D21" w:rsidRDefault="00D24D21" w:rsidP="00CE47F2">
      <w:pPr>
        <w:pStyle w:val="avsnitt-undertittel"/>
      </w:pPr>
      <w:r>
        <w:t>Spesialisthelsetjenesten</w:t>
      </w:r>
    </w:p>
    <w:p w:rsidR="00D24D21" w:rsidRDefault="00D24D21" w:rsidP="00CE47F2">
      <w:r>
        <w:t>Spesialisthelsetjenesten er statens ansvar, og omfatter sykehustjenester, laboratorietjenester, psykisk helsevern, spesialisert rusbehandling, akuttmedisinsk beredskap, nødmeldetjeneste, ambulansetj</w:t>
      </w:r>
      <w:r>
        <w:t>e</w:t>
      </w:r>
      <w:r>
        <w:t>neste og nødvendig transport av pasienter og personell. Sektoren sysselsatte i 2017 om lag 114 000 årsverk, og driftskostnadene var 140 mrd. kroner. Av dette ble 15 mrd. brukt på kjøp av tjenester hos private aktører.</w:t>
      </w:r>
    </w:p>
    <w:p w:rsidR="00D24D21" w:rsidRDefault="00D24D21" w:rsidP="00CE47F2">
      <w:r>
        <w:t>Spesialisthelsetjenester er organisert gjennom fire regionale helseforetak som eies av staten. Disse skal sørge for at befolkningen i regionen tilbys spesialisthelsetjeneste i og utenfor institusjon. Dette omtales som «sørge-for»-ansvaret. De regionale helseforetakene har fire lovpålagte oppgaver: p</w:t>
      </w:r>
      <w:r>
        <w:t>a</w:t>
      </w:r>
      <w:r>
        <w:t>sientbehandling, forskning, u</w:t>
      </w:r>
      <w:r>
        <w:t>t</w:t>
      </w:r>
      <w:r>
        <w:t>danning av helsepersonell og pasientopplæring. Forskningsaktiviteten til sykehusene er nærmere beskrevet lenger ned.</w:t>
      </w:r>
    </w:p>
    <w:p w:rsidR="00D24D21" w:rsidRDefault="00D24D21" w:rsidP="00CE47F2">
      <w:r>
        <w:t>De fire regionale helseforetakene eier igjen 32 helseforetak, hvorav seks er felleseide foretak for bygg, innkjøp, pasientreiser, IKT, nødnett og luftambulansen. Sykehusinnkjøp HF er nærmere o</w:t>
      </w:r>
      <w:r>
        <w:t>m</w:t>
      </w:r>
      <w:r>
        <w:t>talt i kapittel 8. Både de reg</w:t>
      </w:r>
      <w:r>
        <w:t>i</w:t>
      </w:r>
      <w:r>
        <w:t>onale helseforetakene og helseforetakene er selvstendige rettssubjekter, og ledes av sine respektive styrer.</w:t>
      </w:r>
    </w:p>
    <w:p w:rsidR="00D24D21" w:rsidRDefault="00D24D21" w:rsidP="00CE47F2">
      <w:r>
        <w:t>Spesialisthelsetjenesten styres løpende gjennom eierstyring og oppdragsstyring. I oppdragsdok</w:t>
      </w:r>
      <w:r>
        <w:t>u</w:t>
      </w:r>
      <w:r>
        <w:t>mentet de siste årene har Helse- og omsorgsdepartementet gitt de regionale helseforetakene i op</w:t>
      </w:r>
      <w:r>
        <w:t>p</w:t>
      </w:r>
      <w:r>
        <w:t>drag å styrke samarbeidet med næringslivet.</w:t>
      </w:r>
      <w:r>
        <w:rPr>
          <w:vertAlign w:val="superscript"/>
        </w:rPr>
        <w:footnoteReference w:id="8"/>
      </w:r>
    </w:p>
    <w:p w:rsidR="00D24D21" w:rsidRDefault="00D24D21" w:rsidP="00CE47F2">
      <w:pPr>
        <w:pStyle w:val="avsnitt-undertittel"/>
      </w:pPr>
      <w:r>
        <w:lastRenderedPageBreak/>
        <w:t>Helseforvaltningen</w:t>
      </w:r>
    </w:p>
    <w:p w:rsidR="00D24D21" w:rsidRDefault="00D24D21" w:rsidP="00CE47F2">
      <w:r>
        <w:t>Aktørene i helseforvaltningen som har betydning for helsenæringen, er særlig Statens legemidde</w:t>
      </w:r>
      <w:r>
        <w:t>l</w:t>
      </w:r>
      <w:r>
        <w:t>verk, Helsedirektoratet, Folkehelseinstituttet og Direktoratet for e-helse.</w:t>
      </w:r>
    </w:p>
    <w:p w:rsidR="00D24D21" w:rsidRDefault="00D24D21" w:rsidP="00CE47F2">
      <w:r>
        <w:t>Helse- og omsorgstjenesten er regulert av hensyn til pasientsikkerhet og likeverdig tilgang til he</w:t>
      </w:r>
      <w:r>
        <w:t>l</w:t>
      </w:r>
      <w:r>
        <w:t>sehjelp. Dette fordrer en helseforvaltning som samler informasjon om befolkningens helse, gir fa</w:t>
      </w:r>
      <w:r>
        <w:t>g</w:t>
      </w:r>
      <w:r>
        <w:t>lige råd til tjenesten og innbyggere, setter i verk vedtatt politikk og kvalitetssikrer og gir godkje</w:t>
      </w:r>
      <w:r>
        <w:t>n</w:t>
      </w:r>
      <w:r>
        <w:t>ninger til produ</w:t>
      </w:r>
      <w:r>
        <w:t>k</w:t>
      </w:r>
      <w:r>
        <w:t>ter, tjenester og personale. I sin oppgaveløsning samhandler helseforvaltningen med næringslivet, og er viktig for utviklingen i helsenæringen. De ulike aktørene er nærmere omtalt i kapittel 6.</w:t>
      </w:r>
    </w:p>
    <w:p w:rsidR="00D24D21" w:rsidRDefault="00D24D21" w:rsidP="00CE47F2">
      <w:pPr>
        <w:pStyle w:val="Overskrift3"/>
      </w:pPr>
      <w:r>
        <w:t>Offentlig finansiering av forskning, utvikling og innovasjon</w:t>
      </w:r>
    </w:p>
    <w:p w:rsidR="00D24D21" w:rsidRDefault="00D24D21" w:rsidP="00CE47F2">
      <w:r>
        <w:t>Offentlig finansiert forskning og utvikling er av stor betydning for helsenæringen. For å utvikle nye produkter og tjenester trenger helsenæringen grunnforskning og infrastruktur av høy kvalitet, kap</w:t>
      </w:r>
      <w:r>
        <w:t>a</w:t>
      </w:r>
      <w:r>
        <w:t>sitet og kompetanse på kliniske studier, innovasjonsstøtte og et velfungerende apparat for komme</w:t>
      </w:r>
      <w:r>
        <w:t>r</w:t>
      </w:r>
      <w:r>
        <w:t>sialisering.</w:t>
      </w:r>
    </w:p>
    <w:p w:rsidR="00D24D21" w:rsidRDefault="00D24D21" w:rsidP="00CE47F2">
      <w:r>
        <w:t>Det meste av forskningen innenfor medisin og helsefag er finansiert over de frie basisbevilgningene til spesi</w:t>
      </w:r>
      <w:r>
        <w:t>a</w:t>
      </w:r>
      <w:r>
        <w:t>listhelsetjenesten og universitets- og høyskolesektoren, mens en andel er øremerket til spesifikke tematiske o</w:t>
      </w:r>
      <w:r>
        <w:t>m</w:t>
      </w:r>
      <w:r>
        <w:t>råder i programmer i Norges forskningsråd eller forskning i sykehusene. De ulike aktørenes rolle opp mot hels</w:t>
      </w:r>
      <w:r>
        <w:t>e</w:t>
      </w:r>
      <w:r>
        <w:t>næringen er nærmere omtalt i kapittel 8.</w:t>
      </w:r>
    </w:p>
    <w:p w:rsidR="00D24D21" w:rsidRDefault="00E636F4" w:rsidP="00E636F4">
      <w:pPr>
        <w:pStyle w:val="Figur"/>
      </w:pPr>
      <w:r>
        <w:rPr>
          <w:noProof/>
        </w:rPr>
        <w:t>[:figur:figX-X.jpg]</w:t>
      </w:r>
    </w:p>
    <w:p w:rsidR="00D24D21" w:rsidRDefault="00D24D21" w:rsidP="00CE47F2">
      <w:pPr>
        <w:pStyle w:val="figur-tittel"/>
      </w:pPr>
      <w:r>
        <w:t>Finansiering av FoU innenfor medisin og helsefag</w:t>
      </w:r>
    </w:p>
    <w:p w:rsidR="00D24D21" w:rsidRDefault="00D24D21" w:rsidP="00CE47F2">
      <w:pPr>
        <w:pStyle w:val="figur-noter"/>
      </w:pPr>
      <w:r>
        <w:t>Totale utgifter til FoU innenfor medisin og helsefag fordelt på finansieringskilder (venstre side) og mottaker (høyre side). Tall for 2017, mrd. kroner.</w:t>
      </w:r>
    </w:p>
    <w:p w:rsidR="00D24D21" w:rsidRDefault="00D24D21" w:rsidP="00CE47F2">
      <w:pPr>
        <w:pStyle w:val="Kilde"/>
        <w:rPr>
          <w:rFonts w:cs="Times New Roman"/>
          <w:sz w:val="24"/>
          <w:szCs w:val="24"/>
          <w:lang w:val="en-GB"/>
        </w:rPr>
      </w:pPr>
      <w:r>
        <w:t xml:space="preserve">NIFU. </w:t>
      </w:r>
    </w:p>
    <w:p w:rsidR="00D24D21" w:rsidRDefault="00D24D21" w:rsidP="00CE47F2">
      <w:pPr>
        <w:pStyle w:val="avsnitt-undertittel"/>
      </w:pPr>
      <w:r>
        <w:t>Universitets- og høyskolesektoren</w:t>
      </w:r>
    </w:p>
    <w:p w:rsidR="00D24D21" w:rsidRDefault="00D24D21" w:rsidP="00CE47F2">
      <w:r>
        <w:t>Universiteter og høyskoler har et særlig ansvar for grunnforskning og forskerutdanning innenfor de o</w:t>
      </w:r>
      <w:r>
        <w:t>m</w:t>
      </w:r>
      <w:r>
        <w:t>rådene der de tildeler doktorgrad. Universiteter og høyskoler skal utvikle kunnskap og utdanne personale til beste for samfunnet, samtidig som institusjonene har faglig frihet med hensyn til hvordan oppdraget ivaretas.</w:t>
      </w:r>
    </w:p>
    <w:p w:rsidR="00D24D21" w:rsidRDefault="00D24D21" w:rsidP="00CE47F2">
      <w:r>
        <w:t>Det er i dag et utstrakt samarbeid mellom universiteter og helseforetak om helseforskning, innov</w:t>
      </w:r>
      <w:r>
        <w:t>a</w:t>
      </w:r>
      <w:r>
        <w:t>sjon og utda</w:t>
      </w:r>
      <w:r>
        <w:t>n</w:t>
      </w:r>
      <w:r>
        <w:t>ning. Samarbeidsflaten preges av fler- og tverrfaglighet med bidrag fra fagmiljøer utenfor de tradisjonelle kliniske forskningsmiljøene (f.eks. biologi, teknologi, økonomi, jus). Sa</w:t>
      </w:r>
      <w:r>
        <w:t>m</w:t>
      </w:r>
      <w:r>
        <w:t>arbeidet berører flere organisatoriske nivåer og omfatter ulike funksjoner og tiltak, som felles forskningssøknader og -prosjekter, infrastrukturer og tungt utstyr i tillegg til utdanning og oppl</w:t>
      </w:r>
      <w:r>
        <w:t>æ</w:t>
      </w:r>
      <w:r>
        <w:t>ringsaktiviteter.</w:t>
      </w:r>
    </w:p>
    <w:p w:rsidR="00D24D21" w:rsidRDefault="00D24D21" w:rsidP="00CE47F2">
      <w:r>
        <w:t>Universitetene med medisinsk fakultet har et omfattende og tett samarbeid med universitetssyk</w:t>
      </w:r>
      <w:r>
        <w:t>e</w:t>
      </w:r>
      <w:r>
        <w:t>husene. Dette både tematisk og i bruk av personell, infrastruktur og arealer. De siste årene er det lagt ned et betydelig arbeid for å ha</w:t>
      </w:r>
      <w:r>
        <w:t>r</w:t>
      </w:r>
      <w:r>
        <w:t>monisere insentiver og legge til rette for effektivt samarbeid mellom de to sektorene. Dette er omtalt i kapittel 6.</w:t>
      </w:r>
    </w:p>
    <w:p w:rsidR="00D24D21" w:rsidRDefault="00D24D21" w:rsidP="00CE47F2">
      <w:pPr>
        <w:pStyle w:val="avsnitt-undertittel"/>
      </w:pPr>
      <w:r>
        <w:lastRenderedPageBreak/>
        <w:t>Forskningsaktiviteten ved sykehusene</w:t>
      </w:r>
    </w:p>
    <w:p w:rsidR="00D24D21" w:rsidRDefault="00D24D21" w:rsidP="00CE47F2">
      <w:r>
        <w:t>Sykehusene har forskning som oppgave og har en betydelig forskningsaktivitet. Forskning gir ti</w:t>
      </w:r>
      <w:r>
        <w:t>l</w:t>
      </w:r>
      <w:r>
        <w:t>gang til ny kunnskap og gir faglig oppdatering til helsepersonell og kvalitetssikring av behandlingen. Forskningsaktivitet i sykehusene gjør også at pasientene får tilgang til ny behandling gjennom kl</w:t>
      </w:r>
      <w:r>
        <w:t>i</w:t>
      </w:r>
      <w:r>
        <w:t>niske studier. Det er derfor øremerket et tilskudd til forskning i spesialisthelsetjenesten i statsbu</w:t>
      </w:r>
      <w:r>
        <w:t>d</w:t>
      </w:r>
      <w:r>
        <w:t>sjettet. I 2019 er dette på 724 mill. kroner. Utover dette finansieres forskningen gjennom basisb</w:t>
      </w:r>
      <w:r>
        <w:t>e</w:t>
      </w:r>
      <w:r>
        <w:t>vilgningen til spesialisthels</w:t>
      </w:r>
      <w:r>
        <w:t>e</w:t>
      </w:r>
      <w:r>
        <w:t>tjenesten og fra eksterne kilder.</w:t>
      </w:r>
    </w:p>
    <w:p w:rsidR="00D24D21" w:rsidRDefault="00D24D21" w:rsidP="00CE47F2">
      <w:r>
        <w:t>De seks universitetssykehusene samarbeider med universitetene som har medisinsk fakultet, og er derfor et viktig bindeledd mellom universitetsmiljøene og de kliniske miljøene innenfor både forskning og utdanning. Univers</w:t>
      </w:r>
      <w:r>
        <w:t>i</w:t>
      </w:r>
      <w:r>
        <w:t>tetssykehusene bidrar i doktorgradsutdanning, utfører biomedisinsk og helsefaglig grunnforskning, translasjonsforskning og klinisk forskning. Det kreves at fors</w:t>
      </w:r>
      <w:r>
        <w:t>k</w:t>
      </w:r>
      <w:r>
        <w:t>ningsaktiviteten som u</w:t>
      </w:r>
      <w:r>
        <w:t>t</w:t>
      </w:r>
      <w:r>
        <w:t>føres både har bredde, og er av høy internasjonal kvalitet.</w:t>
      </w:r>
      <w:r>
        <w:rPr>
          <w:vertAlign w:val="superscript"/>
        </w:rPr>
        <w:footnoteReference w:id="9"/>
      </w:r>
    </w:p>
    <w:p w:rsidR="00D24D21" w:rsidRDefault="00D24D21" w:rsidP="00CE47F2">
      <w:pPr>
        <w:pStyle w:val="avsnitt-undertittel"/>
      </w:pPr>
      <w:r>
        <w:t>Forskning og innovasjon i kommunale helse- og omsorgstjenester</w:t>
      </w:r>
    </w:p>
    <w:p w:rsidR="00D24D21" w:rsidRDefault="00D24D21" w:rsidP="00CE47F2">
      <w:r>
        <w:t>Kommunene har ansvar for å medvirke til og tilrettelegge for forskning. Medvirkningsansvaret kan for eksempel innebære å gjøre data tilgjengelig eller å synliggjøre problemstillinger eller områder med forskningsbehov overfor relevante samarbeidsaktører. Det øremerkes ikke midler til forskning i ramm</w:t>
      </w:r>
      <w:r>
        <w:t>e</w:t>
      </w:r>
      <w:r>
        <w:t>tilskuddet til kommuner og fylkeskommuner.</w:t>
      </w:r>
    </w:p>
    <w:p w:rsidR="00D24D21" w:rsidRDefault="00D24D21" w:rsidP="00CE47F2">
      <w:r>
        <w:t>Kunnskaps- og kompetansesentre utenfor spesialisthelsetjenesten mottar i dag tilskudd fra Hels</w:t>
      </w:r>
      <w:r>
        <w:t>e</w:t>
      </w:r>
      <w:r>
        <w:t>direktoratet, Barne-, ungdoms- og familiedirektoratet, Justis- og beredskapsdepartementet og Kunnskapsdepartementet. I statsbudsjettet for 2019 er det varslet at forskningsfinansieringen gradvis vil bli lagt om til resultatbasert finans</w:t>
      </w:r>
      <w:r>
        <w:t>e</w:t>
      </w:r>
      <w:r>
        <w:t>ring, som skal forvaltes av Norges forskningsråd. I tillegg gis et kommunalt komp</w:t>
      </w:r>
      <w:r>
        <w:t>e</w:t>
      </w:r>
      <w:r>
        <w:t>tanse- og innovasjonstilskudd, som skal bidra til at kommunene setter i verk kompetanseutviklende tiltak og nybrotts- og utviklingsarbeid utfra lokale forutsetninger og behov. Tilskuddet forvaltes av Helsedire</w:t>
      </w:r>
      <w:r>
        <w:t>k</w:t>
      </w:r>
      <w:r>
        <w:t>toratet, og er i 2019 på 398 mill. kroner.</w:t>
      </w:r>
    </w:p>
    <w:p w:rsidR="00D24D21" w:rsidRDefault="00D24D21" w:rsidP="00CE47F2">
      <w:r>
        <w:t>Et kunnskapsløft for kommunene er en av fem hovedprioriteringer i HelseOmsorg21-strategien og regjeringens handlingsplan for oppfølging av denne. I oppfølgingen av denne prioriteringen op</w:t>
      </w:r>
      <w:r>
        <w:t>p</w:t>
      </w:r>
      <w:r>
        <w:t>nevnte He</w:t>
      </w:r>
      <w:r>
        <w:t>l</w:t>
      </w:r>
      <w:r>
        <w:t>seOmsorg21-rådet Kommunenes strategiske forskningsorgan (KSF). KSF skal være et nasjonalt strategisk, rådgivende organ for forskning, innovasjon og utdanning rettet mot komm</w:t>
      </w:r>
      <w:r>
        <w:t>u</w:t>
      </w:r>
      <w:r>
        <w:t>nenes helse- og o</w:t>
      </w:r>
      <w:r>
        <w:t>m</w:t>
      </w:r>
      <w:r>
        <w:t>sorgstjenester. I sin sluttrapport foreslår KSF en framtidig struktur og mulig finansieringsmodell for forskning i kommunale helse- og omsorgstjenester.</w:t>
      </w:r>
      <w:r>
        <w:rPr>
          <w:vertAlign w:val="superscript"/>
        </w:rPr>
        <w:footnoteReference w:id="10"/>
      </w:r>
      <w:r>
        <w:t xml:space="preserve"> Rapporten fra KSF overleveres helseministeren og eldre- og folkehelseministeren i april 2019.</w:t>
      </w:r>
    </w:p>
    <w:p w:rsidR="00D24D21" w:rsidRDefault="00D24D21" w:rsidP="00CE47F2">
      <w:pPr>
        <w:pStyle w:val="Overskrift1"/>
      </w:pPr>
      <w:r>
        <w:lastRenderedPageBreak/>
        <w:t>Økonomisk og teknologisk utvikling</w:t>
      </w:r>
    </w:p>
    <w:p w:rsidR="00D24D21" w:rsidRDefault="00D24D21" w:rsidP="00CE47F2">
      <w:r>
        <w:t>I likhet med mange andre OECD</w:t>
      </w:r>
      <w:r>
        <w:rPr>
          <w:vertAlign w:val="superscript"/>
        </w:rPr>
        <w:footnoteReference w:id="11"/>
      </w:r>
      <w:r>
        <w:t>-land vil Norge i årene framover få flere eldre og personer med sammensatte og kroniske sykdommer, og med høyere krav fra pasienter og pårørende. Ifølge SSBs befol</w:t>
      </w:r>
      <w:r>
        <w:t>k</w:t>
      </w:r>
      <w:r>
        <w:t>ningsframskriving vil hver femte person være 70 år eller eldre i 2060.</w:t>
      </w:r>
      <w:r>
        <w:rPr>
          <w:vertAlign w:val="superscript"/>
        </w:rPr>
        <w:footnoteReference w:id="12"/>
      </w:r>
      <w:r>
        <w:t xml:space="preserve"> Levealderen øker takket være bedre helsetilstand som følge av den medisinske utviklingen og bedre levekår, blant annet arbeidsmiljø, bomiljø, velferdsordninger og folkehelsetiltak. Utviklingen vil øke behovene for helse- og omsorgstjene</w:t>
      </w:r>
      <w:r>
        <w:t>s</w:t>
      </w:r>
      <w:r>
        <w:t>ter og derfor sette bærekraften i offentlige finanser på prøve.</w:t>
      </w:r>
    </w:p>
    <w:p w:rsidR="00D24D21" w:rsidRDefault="00D24D21" w:rsidP="00CE47F2">
      <w:r>
        <w:t>Samtidig er det en rekke utviklingstrekk som krever omstilling av norsk næringsliv. Oljeprisfallet for noen år tilbake fikk negative konsekvenser for deler av næringslivet, og var en påminnelse om at man ikke kan ta gode økonomiske tider for gitt. Petroleumssektoren vil fortsatt være en viktig del av norsk økonomi i årene framover, men den vil trolig gi et mindre vekstbidrag enn tidligere. Når betydningen av en næring med høy verdiskaping dempes, vil utviklingen framover bestemmes av om ny, lønnsom næringsvirksomhet vokser fram. Produktivitetskommisjonen pekte på at Norge må ha ny inntekt</w:t>
      </w:r>
      <w:r>
        <w:t>s</w:t>
      </w:r>
      <w:r>
        <w:t>vekst som primært sk</w:t>
      </w:r>
      <w:r>
        <w:t>a</w:t>
      </w:r>
      <w:r>
        <w:t>pes i nye næringer.</w:t>
      </w:r>
      <w:r>
        <w:rPr>
          <w:vertAlign w:val="superscript"/>
        </w:rPr>
        <w:footnoteReference w:id="13"/>
      </w:r>
    </w:p>
    <w:p w:rsidR="00D24D21" w:rsidRDefault="00D24D21" w:rsidP="00CE47F2">
      <w:r>
        <w:t>Veksten i produktiviteten i Norge har gått ned de siste tiårene.</w:t>
      </w:r>
      <w:r>
        <w:rPr>
          <w:vertAlign w:val="superscript"/>
        </w:rPr>
        <w:footnoteReference w:id="14"/>
      </w:r>
      <w:r>
        <w:t xml:space="preserve"> Dette skyldes til dels den lavere akt</w:t>
      </w:r>
      <w:r>
        <w:t>i</w:t>
      </w:r>
      <w:r>
        <w:t>viteten i petroleumsrelaterte næringer, men også andre faktorer har spilt inn. Mange andre land uten petroleumsproduksjon har også hatt nedgang i produktivitetsveksten. En forutsetning for å videreføre en god velstandsutvikling er at produktivitetsveksten holdes oppe.</w:t>
      </w:r>
    </w:p>
    <w:p w:rsidR="00D24D21" w:rsidRDefault="00D24D21" w:rsidP="00CE47F2">
      <w:r>
        <w:t>Utviklingen i norsk økonomi de neste årene vil påvirkes av omstillingsevnen og hvorvidt ny n</w:t>
      </w:r>
      <w:r>
        <w:t>æ</w:t>
      </w:r>
      <w:r>
        <w:t>ringsvirksomhet og nye bedrifter vokser fram. Produktiviteten i økonomien kan påvirkes gjennom økonomisk politikk, men produ</w:t>
      </w:r>
      <w:r>
        <w:t>k</w:t>
      </w:r>
      <w:r>
        <w:t>tivitet må også drives fram av næringslivet.</w:t>
      </w:r>
    </w:p>
    <w:p w:rsidR="00D24D21" w:rsidRDefault="00D24D21" w:rsidP="00CE47F2">
      <w:r>
        <w:t>Norge har et godt utgangspunkt for å møte utfordringene framover. Men selv om vi har en høyt utdannet arbeid</w:t>
      </w:r>
      <w:r>
        <w:t>s</w:t>
      </w:r>
      <w:r>
        <w:t>styrke, mange i arbeid og solide statsfinanser, vil gode løsninger kreve innsats på flere områder. Helsenæringen kan gi sitt bidrag til å løse noen av utfordringene det norske samfunnet står overfor i årene framover.</w:t>
      </w:r>
    </w:p>
    <w:p w:rsidR="00D24D21" w:rsidRDefault="00D24D21" w:rsidP="00CE47F2">
      <w:pPr>
        <w:pStyle w:val="Overskrift2"/>
      </w:pPr>
      <w:r>
        <w:lastRenderedPageBreak/>
        <w:t>Bærekraft i offentlige finanser</w:t>
      </w:r>
    </w:p>
    <w:p w:rsidR="00D24D21" w:rsidRDefault="00D24D21" w:rsidP="00CE47F2">
      <w:r>
        <w:t>Forholdene som er nevnt over vil bidra til at handlingsrommet i finanspolitikken de neste årene vil bli mindre enn tidligere. Det vil oppstå et økende finansieringsbehov i offentlig forvaltning. En eve</w:t>
      </w:r>
      <w:r>
        <w:t>n</w:t>
      </w:r>
      <w:r>
        <w:t>tuell videre utbygging av det offentlige tjenestetilbudet vil øke utfordringene.</w:t>
      </w:r>
    </w:p>
    <w:p w:rsidR="00D24D21" w:rsidRDefault="00D24D21" w:rsidP="00CE47F2">
      <w:r>
        <w:t>Mer effektiv ressursbruk er en av hovedstrategiene for å sikre bærekraftige offentlige finanser, som regjeringen presenterte i Perspektivmeldingen 2017.</w:t>
      </w:r>
      <w:r>
        <w:rPr>
          <w:vertAlign w:val="superscript"/>
        </w:rPr>
        <w:footnoteReference w:id="15"/>
      </w:r>
      <w:r>
        <w:t xml:space="preserve"> Det vil ha stor betydning for bærekraften i velferdsordningene om vi får mer ut av ressursene i den offentlige helse- og omsorgstjenesten. Et annet fo</w:t>
      </w:r>
      <w:r>
        <w:t>r</w:t>
      </w:r>
      <w:r>
        <w:t>hold som vil ha stor betydning for bærekraften i velferdsordningene våre, er at flere er i arbeid og at de arbeider lenger. Inndekningsbehovet blir, ifølge beregningene i Perspektivmeldingen 2017, vesentlig redusert dersom vi lykkes på disse to politikkområdene.</w:t>
      </w:r>
    </w:p>
    <w:p w:rsidR="00D24D21" w:rsidRDefault="00D24D21" w:rsidP="00CE47F2">
      <w:r>
        <w:t>Utgifter til helse og omsorg er en årsak til presset på offentlige finanser i mange OECD-land. Det er imidlertid store variasjoner mellom landene. Land med et høyt inntektsnivå bruker mer på helse enn land med lavere inntektsnivå. I 2017 utgjorde helse- og omsorgsutgiftene i Norge 10,4 pst. av bru</w:t>
      </w:r>
      <w:r>
        <w:t>t</w:t>
      </w:r>
      <w:r>
        <w:t>tonasjona</w:t>
      </w:r>
      <w:r>
        <w:t>l</w:t>
      </w:r>
      <w:r>
        <w:t>produktet (BNP). Dette er noe høyere enn OECD-landenes gjennomsnitt på ni pst. av BNP, men på linje med de andre nordiske landene. Helseutgiftene per innbygger i Norge, målt i faste priser, økte med om lag 46 pst. fra 1997 til 2017, jf. figur 3.1.</w:t>
      </w:r>
    </w:p>
    <w:p w:rsidR="00D24D21" w:rsidRDefault="00E636F4" w:rsidP="00E636F4">
      <w:pPr>
        <w:pStyle w:val="Figur"/>
      </w:pPr>
      <w:r>
        <w:rPr>
          <w:noProof/>
        </w:rPr>
        <w:t>[:figur:figX-X.jpg]</w:t>
      </w:r>
    </w:p>
    <w:p w:rsidR="00D24D21" w:rsidRDefault="00D24D21" w:rsidP="00CE47F2">
      <w:pPr>
        <w:pStyle w:val="figur-tittel"/>
      </w:pPr>
      <w:r>
        <w:t>Helseutgifter per innbygger i Norge, faste priser, kroner</w:t>
      </w:r>
    </w:p>
    <w:p w:rsidR="00D24D21" w:rsidRDefault="00D24D21" w:rsidP="00CE47F2">
      <w:pPr>
        <w:pStyle w:val="Kilde"/>
        <w:rPr>
          <w:rFonts w:cs="Times New Roman"/>
          <w:sz w:val="24"/>
          <w:szCs w:val="24"/>
          <w:lang w:val="en-GB"/>
        </w:rPr>
      </w:pPr>
      <w:r>
        <w:t>SSB, Helseregnskap</w:t>
      </w:r>
    </w:p>
    <w:p w:rsidR="00D24D21" w:rsidRDefault="00D24D21" w:rsidP="00CE47F2">
      <w:r>
        <w:t>Sammenhengen mellom økt levealder og behovet for helse- og omsorgstjenester er ikke helt entydig. Ett ytterpunkt er at økning i forventet levealder faller sammen med like stor eller større økning i antall år med sykdom. På den andre siden kan antall år med god helse øke mer enn forventet lev</w:t>
      </w:r>
      <w:r>
        <w:t>e</w:t>
      </w:r>
      <w:r>
        <w:t>alder. Det er klare holdepunkter for at utbredelsen av kronisk sykdom blant eldre har økt over tid. En aldrende befolkning må forventes å trenge helse- og omsorgstjenester for en lengre periode enn tidligere generasjoner, men el</w:t>
      </w:r>
      <w:r>
        <w:t>d</w:t>
      </w:r>
      <w:r>
        <w:t>reomsorg for en kortere.</w:t>
      </w:r>
      <w:r>
        <w:rPr>
          <w:vertAlign w:val="superscript"/>
        </w:rPr>
        <w:footnoteReference w:id="16"/>
      </w:r>
    </w:p>
    <w:p w:rsidR="00D24D21" w:rsidRDefault="00D24D21" w:rsidP="00CE47F2">
      <w:r>
        <w:t>Framskrivingene i basisforløpet i Perspektivmeldingen 2017 innebærer at offentlige utgifter øker raskere enn offentlige inntekter fra slutten av 2020-tallet. For å oppnå balanserte budsjetter må u</w:t>
      </w:r>
      <w:r>
        <w:t>t</w:t>
      </w:r>
      <w:r>
        <w:t>giftene reduseres eller in</w:t>
      </w:r>
      <w:r>
        <w:t>n</w:t>
      </w:r>
      <w:r>
        <w:t>tektene økes. Med dagens nivå på BNP svarer inndekningsbehovet til nær fem mrd. kroner per år.</w:t>
      </w:r>
    </w:p>
    <w:p w:rsidR="00D24D21" w:rsidRDefault="00D24D21" w:rsidP="00CE47F2">
      <w:r>
        <w:t>Framskrivingene i Finansdepartementets basisforløp innebærer en langt mer forsiktig utbygging av det offentlig finansierte velferdstilbudet enn i perioden vi har bak oss. Utgiftene vil øke enda mer der veksten i ressursbruken per bruker av offentlige tjenester blir noe nærmere det vi har sett historisk.</w:t>
      </w:r>
    </w:p>
    <w:p w:rsidR="00D24D21" w:rsidRDefault="00D24D21" w:rsidP="00CE47F2">
      <w:r>
        <w:lastRenderedPageBreak/>
        <w:t>Mange av størrelsene som påvirker Norges offentlige finanser, kan vi i liten grad kontrollere. Dette gjelder for eksempel oljeprisen. Andre størrelser kan i større grad påvirkes, for eksempel produkt</w:t>
      </w:r>
      <w:r>
        <w:t>i</w:t>
      </w:r>
      <w:r>
        <w:t>viteten i privat vare- og tjenesteproduksjon. Denne kan påvirkes gjennom en økonomisk politikk som vektlegger forutsigbarhet og stabilitet, og ved å legge til rette for konkurranse, åpenhet for intern</w:t>
      </w:r>
      <w:r>
        <w:t>a</w:t>
      </w:r>
      <w:r>
        <w:t>sjonal handel, en kompetent arbeidsstyrke og omstillingsevne.</w:t>
      </w:r>
    </w:p>
    <w:p w:rsidR="00D24D21" w:rsidRDefault="00D24D21" w:rsidP="00CE47F2">
      <w:r>
        <w:t>Økt produktivitet er avgjørende for utviklingen i velstandsnivået i Norge over tid. Økt produktivitet i o</w:t>
      </w:r>
      <w:r>
        <w:t>f</w:t>
      </w:r>
      <w:r>
        <w:t>fentlig helse- og omsorgstjenester vil ha stor betydning for bærekraften i velferdsordningene.</w:t>
      </w:r>
    </w:p>
    <w:p w:rsidR="00D24D21" w:rsidRDefault="00D24D21" w:rsidP="009C17C8">
      <w:pPr>
        <w:pStyle w:val="Overskrift3"/>
        <w:numPr>
          <w:ilvl w:val="2"/>
          <w:numId w:val="221"/>
        </w:numPr>
      </w:pPr>
      <w:r>
        <w:t>Bærekraft i helse- og omsorgstjenesten</w:t>
      </w:r>
    </w:p>
    <w:p w:rsidR="00D24D21" w:rsidRDefault="00D24D21" w:rsidP="00CE47F2">
      <w:r>
        <w:t>Veksten i de offentlige utgiftene til helse og omsorg drives av flere forhold. En av de største driverne er eldre befolkning. Økt forekomst av kroniske lidelser og multisykdom, samt tilgang på nye, re</w:t>
      </w:r>
      <w:r>
        <w:t>s</w:t>
      </w:r>
      <w:r>
        <w:t>surskrevende behandlingsmuligheter øker etterspørselen etter helse- og omsorgstjenester. Samtidig er det økende forventninger fra pasienter og pårørende om bedre behandlinger og bedre helse. Det er en bev</w:t>
      </w:r>
      <w:r>
        <w:t>e</w:t>
      </w:r>
      <w:r>
        <w:t>gelse i retning av at man i større grad opptrer som forbruker heller enn pasient. Etter 2030 blir utfor</w:t>
      </w:r>
      <w:r>
        <w:t>d</w:t>
      </w:r>
      <w:r>
        <w:t>ringene trolig større, siden andelen eldre over 80 år da tiltar.</w:t>
      </w:r>
    </w:p>
    <w:p w:rsidR="00D24D21" w:rsidRDefault="00D24D21" w:rsidP="00CE47F2">
      <w:r>
        <w:t>Studier fra OECD viser at store deler av veksten i offentlige utgifter til helse og omsorg skyldes ny te</w:t>
      </w:r>
      <w:r>
        <w:t>k</w:t>
      </w:r>
      <w:r>
        <w:t>nologi.</w:t>
      </w:r>
      <w:r>
        <w:rPr>
          <w:vertAlign w:val="superscript"/>
        </w:rPr>
        <w:footnoteReference w:id="17"/>
      </w:r>
      <w:r>
        <w:t xml:space="preserve"> Innføring av ny teknologi har ført til utgiftsvekst siden ny teknologi gjerne ledsages av et større tilbud og flere b</w:t>
      </w:r>
      <w:r>
        <w:t>e</w:t>
      </w:r>
      <w:r>
        <w:t>handlinger.</w:t>
      </w:r>
      <w:r>
        <w:rPr>
          <w:vertAlign w:val="superscript"/>
        </w:rPr>
        <w:footnoteReference w:id="18"/>
      </w:r>
      <w:r>
        <w:t xml:space="preserve"> Samtidig bidrar ny teknologi til mer effektiv ressursbruk, høyere kvalitet, økt pasientsikkerhet, mindre omfattende inngrep og mer effektiv bruk av helsepe</w:t>
      </w:r>
      <w:r>
        <w:t>r</w:t>
      </w:r>
      <w:r>
        <w:t>sonellets tid. Slik gir ny teknologi pasientene et bedre tilbud, og er avgjørende for å løse utfor</w:t>
      </w:r>
      <w:r>
        <w:t>d</w:t>
      </w:r>
      <w:r>
        <w:t>ringene helse- og omsorgstjenesten står overfor.</w:t>
      </w:r>
    </w:p>
    <w:p w:rsidR="00D24D21" w:rsidRDefault="00D24D21" w:rsidP="00CE47F2">
      <w:r>
        <w:t>Dersom gevinsten av å innføre ny teknologi skal tas ut, må nytten av teknologien overstige kostn</w:t>
      </w:r>
      <w:r>
        <w:t>a</w:t>
      </w:r>
      <w:r>
        <w:t>dene. Ulike former for teknologi kan gi ulike former for gevinster, for eksempel økt produksjon, reduserte utgifter, økt kvalitet eller en kombinasjon av disse. For næringslivet vil det være viktig at de positive gevinstene kan dokumenteres, slik at fordelen med deres teknologi blir deres konku</w:t>
      </w:r>
      <w:r>
        <w:t>r</w:t>
      </w:r>
      <w:r>
        <w:t>ransefortrinn. For å sikre at ny tekn</w:t>
      </w:r>
      <w:r>
        <w:t>o</w:t>
      </w:r>
      <w:r>
        <w:t>logi som innføres i spesialisthelsetjenestene er kostnadseffektiv, er det etablert et system for innføring av nye metoder. Dette er omtalt i kapittel 8.</w:t>
      </w:r>
    </w:p>
    <w:p w:rsidR="00D24D21" w:rsidRDefault="00D24D21" w:rsidP="00CE47F2">
      <w:r>
        <w:t>Medisinske gjennombrudd kan skape muligheter for behandling av nye pasientgrupper som tidligere ikke kunne behandles. Dette er en ønsket utvikling som medfører økte kostnader for helse- og o</w:t>
      </w:r>
      <w:r>
        <w:t>m</w:t>
      </w:r>
      <w:r>
        <w:t>sorgstjenesten. Nye b</w:t>
      </w:r>
      <w:r>
        <w:t>e</w:t>
      </w:r>
      <w:r>
        <w:t>handlingsformer kan også kreve avansert og dyrt utstyr og tverrfaglige, høyt spesial</w:t>
      </w:r>
      <w:r>
        <w:t>i</w:t>
      </w:r>
      <w:r>
        <w:t>serte team av fagfolk. Ofte vil også nye metoder medføre at behovet for andre typer personell øker, for eksempel medisinske fysikere eller ing</w:t>
      </w:r>
      <w:r>
        <w:t>e</w:t>
      </w:r>
      <w:r>
        <w:t>niører. Samtidig kan ny teknologi også bidra til å redusere behovet for he</w:t>
      </w:r>
      <w:r>
        <w:t>l</w:t>
      </w:r>
      <w:r>
        <w:t xml:space="preserve">sepersonell på noen områder. Dagens behandlingsmuligheter stiller store og økende krav til blant annet spisskompetanse og avansert utstyr. Utviklingen i medisinsk teknologi </w:t>
      </w:r>
      <w:r>
        <w:lastRenderedPageBreak/>
        <w:t>innebærer at det alltid vil være et gap mellom hva som er medisinsk mulig og hva det er ressurser og kompetanse til i helse- og omsorg</w:t>
      </w:r>
      <w:r>
        <w:t>s</w:t>
      </w:r>
      <w:r>
        <w:t>tjenesten.</w:t>
      </w:r>
      <w:r>
        <w:rPr>
          <w:vertAlign w:val="superscript"/>
        </w:rPr>
        <w:footnoteReference w:id="19"/>
      </w:r>
    </w:p>
    <w:p w:rsidR="00D24D21" w:rsidRDefault="00D24D21" w:rsidP="00CE47F2">
      <w:r>
        <w:t>Medisinsk forskning og innovasjon bringer fram nye teknologier i stort omfang og høyt tempo. Nye behan</w:t>
      </w:r>
      <w:r>
        <w:t>d</w:t>
      </w:r>
      <w:r>
        <w:t>lingsmetoder kan gi bedre behandlingsresultater med mindre belastninger for pasientene og de pårørende, i tillegg til kortere sykefravær. I tillegg kan de gi lavere ressursbruk for helse- og omsorgstj</w:t>
      </w:r>
      <w:r>
        <w:t>e</w:t>
      </w:r>
      <w:r>
        <w:t>nesten, ved for eksempel kortere liggetid på sykehus og redusert behov for rehabilitering. Evnen og viljen til å ta i bruk ny teknologi, nye produkter og nye løsninger vil ha mye å si for e</w:t>
      </w:r>
      <w:r>
        <w:t>f</w:t>
      </w:r>
      <w:r>
        <w:t>fektiviteten og kvaliteten i det offentlige tjenestetilbudet i årene framover. Nye løsninger og mer kunnskap gir mulighet til bedre forebygging, til å behandle flere og til å behandle mer effektivt.</w:t>
      </w:r>
    </w:p>
    <w:p w:rsidR="00D24D21" w:rsidRDefault="00D24D21" w:rsidP="00CE47F2">
      <w:r>
        <w:t>Dersom innovasjoner og ny teknologisk utvikling fra helsenæringen skal bidra til å skape en bær</w:t>
      </w:r>
      <w:r>
        <w:t>e</w:t>
      </w:r>
      <w:r>
        <w:t>kraftig helse- og omsorgstjeneste, må fordelene av å innføre ny teknologi og nye løsninger overstige kostnaden det gir.</w:t>
      </w:r>
    </w:p>
    <w:p w:rsidR="00D24D21" w:rsidRDefault="00D24D21" w:rsidP="00CE47F2">
      <w:pPr>
        <w:pStyle w:val="Overskrift2"/>
      </w:pPr>
      <w:r>
        <w:t>Teknologisk utvikling</w:t>
      </w:r>
    </w:p>
    <w:p w:rsidR="00D24D21" w:rsidRDefault="00D24D21" w:rsidP="00CE47F2">
      <w:r>
        <w:t>Den teknologiske utviklingen har stor betydning for utviklingen av den norske helse- og omsorg</w:t>
      </w:r>
      <w:r>
        <w:t>s</w:t>
      </w:r>
      <w:r>
        <w:t>tjenesten, og den har betydning for utviklingen av norsk næringsliv. Vi står overfor en teknologisk framgang som over tid vil endre næringslivet. Næringslivet over hele verden preges av disse te</w:t>
      </w:r>
      <w:r>
        <w:t>k</w:t>
      </w:r>
      <w:r>
        <w:t>nologiske endrin</w:t>
      </w:r>
      <w:r>
        <w:t>g</w:t>
      </w:r>
      <w:r>
        <w:t>ene, og teknologien spres raskt.</w:t>
      </w:r>
      <w:r>
        <w:rPr>
          <w:vertAlign w:val="superscript"/>
        </w:rPr>
        <w:footnoteReference w:id="20"/>
      </w:r>
      <w:r>
        <w:t xml:space="preserve"> Ett fellestrekk er at digitaliseringen påvirker nær hele spekteret av varer og tjenester. Konkurransen og utviklingstakten kan skyte fart i tiden framover som følge av ny te</w:t>
      </w:r>
      <w:r>
        <w:t>k</w:t>
      </w:r>
      <w:r>
        <w:t>nologi og inntreden av nye aktører.</w:t>
      </w:r>
    </w:p>
    <w:p w:rsidR="00D24D21" w:rsidRDefault="00D24D21" w:rsidP="00CE47F2">
      <w:r>
        <w:t>I bedriftenes produksjon tas nye materialer i bruk og prosesser endres, automatiseres og digitaliseres. Til dels handler det om det om nye produkter, nye verdikjeder og nye forretningsmodeller. Samtidig handler det om mer effektiv, mer presis og mer automatisert produksjon, noe som gjør det mulig å produsere i Norge. Avanserte materialer, mikro- og nanoelektronikk, nanoteknologi, fotonikk, i</w:t>
      </w:r>
      <w:r>
        <w:t>n</w:t>
      </w:r>
      <w:r>
        <w:t>dustriell bioteknologi og informasjons- og kommunikasjonsteknologi muliggjør avanserte produ</w:t>
      </w:r>
      <w:r>
        <w:t>k</w:t>
      </w:r>
      <w:r>
        <w:t>sjonsprosesser.</w:t>
      </w:r>
    </w:p>
    <w:p w:rsidR="00D24D21" w:rsidRDefault="00D24D21" w:rsidP="00CE47F2">
      <w:r>
        <w:t>Norges omstillingsevne og konkurransekraft avhenger av evnen til å utvikle og ta i bruk ny tekn</w:t>
      </w:r>
      <w:r>
        <w:t>o</w:t>
      </w:r>
      <w:r>
        <w:t>logi. Særlig viktig er evnen til å utnytte teknologi som er utviklet i andre land. Dette krever kunnskap og ko</w:t>
      </w:r>
      <w:r>
        <w:t>m</w:t>
      </w:r>
      <w:r>
        <w:t>petanse. Selv om Norge er et land med høye kostnader, er høyt utdannet arbeidskraft relativt sett billig sammenlignet med mange av våre handelspartnere. I enkelte tilfeller kan det være nø</w:t>
      </w:r>
      <w:r>
        <w:t>d</w:t>
      </w:r>
      <w:r>
        <w:t>vendig å være en del av et verdensledende miljø og bidra til å flytte teknologifronten for å hente hjem teknologi fra andre steder.</w:t>
      </w:r>
    </w:p>
    <w:p w:rsidR="00D24D21" w:rsidRDefault="00D24D21" w:rsidP="00CE47F2">
      <w:r>
        <w:t xml:space="preserve">Åpenhet overfor omverdenen gjennom handel, utenlandsinvesteringer, mobilitet av arbeidskraft og forsknings- og innovasjonssamarbeid er en forutsetning for at norske bedrifter skal hente hjem </w:t>
      </w:r>
      <w:r>
        <w:lastRenderedPageBreak/>
        <w:t>teknologi fra utlandet og utnytte potensialet som ligger i teknologien. En god kunnskapsbase og åpenhet legger til rette for at nye ideer og tekn</w:t>
      </w:r>
      <w:r>
        <w:t>o</w:t>
      </w:r>
      <w:r>
        <w:t>logier kan flyte over landets grenser.</w:t>
      </w:r>
    </w:p>
    <w:p w:rsidR="00D24D21" w:rsidRDefault="00D24D21" w:rsidP="00CE47F2">
      <w:pPr>
        <w:pStyle w:val="Overskrift3"/>
      </w:pPr>
      <w:r>
        <w:t>Teknologiutvikling i medisin og helse</w:t>
      </w:r>
    </w:p>
    <w:p w:rsidR="00D24D21" w:rsidRDefault="00D24D21" w:rsidP="00CE47F2">
      <w:r>
        <w:t>Teknologisk utvikling er og har vært en sterk drivkraft i helse- og omsorgstjenesten, og har bidratt til et lengre og friskere liv for mange. I helse- og omsorgstjenesten kan teknologi beskrives som bruken av organisert kunnskap og ferdigheter i form av utstyr, legemidler, prosedyrer og systemer som er utviklet for å løse utfordringer og øke livskvaliteten.</w:t>
      </w:r>
      <w:r>
        <w:rPr>
          <w:vertAlign w:val="superscript"/>
        </w:rPr>
        <w:footnoteReference w:id="21"/>
      </w:r>
      <w:r>
        <w:t xml:space="preserve"> Teknologiene glir over i hverandre, det er sterke avhen</w:t>
      </w:r>
      <w:r>
        <w:t>g</w:t>
      </w:r>
      <w:r>
        <w:t>igheter mellom dem og konvergens mellom forskjellige teknologier og fagområder har fått stor bety</w:t>
      </w:r>
      <w:r>
        <w:t>d</w:t>
      </w:r>
      <w:r>
        <w:t xml:space="preserve">ning. </w:t>
      </w:r>
      <w:r>
        <w:rPr>
          <w:rStyle w:val="kursiv"/>
          <w:sz w:val="21"/>
          <w:szCs w:val="21"/>
        </w:rPr>
        <w:t>De muliggjørende teknologiene</w:t>
      </w:r>
      <w:r>
        <w:t xml:space="preserve"> bioteknologi, nanoteknologi, avanserte materialer og informasjons- og ko</w:t>
      </w:r>
      <w:r>
        <w:t>m</w:t>
      </w:r>
      <w:r>
        <w:t>munikasjonsteknologi (IKT), har brede anvendelsesmuligheter i en rekke bransjer og næringer, og har stor betydning for helsesektoren.</w:t>
      </w:r>
    </w:p>
    <w:p w:rsidR="00D24D21" w:rsidRDefault="00D24D21" w:rsidP="00CE47F2">
      <w:r>
        <w:t xml:space="preserve">De siste årene har det vært et vesentlig engasjement i </w:t>
      </w:r>
      <w:r>
        <w:rPr>
          <w:rStyle w:val="kursiv"/>
          <w:sz w:val="21"/>
          <w:szCs w:val="21"/>
        </w:rPr>
        <w:t>digitaliseringen</w:t>
      </w:r>
      <w:r>
        <w:t xml:space="preserve"> av helse- og omsorgssektoren. Digitaliseringen endrer både bruk og produksjon av varer og tjenester. </w:t>
      </w:r>
      <w:r>
        <w:rPr>
          <w:rStyle w:val="kursiv"/>
          <w:sz w:val="21"/>
          <w:szCs w:val="21"/>
        </w:rPr>
        <w:t>Informasjons- og kommunik</w:t>
      </w:r>
      <w:r>
        <w:rPr>
          <w:rStyle w:val="kursiv"/>
          <w:sz w:val="21"/>
          <w:szCs w:val="21"/>
        </w:rPr>
        <w:t>a</w:t>
      </w:r>
      <w:r>
        <w:rPr>
          <w:rStyle w:val="kursiv"/>
          <w:sz w:val="21"/>
          <w:szCs w:val="21"/>
        </w:rPr>
        <w:t>sjonsteknologi</w:t>
      </w:r>
      <w:r>
        <w:t xml:space="preserve"> er en fellesbetegnelse for teknologier som muliggjør å samle, lagre, behandle, ko</w:t>
      </w:r>
      <w:r>
        <w:t>m</w:t>
      </w:r>
      <w:r>
        <w:t>munisere, visualisere og bruke data og informasjon i en elektronisk form. Programvare, sensorer, robotikk, internett, multimedia, smarttelefoner, skytjenester, stordata, maskinlæring og kunstig i</w:t>
      </w:r>
      <w:r>
        <w:t>n</w:t>
      </w:r>
      <w:r>
        <w:t>telligens inngår i IKT-begrepet. Alle deler av norsk næringsliv og offentlige myndigheter er a</w:t>
      </w:r>
      <w:r>
        <w:t>v</w:t>
      </w:r>
      <w:r>
        <w:t>hengig av IKT-verktøy som støttesystemer, styrings- og logistikksystemer og ko</w:t>
      </w:r>
      <w:r>
        <w:t>m</w:t>
      </w:r>
      <w:r>
        <w:t>munikasjons- og informasjonssystemer. Videre vil digitalisering innebære håndtering av data til og fra pasienter, blant annet ved ulike applikasjoner, mobil helse og e-konsultasjoner. Digitalisering, nye IKT-systemer og kunstig intelligens gir mange muligheter for selvbetjeningsløsninger, bedre informasjonsutveksling og pasientflyt og bedre beslutningsverktøy for helsepersonell og myndigheter.</w:t>
      </w:r>
    </w:p>
    <w:p w:rsidR="00D24D21" w:rsidRDefault="00D24D21" w:rsidP="00CE47F2">
      <w:pPr>
        <w:rPr>
          <w:rStyle w:val="kursiv"/>
          <w:spacing w:val="-2"/>
          <w:sz w:val="21"/>
          <w:szCs w:val="21"/>
        </w:rPr>
      </w:pPr>
      <w:r>
        <w:rPr>
          <w:rStyle w:val="kursiv"/>
          <w:spacing w:val="-2"/>
          <w:sz w:val="21"/>
          <w:szCs w:val="21"/>
        </w:rPr>
        <w:t>Kunstig intelligens og virtuell virkelighet</w:t>
      </w:r>
      <w:r>
        <w:t xml:space="preserve"> får også større betydning innenfor helse. Tilgang til betydelige mengder data, kraftige regneressurser og framskritt i algoritmer, spesielt nevrale nett, har gjort kunstig intelligens til en av de viktigste muliggjørende teknologiene. Maskinlæring gir mulighet til å tolke tall og bilder og forutse framtidige he</w:t>
      </w:r>
      <w:r>
        <w:t>n</w:t>
      </w:r>
      <w:r>
        <w:t>delser basert på mønstre i data. Datamaskiner kan gjøre noen oppgaver bedre enn leger, som å stille en bildediagnose. Algoritmer kan finne nye mønstre i helsedata. I tillegg kan maskinlæring skaleres raskt, slik at oppgaven kan gjøres mange ganger.</w:t>
      </w:r>
      <w:r>
        <w:rPr>
          <w:vertAlign w:val="superscript"/>
        </w:rPr>
        <w:footnoteReference w:id="22"/>
      </w:r>
      <w:r>
        <w:t xml:space="preserve"> Regjeringen vil i løpet av 2019 legge fram en nasjonal strategi for kunstig intelligens. Virtuell vi</w:t>
      </w:r>
      <w:r>
        <w:t>r</w:t>
      </w:r>
      <w:r>
        <w:t>kelighet muliggjør opplæring og kun</w:t>
      </w:r>
      <w:r>
        <w:t>n</w:t>
      </w:r>
      <w:r>
        <w:t>skapsdeling på helt nye måter.</w:t>
      </w:r>
    </w:p>
    <w:p w:rsidR="00D24D21" w:rsidRDefault="00D24D21" w:rsidP="00CE47F2">
      <w:pPr>
        <w:rPr>
          <w:rStyle w:val="kursiv"/>
          <w:sz w:val="21"/>
          <w:szCs w:val="21"/>
        </w:rPr>
      </w:pPr>
      <w:r>
        <w:rPr>
          <w:rStyle w:val="kursiv"/>
          <w:sz w:val="21"/>
          <w:szCs w:val="21"/>
        </w:rPr>
        <w:t>Bioteknologi</w:t>
      </w:r>
      <w:r>
        <w:t xml:space="preserve"> er anvendelse av naturvitenskap og teknologi på levende organismer og på deler, pr</w:t>
      </w:r>
      <w:r>
        <w:t>o</w:t>
      </w:r>
      <w:r>
        <w:t>dukter og modeller av disse, slik at levende eller ikke-levende materialer endres for å frambringe kunnskap, varer og tjenester.</w:t>
      </w:r>
      <w:r>
        <w:rPr>
          <w:vertAlign w:val="superscript"/>
        </w:rPr>
        <w:footnoteReference w:id="23"/>
      </w:r>
      <w:r>
        <w:t xml:space="preserve"> Utvikling av nesten alle nye legemidler og det meste av ny diagno</w:t>
      </w:r>
      <w:r>
        <w:t>s</w:t>
      </w:r>
      <w:r>
        <w:lastRenderedPageBreak/>
        <w:t>tikk, er a</w:t>
      </w:r>
      <w:r>
        <w:t>v</w:t>
      </w:r>
      <w:r>
        <w:t>hengig av bioteknologiske verktøy og metoder. De senere års store gjennombrudd innenfor immunterapi som kreftbehandling bygger på bioteknologisk forskning og utvikling. I dag brukes bioteknologi til å utvikle det som kalles avanserte terapier, blant annet ge</w:t>
      </w:r>
      <w:r>
        <w:t>n</w:t>
      </w:r>
      <w:r>
        <w:t>terapi, celleterapi og regenerativ medisin. Drivkraften bak utviklingen er at behandlingen skal bli mer effektiv, mer sp</w:t>
      </w:r>
      <w:r>
        <w:t>e</w:t>
      </w:r>
      <w:r>
        <w:t>sifikk og gi færre bivirkninger, samtidig som det muliggjør behandling av andre og nye sykdommer.</w:t>
      </w:r>
    </w:p>
    <w:p w:rsidR="00D24D21" w:rsidRDefault="00D24D21" w:rsidP="00CE47F2">
      <w:r>
        <w:t>Bioteknologi har også lagt grunnlaget for utvikling av nye diagnostiske verktøy og metoder. Utvi</w:t>
      </w:r>
      <w:r>
        <w:t>k</w:t>
      </w:r>
      <w:r>
        <w:t>lingen innenfor storskalaanalyse av biologiske molekyler eller såkalte biomarkører som gener (DNA), proteiner, metabolitter og hormoner, har hatt stor betydning for utviklingen av bedre og mer presis di</w:t>
      </w:r>
      <w:r>
        <w:t>a</w:t>
      </w:r>
      <w:r>
        <w:t>gnostikk og prognostikk. I kombinasjon med IKT og spesielt bioinformatikk, har dette ført til utviklingen av det vi i dag kaller presisjonsmedisin eller persontilpasset medisin (se boks 3.1).</w:t>
      </w:r>
    </w:p>
    <w:p w:rsidR="00D24D21" w:rsidRDefault="00D24D21" w:rsidP="00CE47F2">
      <w:pPr>
        <w:pStyle w:val="tittel-ramme"/>
      </w:pPr>
      <w:r>
        <w:t>Persontilpasset medisin</w:t>
      </w:r>
    </w:p>
    <w:p w:rsidR="00D24D21" w:rsidRDefault="00D24D21" w:rsidP="00CE47F2">
      <w:r>
        <w:t>Persontilpasset medisin handler om forebygging, diagnostikk, behandling og oppfølging tilpasset biol</w:t>
      </w:r>
      <w:r>
        <w:t>o</w:t>
      </w:r>
      <w:r>
        <w:t>giske forhold hos den enkelte.</w:t>
      </w:r>
      <w:r>
        <w:rPr>
          <w:rStyle w:val="skrift-hevet"/>
          <w:sz w:val="21"/>
          <w:szCs w:val="21"/>
        </w:rPr>
        <w:t>1</w:t>
      </w:r>
      <w:r>
        <w:t xml:space="preserve"> Begrepene </w:t>
      </w:r>
      <w:r>
        <w:rPr>
          <w:rStyle w:val="kursiv"/>
          <w:sz w:val="21"/>
          <w:szCs w:val="21"/>
        </w:rPr>
        <w:t>presisjonsmedisin</w:t>
      </w:r>
      <w:r>
        <w:t xml:space="preserve"> og </w:t>
      </w:r>
      <w:r>
        <w:rPr>
          <w:rStyle w:val="kursiv"/>
          <w:sz w:val="21"/>
          <w:szCs w:val="21"/>
        </w:rPr>
        <w:t>stratifisert medisin</w:t>
      </w:r>
      <w:r>
        <w:t xml:space="preserve"> er også brukt om den samme utviklingen. Persontilpasset medisin har et stort potensial for å forbedre forebygging, diagnostikk og behandling av pasienter. Økt treffsikkerhet vil gi større effekt og færre bivirkninger, og uvirksom b</w:t>
      </w:r>
      <w:r>
        <w:t>e</w:t>
      </w:r>
      <w:r>
        <w:t>handling kan unngås.</w:t>
      </w:r>
    </w:p>
    <w:p w:rsidR="00D24D21" w:rsidRDefault="00D24D21" w:rsidP="00CE47F2">
      <w:r>
        <w:t>Overgangen til persontilpasset medisin representerer et paradigmeskifte i utvikling og levering av helsetjenester, noe som utfordrer helse- og omsorgstjenestene og næringslivet. I persontilpasset medisin kobles pasientens syk</w:t>
      </w:r>
      <w:r>
        <w:t>e</w:t>
      </w:r>
      <w:r>
        <w:t>historie, kliniske funn, livsstilsfaktorer og miljøpåvirkning med data fra analyser av biologiske markører. Dette gir nye muligheter, men også nye utfordringer for dat</w:t>
      </w:r>
      <w:r>
        <w:t>a</w:t>
      </w:r>
      <w:r>
        <w:t>behandling, som igjen krever utvikling av nye digitale verktøy og plattformer og, ikke minst, nye arbeidsmetoder og prosesser.</w:t>
      </w:r>
    </w:p>
    <w:p w:rsidR="00D24D21" w:rsidRDefault="00D24D21" w:rsidP="00CE47F2">
      <w:r>
        <w:t>Den raske og teknologidrevne utviklingen av persontilpasset medisin utfordrer de tradisjonelle prosessene for utvikling, utprøving, godkjenning og markedsføring av nye legemidler. Personti</w:t>
      </w:r>
      <w:r>
        <w:t>l</w:t>
      </w:r>
      <w:r>
        <w:t>passet med</w:t>
      </w:r>
      <w:r>
        <w:t>i</w:t>
      </w:r>
      <w:r>
        <w:t>sin utfordrer i tillegg eksisterende kvalitetsnormer for klinisk forskning, som i stor grad er basert på randomiserte studier i store pas</w:t>
      </w:r>
      <w:r>
        <w:t>i</w:t>
      </w:r>
      <w:r>
        <w:t>entgrupper. Dette utfordrer også forretningsmodellene i industrien, hvor dekning av kostbare utviklingsløp for nye behandlinger er basert på store pasien</w:t>
      </w:r>
      <w:r>
        <w:t>t</w:t>
      </w:r>
      <w:r>
        <w:t>grupper.</w:t>
      </w:r>
    </w:p>
    <w:p w:rsidR="00D24D21" w:rsidRDefault="00D24D21" w:rsidP="00CE47F2">
      <w:r>
        <w:t>Feltet er i rask utvikling internasjonalt, og potensialet for innovasjon og næringsutvikling på området er stort. Det handler ikke bare om nye diagnostiske verktøy og nye løsninger for persontilpasset forebygging og behandling, men også om nye fleksible produksjonsmetoder og produksjonspr</w:t>
      </w:r>
      <w:r>
        <w:t>o</w:t>
      </w:r>
      <w:r>
        <w:t>sesser som kan tilpasses lavere produksjon</w:t>
      </w:r>
      <w:r>
        <w:t>s</w:t>
      </w:r>
      <w:r>
        <w:t>volum.</w:t>
      </w:r>
    </w:p>
    <w:p w:rsidR="00D24D21" w:rsidRDefault="00D24D21" w:rsidP="00CE47F2">
      <w:pPr>
        <w:pStyle w:val="ramme-noter"/>
        <w:rPr>
          <w:rStyle w:val="skrift-hevet"/>
        </w:rPr>
      </w:pPr>
      <w:r>
        <w:rPr>
          <w:rStyle w:val="skrift-hevet"/>
          <w:sz w:val="17"/>
          <w:szCs w:val="17"/>
        </w:rPr>
        <w:t>1</w:t>
      </w:r>
      <w:r>
        <w:tab/>
        <w:t xml:space="preserve">Helsedirektoratet (2016) </w:t>
      </w:r>
      <w:r>
        <w:rPr>
          <w:rStyle w:val="kursiv"/>
          <w:sz w:val="17"/>
          <w:szCs w:val="17"/>
        </w:rPr>
        <w:t>Nasjonal strategi for persontilpasset medisin i helsetjenesten 2017–2021.</w:t>
      </w:r>
    </w:p>
    <w:p w:rsidR="00D24D21" w:rsidRDefault="00D24D21">
      <w:pPr>
        <w:pStyle w:val="Ramme-slutt"/>
        <w:rPr>
          <w:sz w:val="26"/>
          <w:szCs w:val="26"/>
        </w:rPr>
      </w:pPr>
      <w:r>
        <w:rPr>
          <w:sz w:val="26"/>
          <w:szCs w:val="26"/>
        </w:rPr>
        <w:t>[Boks slutt]</w:t>
      </w:r>
    </w:p>
    <w:p w:rsidR="00D24D21" w:rsidRDefault="00D24D21" w:rsidP="00CE47F2">
      <w:pPr>
        <w:rPr>
          <w:rStyle w:val="kursiv"/>
          <w:sz w:val="21"/>
          <w:szCs w:val="21"/>
        </w:rPr>
      </w:pPr>
      <w:r>
        <w:rPr>
          <w:rStyle w:val="kursiv"/>
          <w:sz w:val="21"/>
          <w:szCs w:val="21"/>
        </w:rPr>
        <w:t xml:space="preserve">Nanoteknologi </w:t>
      </w:r>
      <w:r>
        <w:t>dreier seg om analyse, bearbeiding og utnyttelse av naturens byggesteiner (atomer, mol</w:t>
      </w:r>
      <w:r>
        <w:t>e</w:t>
      </w:r>
      <w:r>
        <w:t>kyler og makromolekyler) for design av avanserte materialer, komponenter eller systemer, med forbe</w:t>
      </w:r>
      <w:r>
        <w:t>d</w:t>
      </w:r>
      <w:r>
        <w:t>rede eller nye egenskaper og/eller anvendelsesområder.</w:t>
      </w:r>
      <w:r>
        <w:rPr>
          <w:vertAlign w:val="superscript"/>
        </w:rPr>
        <w:footnoteReference w:id="24"/>
      </w:r>
      <w:r>
        <w:t xml:space="preserve"> Det at materialer i nanoskala kan få </w:t>
      </w:r>
      <w:r>
        <w:lastRenderedPageBreak/>
        <w:t>forbedr</w:t>
      </w:r>
      <w:r>
        <w:t>e</w:t>
      </w:r>
      <w:r>
        <w:t>de eller helt nye egenskaper sammenliknet med tilsvarende materialer i større skala, er det sentrale kjennetegnet ved denne teknologien. Mye av teknologien som brukes i legemidler og d</w:t>
      </w:r>
      <w:r>
        <w:t>i</w:t>
      </w:r>
      <w:r>
        <w:t>agnostiske verktøy b</w:t>
      </w:r>
      <w:r>
        <w:t>e</w:t>
      </w:r>
      <w:r>
        <w:t>finner seg naturligvis i nanoskala og nanoteknologi, spesielt i kombinasjon med bioteknologi, og er derfor viktig for utviklingen av nye legemidler, diagnostikk og medisinsk teknologi.</w:t>
      </w:r>
    </w:p>
    <w:p w:rsidR="00D24D21" w:rsidRDefault="00D24D21" w:rsidP="00CE47F2">
      <w:pPr>
        <w:rPr>
          <w:rStyle w:val="kursiv"/>
          <w:sz w:val="21"/>
          <w:szCs w:val="21"/>
        </w:rPr>
      </w:pPr>
      <w:r>
        <w:rPr>
          <w:rStyle w:val="kursiv"/>
          <w:sz w:val="21"/>
          <w:szCs w:val="21"/>
        </w:rPr>
        <w:t>Medisinsk utstyr</w:t>
      </w:r>
      <w:r>
        <w:t xml:space="preserve"> brukes til å diagnostisere, forebygge, overvåke, behandle eller lindre sykdom, skade eller uførhet, eller til å undersøke, erstatte eller endre anatomien eller en fysiologisk prosess. Mye med</w:t>
      </w:r>
      <w:r>
        <w:t>i</w:t>
      </w:r>
      <w:r>
        <w:t>sinsk utstyr bygger på kombinasjoner av teknologier som sensorteknologi, røntgenteknologi, materialteknologi, elektronikk og de m</w:t>
      </w:r>
      <w:r>
        <w:t>u</w:t>
      </w:r>
      <w:r>
        <w:t>liggjørende teknologiene.</w:t>
      </w:r>
    </w:p>
    <w:p w:rsidR="00D24D21" w:rsidRDefault="00D24D21" w:rsidP="00CE47F2">
      <w:r>
        <w:t>Det er som nevnt over en avhengighet mellom teknologiene. De glir over i hverandre og bidrar sa</w:t>
      </w:r>
      <w:r>
        <w:t>m</w:t>
      </w:r>
      <w:r>
        <w:t>men til nye løsninger. Avanserte materialer og additiv produksjon gjør det mulig å skreddersy proteser med små innebygde sensorer. Avansert billeddiagnostikk og virtuell virkelighet gir kiru</w:t>
      </w:r>
      <w:r>
        <w:t>r</w:t>
      </w:r>
      <w:r>
        <w:t>gene bedre muligheter til å forberede opera</w:t>
      </w:r>
      <w:r>
        <w:t>s</w:t>
      </w:r>
      <w:r>
        <w:t>joner. Ulike typer av prosessinnovasjon kan være utløst av utvikling og i</w:t>
      </w:r>
      <w:r>
        <w:t>n</w:t>
      </w:r>
      <w:r>
        <w:t>troduksjon av andre typer teknologi. Dagkirurgi har blant annet blitt drevet av utvikling av teknologi for fjernstyring av instrumenter. Sensorteknologi har gjort kikkhullskirurgi mulig. Avansert oppgaveplanlegging har blitt mulig gjennom mer avanserte pasienta</w:t>
      </w:r>
      <w:r>
        <w:t>d</w:t>
      </w:r>
      <w:r>
        <w:t>ministrative- og personellsystemer, mens digitalis</w:t>
      </w:r>
      <w:r>
        <w:t>e</w:t>
      </w:r>
      <w:r>
        <w:t>ring har muliggjort nye måter å samhandle med pasienten på.</w:t>
      </w:r>
    </w:p>
    <w:p w:rsidR="00D24D21" w:rsidRDefault="00D24D21" w:rsidP="00CE47F2">
      <w:pPr>
        <w:pStyle w:val="Overskrift3"/>
      </w:pPr>
      <w:r>
        <w:t>Framtidige teknologiske trender</w:t>
      </w:r>
    </w:p>
    <w:p w:rsidR="00D24D21" w:rsidRDefault="00D24D21" w:rsidP="00CE47F2">
      <w:r>
        <w:t>Teknologiske endringer er i seg selv et viktig utviklingstrekk for norsk økonomi og norsk helsetj</w:t>
      </w:r>
      <w:r>
        <w:t>e</w:t>
      </w:r>
      <w:r>
        <w:t>neste. Det teknologiske omfanget er bredt og variert, og måten det inngår i samfunnet på er ko</w:t>
      </w:r>
      <w:r>
        <w:t>m</w:t>
      </w:r>
      <w:r>
        <w:t>plekst. Disse forho</w:t>
      </w:r>
      <w:r>
        <w:t>l</w:t>
      </w:r>
      <w:r>
        <w:t>dene skaper usikkerhet om den framtidige retningen og effekten av teknologiske endringer. Men det er også muligheter for næringsliv, myndigheter og innbyggere for å forme den teknologiske utviklingen og bruken av den.</w:t>
      </w:r>
    </w:p>
    <w:p w:rsidR="00D24D21" w:rsidRDefault="00D24D21" w:rsidP="00CE47F2">
      <w:r>
        <w:t>OECD har samlet resultatet fra en rekke studier som forsøker å peke på de viktigste teknologiske trendene framover.</w:t>
      </w:r>
      <w:r>
        <w:rPr>
          <w:vertAlign w:val="superscript"/>
        </w:rPr>
        <w:footnoteReference w:id="25"/>
      </w:r>
      <w:r>
        <w:t xml:space="preserve"> Historien viser at det er nær umulig å anslå teknologisk utvikling, men øve</w:t>
      </w:r>
      <w:r>
        <w:t>l</w:t>
      </w:r>
      <w:r>
        <w:t>sene kan likevel gi oss en pekepinn på hvor veien går videre. I sin gjennomgang peker OECD på de ti teknologiene som anses som de vi</w:t>
      </w:r>
      <w:r>
        <w:t>k</w:t>
      </w:r>
      <w:r>
        <w:t>tigste. Dette er tingenes internett, analyse av store datamengder, kunstig intell</w:t>
      </w:r>
      <w:r>
        <w:t>i</w:t>
      </w:r>
      <w:r>
        <w:t>gens, nevroteknologi, nano- eller mikrosatelitter, nanomaterialer, additiv produksjon, avansert energilagringsteknologier, syntetisk biologi og blokkjedeteknologi.</w:t>
      </w:r>
    </w:p>
    <w:p w:rsidR="00D24D21" w:rsidRDefault="00D24D21" w:rsidP="00CE47F2">
      <w:r>
        <w:t>Muliggjørende og industrielle teknologier har bred anvendelse innenfor mange sektorer og næringer, og kan bidra til å møte store samfunnsutfordringer og til økt konkurransekraft for norsk næringsliv. Regjeringens ambisjon er at Norge skal ligge i front med hensyn til forskning, utdanning og inn</w:t>
      </w:r>
      <w:r>
        <w:t>o</w:t>
      </w:r>
      <w:r>
        <w:t>vasjon innenfor muliggjørende og industrielle teknologier. Det gjelder særlig på områder der vi har sterke fagmiljøer, og der teknologiene kan bidra til næringsutvikling eller er viktige for å møte sentrale samfunnsu</w:t>
      </w:r>
      <w:r>
        <w:t>t</w:t>
      </w:r>
      <w:r>
        <w:t>fordringer.</w:t>
      </w:r>
      <w:r>
        <w:rPr>
          <w:vertAlign w:val="superscript"/>
        </w:rPr>
        <w:footnoteReference w:id="26"/>
      </w:r>
    </w:p>
    <w:p w:rsidR="00D24D21" w:rsidRDefault="00D24D21" w:rsidP="00CE47F2">
      <w:r>
        <w:lastRenderedPageBreak/>
        <w:t>Det er mange helseutfordringer som det foreløpig ikke foreligger svar på, men som ny teknologi kanskje kan bidra til. Dersom det for eksempel kommer effektive medisiner mot Alzheimers sy</w:t>
      </w:r>
      <w:r>
        <w:t>k</w:t>
      </w:r>
      <w:r>
        <w:t>dom, vil det få store positive effekter både for næringsliv, for pasienter og pårørende, og for sa</w:t>
      </w:r>
      <w:r>
        <w:t>m</w:t>
      </w:r>
      <w:r>
        <w:t>funnet som helhet. Effe</w:t>
      </w:r>
      <w:r>
        <w:t>k</w:t>
      </w:r>
      <w:r>
        <w:t>tive løsninger på krevende utfordringer bidrar for det første til en friskere befolkning, noe som er kostnadsbesparende for helse- og omsorg</w:t>
      </w:r>
      <w:r>
        <w:t>s</w:t>
      </w:r>
      <w:r>
        <w:t>tjenesten. Det vil også kunne bidra til at både pasienter og pårørende får lengre og bedre liv samt står lengre i arbeid. For noen av a</w:t>
      </w:r>
      <w:r>
        <w:t>k</w:t>
      </w:r>
      <w:r>
        <w:t>tørene i helsenæringen kan de krevende u</w:t>
      </w:r>
      <w:r>
        <w:t>t</w:t>
      </w:r>
      <w:r>
        <w:t>fordringene være en mulighet for økt verdiskaping og flere lønnsomme arbeidsplasser.</w:t>
      </w:r>
    </w:p>
    <w:p w:rsidR="00D24D21" w:rsidRDefault="00D24D21" w:rsidP="00CE47F2">
      <w:pPr>
        <w:pStyle w:val="Overskrift2"/>
      </w:pPr>
      <w:r>
        <w:t>Tjenesteinnovasjon</w:t>
      </w:r>
    </w:p>
    <w:p w:rsidR="00D24D21" w:rsidRDefault="00D24D21" w:rsidP="00CE47F2">
      <w:r>
        <w:t>Tjenesteinnovasjon handler om nye måter å organisere arbeidet på, eller produsere og levere tj</w:t>
      </w:r>
      <w:r>
        <w:t>e</w:t>
      </w:r>
      <w:r>
        <w:t>nester på. Det ligger et betydelig potensial i å styrke samhandling, skape helhetlige pasientforløp og mer effektiv drift av helse- og omsorgstjenestene. Arbeidet med tjenesteinnovasjon bør være fo</w:t>
      </w:r>
      <w:r>
        <w:t>r</w:t>
      </w:r>
      <w:r>
        <w:t>ankret i pasientens, pår</w:t>
      </w:r>
      <w:r>
        <w:t>ø</w:t>
      </w:r>
      <w:r>
        <w:t>rende eller personellets behov.</w:t>
      </w:r>
    </w:p>
    <w:p w:rsidR="00D24D21" w:rsidRDefault="00D24D21" w:rsidP="00CE47F2">
      <w:r>
        <w:t>Tjenesteinnovasjon er nært knyttet til organisatoriske utviklingsprosjekter der målet er bedre kvalitet på tjenestene eller å effektivisere og forbedre forebygging, behandlings- og arbeidsprosesser.</w:t>
      </w:r>
    </w:p>
    <w:p w:rsidR="00D24D21" w:rsidRDefault="00D24D21" w:rsidP="00CE47F2">
      <w:r>
        <w:t>Det er en rekke drivere og forutsetninger for tjeneste- og produktinnovasjon i helse- og omsorg</w:t>
      </w:r>
      <w:r>
        <w:t>s</w:t>
      </w:r>
      <w:r>
        <w:t>sektoren. For tjenesteinnovasjon er dette lederskap og lederforankring, medarbeiderskap og tidlig involvering av medarbeidere, god organisering av innovasjonsarbeidet, men også synliggjøring av hva tjenesteinnov</w:t>
      </w:r>
      <w:r>
        <w:t>a</w:t>
      </w:r>
      <w:r>
        <w:t>sjon i offentlig sektor er. Se boks 3.2 og 3.3 for eksempler.</w:t>
      </w:r>
    </w:p>
    <w:p w:rsidR="00D24D21" w:rsidRDefault="00D24D21" w:rsidP="00CE47F2">
      <w:pPr>
        <w:pStyle w:val="tittel-ramme"/>
      </w:pPr>
      <w:r>
        <w:t>Brystkreftprosjektet</w:t>
      </w:r>
    </w:p>
    <w:p w:rsidR="00D24D21" w:rsidRDefault="00D24D21" w:rsidP="00CE47F2">
      <w:r>
        <w:t>Med fragmentert kommunikasjon mellom fastlege og brystkreftavdelingene, var ventetid mellom mista</w:t>
      </w:r>
      <w:r>
        <w:t>n</w:t>
      </w:r>
      <w:r>
        <w:t>ke om kreft og diagnose opptil 12 uker ved Oslo universitetssykehus (OUS). OUS ønsket å redusere vent</w:t>
      </w:r>
      <w:r>
        <w:t>e</w:t>
      </w:r>
      <w:r>
        <w:t xml:space="preserve">tiden ved hjelp av tjenestedesign. </w:t>
      </w:r>
      <w:r>
        <w:rPr>
          <w:rStyle w:val="kursiv"/>
          <w:sz w:val="21"/>
          <w:szCs w:val="21"/>
        </w:rPr>
        <w:t>Brystkreftprosjektet</w:t>
      </w:r>
      <w:r>
        <w:t xml:space="preserve"> ved OUS fikk økonomisk støtte fra DIP (Desig</w:t>
      </w:r>
      <w:r>
        <w:t>n</w:t>
      </w:r>
      <w:r>
        <w:t>drevet innovasjonsprogram) til å involvere designere i idéfasen. Prosjektets mål var å skape et mer effektivt og helhetlig pasientforløp for brystkreftpasienter. Prosjektet ble ledet av D</w:t>
      </w:r>
      <w:r>
        <w:t>e</w:t>
      </w:r>
      <w:r>
        <w:t>signit og resulterte i en reduksjon på 90 pst. i ventetiden på diagnose etter brystkreftundersøkelse på OUS, fra tre måneder til syv dager. Resultatet krevde ingen ekstra kostnader i drift, og har blitt en internasjonal, anerkjent referanse for d</w:t>
      </w:r>
      <w:r>
        <w:t>e</w:t>
      </w:r>
      <w:r>
        <w:t>signdrevet innovasjon.</w:t>
      </w:r>
    </w:p>
    <w:p w:rsidR="00D24D21" w:rsidRDefault="00D24D21" w:rsidP="00CE47F2">
      <w:r>
        <w:t>DIP ledes av DOGA (Design og arkitektur Norge) i samarbeid med Norges forskningsråd og Inn</w:t>
      </w:r>
      <w:r>
        <w:t>o</w:t>
      </w:r>
      <w:r>
        <w:t>vasjon Norge, og det gis økonomisk støtte til å involvere designere i idéfasen av et innovasjonspr</w:t>
      </w:r>
      <w:r>
        <w:t>o</w:t>
      </w:r>
      <w:r>
        <w:t>sjekt. Formålet er at produktet eller tjenesten som utvikles skal være best mulig tilpasset brukerens faktiske behov.</w:t>
      </w:r>
    </w:p>
    <w:p w:rsidR="00D24D21" w:rsidRDefault="00D24D21">
      <w:pPr>
        <w:pStyle w:val="Ramme-slutt"/>
        <w:rPr>
          <w:sz w:val="26"/>
          <w:szCs w:val="26"/>
        </w:rPr>
      </w:pPr>
      <w:r>
        <w:rPr>
          <w:sz w:val="26"/>
          <w:szCs w:val="26"/>
        </w:rPr>
        <w:t>[Boks slutt]</w:t>
      </w:r>
    </w:p>
    <w:p w:rsidR="00D24D21" w:rsidRDefault="00D24D21" w:rsidP="00CE47F2">
      <w:pPr>
        <w:pStyle w:val="tittel-ramme"/>
      </w:pPr>
      <w:r>
        <w:t>SamKAD – Digital løsning for samhandling</w:t>
      </w:r>
    </w:p>
    <w:p w:rsidR="00D24D21" w:rsidRDefault="00D24D21" w:rsidP="00CE47F2">
      <w:r>
        <w:t>SINTEF var mellomledd mellom Oslo Kommune (Kommunal akutt døgnenhet – KAD) og lev</w:t>
      </w:r>
      <w:r>
        <w:t>e</w:t>
      </w:r>
      <w:r>
        <w:t xml:space="preserve">randørene IMATIS og CSAM Health ved implementering av nye digitale løsninger for samhandling. Prosjektet ble kalt SamKAD. Målsetting var å utvikle samhandlingsløsninger til bruk i drift på </w:t>
      </w:r>
      <w:r>
        <w:lastRenderedPageBreak/>
        <w:t>KAD-sengeposter og leg</w:t>
      </w:r>
      <w:r>
        <w:t>e</w:t>
      </w:r>
      <w:r>
        <w:t>vakt som ga økt kvalitet i pasientbehandlingen, forbedret brukeropplevelse og en bedre bruk av ressurser i driften.</w:t>
      </w:r>
      <w:r>
        <w:rPr>
          <w:rStyle w:val="skrift-hevet"/>
          <w:sz w:val="21"/>
          <w:szCs w:val="21"/>
        </w:rPr>
        <w:t>1</w:t>
      </w:r>
    </w:p>
    <w:p w:rsidR="00D24D21" w:rsidRDefault="00D24D21" w:rsidP="00CE47F2">
      <w:r>
        <w:t>Ansatte på KAD har sammen med forskere på SINTEF og i samarbeid med leverandørene, arbeidet med å utvikle nye arbeidsprosesser på KAD-sengepostene og legevakten. Gjennom bruk av ny, digital samhandlingsteknologi og ulike applikasjoner, er det utviklet løsninger som understøtter arbeidsprosesser og gir beslutningsstøtte til de a</w:t>
      </w:r>
      <w:r>
        <w:t>n</w:t>
      </w:r>
      <w:r>
        <w:t>satte.</w:t>
      </w:r>
    </w:p>
    <w:p w:rsidR="00D24D21" w:rsidRDefault="00D24D21" w:rsidP="00CE47F2">
      <w:r>
        <w:t>Prosjektet ga forbedring av pasientbehandling og pasientsikkerhet og en forbedring av arbeidsrutiner og arbeidsprosesser. Effekten og gevinstene er dokumentert. Helseetaten i Oslo Kommune gje</w:t>
      </w:r>
      <w:r>
        <w:t>n</w:t>
      </w:r>
      <w:r>
        <w:t>nomførte en dialogbasert anskaffelsesprosess basert på resultatene fra innovasjonsprosjektet. A</w:t>
      </w:r>
      <w:r>
        <w:t>n</w:t>
      </w:r>
      <w:r>
        <w:t>skaffelsen ble konkludert i juli 2017 og Imatis ble valgt som leverandør i konkurranse med norske og utenlandske leverandører. Erfaringer og kunnskap fra prosjektet lå til grunn for funksjonsbeskr</w:t>
      </w:r>
      <w:r>
        <w:t>i</w:t>
      </w:r>
      <w:r>
        <w:t>velsen og krav til løsning, samt evaluering av tilbudene.</w:t>
      </w:r>
    </w:p>
    <w:p w:rsidR="00D24D21" w:rsidRDefault="00D24D21" w:rsidP="00CE47F2">
      <w:r>
        <w:t>Dette er et eksempel på at tjenesteinnovasjon gjennom digitalisering kan bedre produktiviteten uten at kvaliteten blir dårligere. Kvalitetene kan også bli bedre, dersom teknologien blir implementert på en god måte.</w:t>
      </w:r>
    </w:p>
    <w:p w:rsidR="00D24D21" w:rsidRDefault="00D24D21" w:rsidP="00CE47F2">
      <w:pPr>
        <w:pStyle w:val="ramme-noter"/>
        <w:rPr>
          <w:rStyle w:val="skrift-hevet"/>
        </w:rPr>
      </w:pPr>
      <w:r>
        <w:rPr>
          <w:rStyle w:val="skrift-hevet"/>
          <w:sz w:val="17"/>
          <w:szCs w:val="17"/>
        </w:rPr>
        <w:t>1</w:t>
      </w:r>
      <w:r>
        <w:tab/>
        <w:t xml:space="preserve">SINTEF. (2017). </w:t>
      </w:r>
      <w:r>
        <w:rPr>
          <w:rStyle w:val="kursiv"/>
          <w:sz w:val="17"/>
          <w:szCs w:val="17"/>
        </w:rPr>
        <w:t>Utvikling og implementering av digital samhandling og oppgavestøtte på KAD.</w:t>
      </w:r>
    </w:p>
    <w:p w:rsidR="00D24D21" w:rsidRDefault="00D24D21">
      <w:pPr>
        <w:pStyle w:val="Ramme-slutt"/>
        <w:rPr>
          <w:sz w:val="26"/>
          <w:szCs w:val="26"/>
        </w:rPr>
      </w:pPr>
      <w:r>
        <w:rPr>
          <w:sz w:val="26"/>
          <w:szCs w:val="26"/>
        </w:rPr>
        <w:t>[Boks slutt]</w:t>
      </w:r>
    </w:p>
    <w:p w:rsidR="00D24D21" w:rsidRDefault="00D24D21" w:rsidP="00CE47F2">
      <w:pPr>
        <w:pStyle w:val="Overskrift1"/>
      </w:pPr>
      <w:r>
        <w:t>Muligheter og utfordringer for norsk helsenæring</w:t>
      </w:r>
    </w:p>
    <w:p w:rsidR="00D24D21" w:rsidRDefault="00D24D21" w:rsidP="00CE47F2">
      <w:r>
        <w:t>Utgangspunktet for norsk helsenæring er godt, men det er barrierer som kan gjøre det krevende å vokse, for enkeltvirksomheter og for næringen som helhet. For å bedre helsenæringens konkurra</w:t>
      </w:r>
      <w:r>
        <w:t>n</w:t>
      </w:r>
      <w:r>
        <w:t>sekraft er det nødvendig å identifisere fortrinnene og utfordringene næringen har.</w:t>
      </w:r>
    </w:p>
    <w:p w:rsidR="00D24D21" w:rsidRDefault="00D24D21" w:rsidP="00CE47F2">
      <w:r>
        <w:t>Norsk helsenæring består av mange ulike bransjer og bedrifter, som alle møter forskjellige utfor</w:t>
      </w:r>
      <w:r>
        <w:t>d</w:t>
      </w:r>
      <w:r>
        <w:t>ringer og m</w:t>
      </w:r>
      <w:r>
        <w:t>u</w:t>
      </w:r>
      <w:r>
        <w:t>ligheter. Mange av rammebetingelsene, globale og teknologiske trender og utfordringer som helsenæringen står overfor, gjelder for norsk næringsliv generelt. Samtidig har helsenæringen noen særegne trekk, blant annet som følge av forholdet til den offentlige helse- og omsorgstjenesten, utdanningssektoren og forskningsmiljøene. Hovedmålet med dette kapittelet er å beskrive de vi</w:t>
      </w:r>
      <w:r>
        <w:t>k</w:t>
      </w:r>
      <w:r>
        <w:t>tigste barri</w:t>
      </w:r>
      <w:r>
        <w:t>e</w:t>
      </w:r>
      <w:r>
        <w:t>rene som helsenæringen står overfor, med fokus på de utfordringene som er særskilt for helsenæringen. Omtalen her baserer seg i hovedsak på innspillene som er mottatt.</w:t>
      </w:r>
    </w:p>
    <w:p w:rsidR="00D24D21" w:rsidRDefault="00D24D21" w:rsidP="00CE47F2">
      <w:pPr>
        <w:pStyle w:val="Overskrift2"/>
      </w:pPr>
      <w:r>
        <w:t>Forutsetningene er gode</w:t>
      </w:r>
    </w:p>
    <w:p w:rsidR="00D24D21" w:rsidRDefault="00D24D21" w:rsidP="00CE47F2">
      <w:r>
        <w:t>Fortrinnene som ligger til grunn for en konkurransedyktig og innovativ helsenæring er et resultat av investeringer Norge har gjort over mange år: i utdanning, forskning og utvikling, i et åpent og ti</w:t>
      </w:r>
      <w:r>
        <w:t>l</w:t>
      </w:r>
      <w:r>
        <w:t>litsfullt samfunn, og i en kunnskapsbasert helse- og omsorgstjeneste med høy dekningsgrad og høy kvalitet.</w:t>
      </w:r>
    </w:p>
    <w:p w:rsidR="00D24D21" w:rsidRDefault="00D24D21" w:rsidP="00CE47F2">
      <w:r>
        <w:t>Norsk næringsliv har samlet sett gode vilkår, med et effektivt skattesystem, god infrastruktur og pol</w:t>
      </w:r>
      <w:r>
        <w:t>i</w:t>
      </w:r>
      <w:r>
        <w:t>tisk stabilitet. Vår høyt utdannede arbeidskraft har i internasjonal sammenheng lave lønninger. Norge vurderes dessuten som et land hvor det er relativt enkelt å drive næringsvirksomhet.</w:t>
      </w:r>
      <w:r>
        <w:rPr>
          <w:vertAlign w:val="superscript"/>
        </w:rPr>
        <w:footnoteReference w:id="27"/>
      </w:r>
    </w:p>
    <w:p w:rsidR="00D24D21" w:rsidRDefault="00D24D21" w:rsidP="00CE47F2">
      <w:r>
        <w:lastRenderedPageBreak/>
        <w:t>For helsenæringen er det en fordel at Norge har en helhetlig og god helse- og omsorgstjeneste og gode nasjonale helseregistre. Norske innbyggere har stort sett tillit til helse- og omsorgstjenesten, og er for eksempel villige til å delta i kliniske studier. Helsenæringen drar også nytte av gode fors</w:t>
      </w:r>
      <w:r>
        <w:t>k</w:t>
      </w:r>
      <w:r>
        <w:t>nings- og te</w:t>
      </w:r>
      <w:r>
        <w:t>k</w:t>
      </w:r>
      <w:r>
        <w:t>nologimiljøer innenfor flere områder som kreft, nevrovitenskap, bildediagnostikk og ultralyd. Det offen</w:t>
      </w:r>
      <w:r>
        <w:t>t</w:t>
      </w:r>
      <w:r>
        <w:t>lige investerer betydelige beløp i forskning innenfor medisin og helsefag.</w:t>
      </w:r>
    </w:p>
    <w:p w:rsidR="00D24D21" w:rsidRDefault="00D24D21" w:rsidP="00CE47F2">
      <w:r>
        <w:t>Som omtalt i kapittel 3, gir den teknologiske utviklingen muligheter for helsenæringen. Ny teknologi er med på å endre eller skape nye produkter, produksjonsmetoder og forretningsmodeller. Norge har teknologi- og industrimiljøer som kan bidra i utviklingen av andre næringer. Høyteknologisk pr</w:t>
      </w:r>
      <w:r>
        <w:t>o</w:t>
      </w:r>
      <w:r>
        <w:t>duksjon krever stor bredde av komp</w:t>
      </w:r>
      <w:r>
        <w:t>e</w:t>
      </w:r>
      <w:r>
        <w:t>tanse og teknologi og kan være av betydning for næringslivets innovasjon</w:t>
      </w:r>
      <w:r>
        <w:t>s</w:t>
      </w:r>
      <w:r>
        <w:t>evne, evne til å ta i bruk ny teknologi og utvikling av kompetanse.</w:t>
      </w:r>
    </w:p>
    <w:p w:rsidR="00D24D21" w:rsidRDefault="00D24D21" w:rsidP="00CE47F2">
      <w:r>
        <w:t>Norge er blant Europas mest digitaliserte land. Nordmenn ligger i verdenstoppen i bruk av internett og ny tekn</w:t>
      </w:r>
      <w:r>
        <w:t>o</w:t>
      </w:r>
      <w:r>
        <w:t>logi, og forutsetningene er gode for at ny teknologi tas i bruk. Dette er en fordel for helse- og omsorgstjenesten, som kan ta i bruk ny teknologi for å møte og behandle pasientene på nye, bedre og mer effektive måter. Samtidig er det en fordel for bedrifter som utvikler og selger nye, avanserte teknol</w:t>
      </w:r>
      <w:r>
        <w:t>o</w:t>
      </w:r>
      <w:r>
        <w:t>giske løsninger, for eksempel innenfor e-helse.</w:t>
      </w:r>
    </w:p>
    <w:p w:rsidR="00D24D21" w:rsidRDefault="00D24D21" w:rsidP="00CE47F2">
      <w:r>
        <w:t>Data er i økende grad en sentral ressurs og innsatsfaktor for næringsliv og samfunn. Raskere ove</w:t>
      </w:r>
      <w:r>
        <w:t>r</w:t>
      </w:r>
      <w:r>
        <w:t>føringshastighet, økt prosessorkraft og lagringskapasitet har åpnet opp for utvikling innenfor b</w:t>
      </w:r>
      <w:r>
        <w:t>e</w:t>
      </w:r>
      <w:r>
        <w:t>handling av stordata og kunstig intelligens, slik at data kan forstås og utnyttes på nye måter. Denne utviklingen r</w:t>
      </w:r>
      <w:r>
        <w:t>e</w:t>
      </w:r>
      <w:r>
        <w:t>presenterer muligheter for norsk næringsliv.</w:t>
      </w:r>
    </w:p>
    <w:p w:rsidR="00D24D21" w:rsidRDefault="00D24D21" w:rsidP="00CE47F2">
      <w:r>
        <w:t>Alle land trenger nye og bedre løsninger innenfor helse og omsorg. Det største vekstpotensialet for helsenæringen ligger utenfor Norge, da det norske markedet er relativt lite. Økende helseutgifter tilsier at helse- og omsorgstj</w:t>
      </w:r>
      <w:r>
        <w:t>e</w:t>
      </w:r>
      <w:r>
        <w:t>nesten både i Norge og internasjonalt må bli mer effektiv for å levere på sine mål. Samfunnet trenger at det utvikles nye og bedre forebygging- og behandlingsmetoder, blant annet inne</w:t>
      </w:r>
      <w:r>
        <w:t>n</w:t>
      </w:r>
      <w:r>
        <w:t>for velferdsteknologi, medisinsk utstyr, IKT og legemidler. De bedriftene som lykkes med å levere dette vil kunne få store gevinster. Helseutfordringene globalt representerer derfor store eksportmuligheter for bedriftene i den norske helsenæringen i årene framover.</w:t>
      </w:r>
    </w:p>
    <w:p w:rsidR="00D24D21" w:rsidRDefault="00D24D21" w:rsidP="00CE47F2">
      <w:pPr>
        <w:pStyle w:val="Overskrift2"/>
      </w:pPr>
      <w:r>
        <w:t>Potensialet for næringsutvikling kan utnyttes bedre</w:t>
      </w:r>
    </w:p>
    <w:p w:rsidR="00D24D21" w:rsidRDefault="00D24D21" w:rsidP="00CE47F2">
      <w:r>
        <w:t>En utfordring for mange helsenæringsbedrifter er at de ikke ser en tydelig vei fram til markedet i Norge. De møter på hindre som gjør det vanskelig å lykkes som bedrift og næring i Norge. Erfaringer og innspill fra næringen viser at et velfungerende hjemmemarked er viktig for at norske bedrifter skal lykkes i gl</w:t>
      </w:r>
      <w:r>
        <w:t>o</w:t>
      </w:r>
      <w:r>
        <w:t>bale markeder.</w:t>
      </w:r>
    </w:p>
    <w:p w:rsidR="00D24D21" w:rsidRDefault="00D24D21" w:rsidP="00CE47F2">
      <w:r>
        <w:t>Næringens størrelse og modenhet er trolig en av årsakene til at det i Norge ikke er samme utviklede kontaktflater og relasjoner mellom små og store aktører og kunnskapsmiljøer som i andre land eller i større næringer. For eksempel har samspillet mellom oljeselskapene, leverandørindustrien og u</w:t>
      </w:r>
      <w:r>
        <w:t>t</w:t>
      </w:r>
      <w:r>
        <w:t>dannings- og forskningsinstitusjoner bidratt til en høyteknologisk og konkurransedyktig norsk i</w:t>
      </w:r>
      <w:r>
        <w:t>n</w:t>
      </w:r>
      <w:r>
        <w:t>dustri. Dette har gitt grunnlag for kompetansedeling og overføring av kunnskap til andre deler av næringslivet som har resultert i utvikling av ny lønnsom produksjon, nye varer og tjenester.</w:t>
      </w:r>
    </w:p>
    <w:p w:rsidR="00D24D21" w:rsidRDefault="00D24D21" w:rsidP="00CE47F2">
      <w:pPr>
        <w:pStyle w:val="avsnitt-undertittel"/>
      </w:pPr>
      <w:r>
        <w:lastRenderedPageBreak/>
        <w:t>Rolleforståelse og kultur for samarbeid</w:t>
      </w:r>
    </w:p>
    <w:p w:rsidR="00D24D21" w:rsidRDefault="00D24D21" w:rsidP="00CE47F2">
      <w:r>
        <w:t>Helsenæringen møter myndighetene som regulator, forskningsfinansiør, eier av universiteter og sykehus, forvalter av helseregistre og biobanker, og ofte som eneste kunde. Næringen opplever at de offentlige aktørene i sine ulike roller kan trekke i ulik retning. Dette kan gjøre det vanskelig å re</w:t>
      </w:r>
      <w:r>
        <w:t>a</w:t>
      </w:r>
      <w:r>
        <w:t>lisere potensialet som ligger i næringen og i de store offentlige investeringene i forskning, helsedata og helse- og omsorg</w:t>
      </w:r>
      <w:r>
        <w:t>s</w:t>
      </w:r>
      <w:r>
        <w:t>tjenester.</w:t>
      </w:r>
    </w:p>
    <w:p w:rsidR="00D24D21" w:rsidRDefault="00D24D21" w:rsidP="00CE47F2">
      <w:r>
        <w:t>For helsenæringen er hjemmemarkedet sentralt, men for mange bedrifter er det tungt å komme inn på det norske markedet. Det er flere eksempler på bedrifter som melder om at det kan være lettere å se</w:t>
      </w:r>
      <w:r>
        <w:t>l</w:t>
      </w:r>
      <w:r>
        <w:t>ge til helsetjenesten i andre land enn i Norge. Enkelte opplever en motvilje fra det offentlige mot å være ref</w:t>
      </w:r>
      <w:r>
        <w:t>e</w:t>
      </w:r>
      <w:r>
        <w:t>ransekunde. Det er ikke grunn til å tro at årsaken bare er at produktene ikke møter helse- og omsorg</w:t>
      </w:r>
      <w:r>
        <w:t>s</w:t>
      </w:r>
      <w:r>
        <w:t>tjenestens behov, selv om dette også kan være tilfelle.</w:t>
      </w:r>
    </w:p>
    <w:p w:rsidR="00D24D21" w:rsidRDefault="00D24D21" w:rsidP="00CE47F2">
      <w:r>
        <w:t>I helse- og omsorgstjenesten kan det handle om manglende vilje, kompetanse, tid eller ressurser til utvikling og implementering, og manglende dokumentasjon om kostnad og nytte sammenlignet med e</w:t>
      </w:r>
      <w:r>
        <w:t>k</w:t>
      </w:r>
      <w:r>
        <w:t>sisterende løsninger. Det kan også handle om at behovet for nye løsninger ikke er veldefinert. Mange i helse- og omsorgstjenesten samarbeider allerede godt med næringslivet, og det finnes mange eksempler der godt samarbeid har ført til bedre tjenester og mer effektiv ressursbruk.</w:t>
      </w:r>
    </w:p>
    <w:p w:rsidR="00D24D21" w:rsidRDefault="00D24D21" w:rsidP="00CE47F2">
      <w:r>
        <w:t>I land som Danmark og Sverige, hvor helsenæringen er større, finnes det en mer utviklet kultur for samarbeid mellom næringsliv, universitets- og høyskolesektoren og helse- og omsorgssektoren. I Norge er det større variasjon i den offentlige helse- og omsorgssektorens erfaringer med å sama</w:t>
      </w:r>
      <w:r>
        <w:t>r</w:t>
      </w:r>
      <w:r>
        <w:t>beide med n</w:t>
      </w:r>
      <w:r>
        <w:t>æ</w:t>
      </w:r>
      <w:r>
        <w:t>ringslivet.</w:t>
      </w:r>
    </w:p>
    <w:p w:rsidR="00D24D21" w:rsidRDefault="00D24D21" w:rsidP="00CE47F2">
      <w:r>
        <w:t>For helse- og omsorgstjenesten kan et samarbeid med næringslivet bidra til at oppgavene blir løst bedre. Blant årsakene til det til dels mangelfulle samarbeidet er få insentiver, uklare signaler og lite motivasjon for forskere og helsepersonell til å samarbeide med helsenæringen. Det kan også skyldes erfaringer med at et samarbeid har vært ressurskrevende, at produkter har blitt introdusert uten skikkelig utprøving eller at det ikke blir tatt utgangspunkt i tjenestens behov eller prioriteringer.</w:t>
      </w:r>
    </w:p>
    <w:p w:rsidR="00D24D21" w:rsidRDefault="00D24D21" w:rsidP="00CE47F2">
      <w:r>
        <w:t>Mangelen på erfaring med næringslivssamarbeid betyr at det flere steder i helse- og omsorgssektoren mangler rutiner, kompetanse og retningslinjer for slikt samarbeid. Dette kan resultere i en utrygghet og frykt for å gjøre feil, noe som gjør at det enkleste og tryggeste kan være å avstå fra et samarbeid.</w:t>
      </w:r>
    </w:p>
    <w:p w:rsidR="00D24D21" w:rsidRDefault="00D24D21" w:rsidP="00CE47F2">
      <w:r>
        <w:t>Rammene for samarbeid påvirkes av hva slags føringer som gis av ledelsen. For ledelsen i de ulike delene av helse- og omsorgstjenesten er det en sentral avveining mellom å bruke ressurser på pas</w:t>
      </w:r>
      <w:r>
        <w:t>i</w:t>
      </w:r>
      <w:r>
        <w:t>entbehandling i dag eller å investere i utvikling av nye løsninger og kompetansebygging for fram</w:t>
      </w:r>
      <w:r>
        <w:t>t</w:t>
      </w:r>
      <w:r>
        <w:t>iden. Denne avve</w:t>
      </w:r>
      <w:r>
        <w:t>i</w:t>
      </w:r>
      <w:r>
        <w:t>ningen mellom virksomhet på kort og lang sikt, gjelder for eksempel om det skal innføres nye digitale lø</w:t>
      </w:r>
      <w:r>
        <w:t>s</w:t>
      </w:r>
      <w:r>
        <w:t>ninger i kommunene og hvilke kliniske studier som bør prioriteres. Disse avveiningene og forståelsen av disse rammene vil være avgjørende for hvordan helse- og omsorg</w:t>
      </w:r>
      <w:r>
        <w:t>s</w:t>
      </w:r>
      <w:r>
        <w:t>tjenesten og næringslivet samarbeider, og vil påvirke de ansattes insentiver og handlingsrom.</w:t>
      </w:r>
    </w:p>
    <w:p w:rsidR="00D24D21" w:rsidRDefault="00D24D21" w:rsidP="00CE47F2">
      <w:r>
        <w:t>Næringslivet ønsker en avklaring av hvor langt det offentliges ansvar går i å utvikle og sørge for nye løsninger. Flere av innspillene til meldingsarbeidet tar opp at det offentlige i en del tilfeller går for langt, særlig på e-helseområdet, og at dette gjør at det offentlige i praksis konkurrerer med privat næringsliv, ofte på ulike vilkår.</w:t>
      </w:r>
    </w:p>
    <w:p w:rsidR="00D24D21" w:rsidRDefault="00D24D21" w:rsidP="00CE47F2">
      <w:r>
        <w:t xml:space="preserve">Utøvelsen av offentlige anskaffelser er av stor betydning for helsenæringen. For mange bedrifter kan kompetansen om anskaffelser være avgjørende for om de lykkes med lønnsom næringsvirksomhet. </w:t>
      </w:r>
      <w:r>
        <w:lastRenderedPageBreak/>
        <w:t>Det kan videre være u</w:t>
      </w:r>
      <w:r>
        <w:t>t</w:t>
      </w:r>
      <w:r>
        <w:t>fordrende at enkelte kommuner ikke tar i bruk løsninger som er testet ut andre steder, men heller etterspør noe nytt og til dels særegent. Dette hindrer vekst for bedrifter som må drive skre</w:t>
      </w:r>
      <w:r>
        <w:t>d</w:t>
      </w:r>
      <w:r>
        <w:t>dersøm i stedet for å lage løsninger som kan selges til et større marked. I tillegg blir kostnadene for det offentlige gjerne høyere ved nyutvikling og skreddersøm, framfor gjenbruk av eksisterende løsninger.</w:t>
      </w:r>
    </w:p>
    <w:p w:rsidR="00D24D21" w:rsidRDefault="00D24D21" w:rsidP="00CE47F2">
      <w:r>
        <w:t>Utvikling av innovative løsninger innebærer ofte høye utviklingskostnader. Gjenbruk av nyutviklede løsninger kan redusere kostnadene og gjøre innovasjon mer lønnsomt. I mange tilfeller kan kos</w:t>
      </w:r>
      <w:r>
        <w:t>t</w:t>
      </w:r>
      <w:r>
        <w:t>nadene kun forsvares dersom løsningen skaleres til et gitt volum. Da er det et problem når innovative løsninger som er utviklet på vegne av én oppdragsgiver, ikke tas i bruk av andre med tilsvarende behov.</w:t>
      </w:r>
    </w:p>
    <w:p w:rsidR="00D24D21" w:rsidRDefault="00D24D21" w:rsidP="00CE47F2">
      <w:r>
        <w:t>Anskaffelsesregelverket legger til rette for å fremme innovasjon og praksisen med innovative a</w:t>
      </w:r>
      <w:r>
        <w:t>n</w:t>
      </w:r>
      <w:r>
        <w:t>skaffelser øker. Det er imidlertid mye som tyder på at handlingsrommet kan brukes mer. Mange innkjøpere gjenbruker tidligere konkurransegrunnlag og det åpnes i manglende grad for nye lø</w:t>
      </w:r>
      <w:r>
        <w:t>s</w:t>
      </w:r>
      <w:r>
        <w:t>ninger.</w:t>
      </w:r>
    </w:p>
    <w:p w:rsidR="00D24D21" w:rsidRDefault="00D24D21" w:rsidP="00CE47F2">
      <w:r>
        <w:t>For helsenæringen kan det være et hinder at den aktøren i helse- og omsorgstjenesten som får g</w:t>
      </w:r>
      <w:r>
        <w:t>e</w:t>
      </w:r>
      <w:r>
        <w:t>vinsten av en innovasjon, ikke alltid er den som kan komme til å bære de reelle kostnadene ved den. Dette gjør at produkter eller tjenester som kunne ha gitt gevinster for tjenesten og brukerne, ikke anskaffes.</w:t>
      </w:r>
    </w:p>
    <w:p w:rsidR="00D24D21" w:rsidRDefault="00D24D21" w:rsidP="00CE47F2">
      <w:r>
        <w:t>Deler av helsenæringen er ung og bedriftene gjerne små. Mye tyder på at kunnskapen og forståelsen i næringslivet for helse- og omsorgstjenestenes behov, økonomiske rammer, styringssystemer og regul</w:t>
      </w:r>
      <w:r>
        <w:t>a</w:t>
      </w:r>
      <w:r>
        <w:t>toriske krav ikke alltid er god nok. Næringsutvikling i helsenæringen krever profesjonalitet i alle ledd.</w:t>
      </w:r>
    </w:p>
    <w:p w:rsidR="00D24D21" w:rsidRDefault="00D24D21" w:rsidP="00CE47F2">
      <w:r>
        <w:t>I OECDs gjennomgang av norsk forsknings- og innovasjonspolitikk</w:t>
      </w:r>
      <w:r>
        <w:rPr>
          <w:vertAlign w:val="superscript"/>
        </w:rPr>
        <w:footnoteReference w:id="28"/>
      </w:r>
      <w:r>
        <w:t xml:space="preserve"> pekes det på behovet for bedre koordinering av politikken og sterkere samarbeid på tvers av departementer om nøkkelpri</w:t>
      </w:r>
      <w:r>
        <w:t>o</w:t>
      </w:r>
      <w:r>
        <w:t>riteringer og mulighetsdrevet inn</w:t>
      </w:r>
      <w:r>
        <w:t>o</w:t>
      </w:r>
      <w:r>
        <w:t>vasjonspolitikk.</w:t>
      </w:r>
    </w:p>
    <w:p w:rsidR="00D24D21" w:rsidRDefault="00D24D21" w:rsidP="00CE47F2">
      <w:pPr>
        <w:pStyle w:val="avsnitt-undertittel"/>
      </w:pPr>
      <w:r>
        <w:t>Infrastruktur og kliniske studier</w:t>
      </w:r>
    </w:p>
    <w:p w:rsidR="00D24D21" w:rsidRDefault="00D24D21" w:rsidP="00CE47F2">
      <w:r>
        <w:t>Næringslivet trenger tilgang til testfasiliteter for utprøving og testing av ny teknologi, nye produkter og nye løsninger. Med den raske teknologiutviklingen og tettere kobling mellom innovasjon og produksjon i industrien, har dette behovet økt.</w:t>
      </w:r>
    </w:p>
    <w:p w:rsidR="00D24D21" w:rsidRDefault="00D24D21" w:rsidP="00CE47F2">
      <w:r>
        <w:t>Innenfor helsenæringen er behovet for testing og verifisering større enn i en del andre næringer. Myndighetene, både i Norge og andre land, stiller strenge krav til produkter og tjenester innenfor helse. Testing og verifisering er nødvendig for å vise hvilken effekt nye produkter og tjenester kan ha for pas</w:t>
      </w:r>
      <w:r>
        <w:t>i</w:t>
      </w:r>
      <w:r>
        <w:t>enter, pårørende, kommuner og sykehus. Lettere tilgang til testfasiliteter kan bidra til raskere produktu</w:t>
      </w:r>
      <w:r>
        <w:t>t</w:t>
      </w:r>
      <w:r>
        <w:t>vikling og verifisering.</w:t>
      </w:r>
    </w:p>
    <w:p w:rsidR="00D24D21" w:rsidRDefault="00D24D21" w:rsidP="00CE47F2">
      <w:r>
        <w:t>Kliniske studier benyttes i helse- og omsorgstjenesten for å dokumentere effekt av og sikkerhet ved nye legemidler, medisinsk utstyr, digitale helseløsninger og nye behandlingsprosedyrer som ledd i pas</w:t>
      </w:r>
      <w:r>
        <w:t>i</w:t>
      </w:r>
      <w:r>
        <w:t xml:space="preserve">entbehandling. Særlig for legemidler er kravene til prekliniske og kliniske studier strenge. I </w:t>
      </w:r>
      <w:r>
        <w:lastRenderedPageBreak/>
        <w:t>Norge og i mange andre land i Europa har antallet industrifinansierte kliniske studier av legemidler gått ned de siste ti årene. Bakgrunnen er sammensatt, men det pekes blant annet på kapasitetsb</w:t>
      </w:r>
      <w:r>
        <w:t>e</w:t>
      </w:r>
      <w:r>
        <w:t>grensninger hos helsepersonell, utilstrekkelig infrastruktur og at det ikke er tilstrekkelig med inse</w:t>
      </w:r>
      <w:r>
        <w:t>n</w:t>
      </w:r>
      <w:r>
        <w:t>tiver for helsepersonell til å drive med kliniske studier. I noen tilfeller er det en reell prioritering</w:t>
      </w:r>
      <w:r>
        <w:t>s</w:t>
      </w:r>
      <w:r>
        <w:t>konflikt mellom industrifinansierte studier og studier initiert av tjenesten selv.</w:t>
      </w:r>
    </w:p>
    <w:p w:rsidR="00D24D21" w:rsidRDefault="00D24D21" w:rsidP="00CE47F2">
      <w:r>
        <w:t>Samtidig har man de senere årene blitt mer bevisst på de positive effektene kliniske studier kan ha for både helsepersonell og helsenæringen, i form av ny kunnskap og videreutvikling av kompetans</w:t>
      </w:r>
      <w:r>
        <w:t>e</w:t>
      </w:r>
      <w:r>
        <w:t>miljøer.</w:t>
      </w:r>
    </w:p>
    <w:p w:rsidR="00D24D21" w:rsidRDefault="00D24D21" w:rsidP="00CE47F2">
      <w:r>
        <w:t>Kravene til klinisk evaluering av medisinsk utstyr og testing av digitale løsninger skiller seg fra rege</w:t>
      </w:r>
      <w:r>
        <w:t>l</w:t>
      </w:r>
      <w:r>
        <w:t>verket for legemidler. Det stilles nå i økende grad forventninger om dokumentert effekt også for medisinsk utstyr. Denne delen av næringen har imidlertid ikke samme ressurser som legemidde</w:t>
      </w:r>
      <w:r>
        <w:t>l</w:t>
      </w:r>
      <w:r>
        <w:t>industrien til å finansiere studier eller gjennomføre testing, og er gjerne avhengig av tilgang til testfasiliteter og annen infrastruktur.</w:t>
      </w:r>
    </w:p>
    <w:p w:rsidR="00D24D21" w:rsidRDefault="00D24D21" w:rsidP="00CE47F2">
      <w:r>
        <w:t>Regjeringen har tilrettelagt for etablering av felles testfasiliteter i samarbeid med sterke næring</w:t>
      </w:r>
      <w:r>
        <w:t>s</w:t>
      </w:r>
      <w:r>
        <w:t>miljøer og fors</w:t>
      </w:r>
      <w:r>
        <w:t>k</w:t>
      </w:r>
      <w:r>
        <w:t xml:space="preserve">ningsmiljøer, gjennom ordningen </w:t>
      </w:r>
      <w:r>
        <w:rPr>
          <w:rStyle w:val="kursiv"/>
          <w:sz w:val="21"/>
          <w:szCs w:val="21"/>
        </w:rPr>
        <w:t>Norsk katapult</w:t>
      </w:r>
      <w:r>
        <w:t>. Ordningen er rettet mot behovet for testing og utprøving hos små og mellomstore bedrifter, på tvers av bransjer og næringer.</w:t>
      </w:r>
    </w:p>
    <w:p w:rsidR="00D24D21" w:rsidRDefault="00D24D21" w:rsidP="00CE47F2">
      <w:r>
        <w:t>Det er foreløpig gitt støtte til etablering av fem katapultsentre innenfor områder av potensielt stor verdi for fra</w:t>
      </w:r>
      <w:r>
        <w:t>m</w:t>
      </w:r>
      <w:r>
        <w:t>tidens industri i Norge. Bedrifter i helsenæringen kan ha nytte av utstyr og kompetanse i de etablerte katapultsentrene i prosessen med utvikling og utprøving av medisinsk utstyr og digitale løsninger. Dette kan bidra til at bedriftene raskere og rimeligere kan teste ulike produkter og lø</w:t>
      </w:r>
      <w:r>
        <w:t>s</w:t>
      </w:r>
      <w:r>
        <w:t>ninger og dokumentere effekt opp mot de kravene som stilles i helse- og omsorgstjenesten.</w:t>
      </w:r>
    </w:p>
    <w:p w:rsidR="00D24D21" w:rsidRDefault="00D24D21" w:rsidP="00CE47F2">
      <w:pPr>
        <w:pStyle w:val="avsnitt-undertittel"/>
      </w:pPr>
      <w:r>
        <w:t>Helse- og registerdata</w:t>
      </w:r>
    </w:p>
    <w:p w:rsidR="00D24D21" w:rsidRDefault="00D24D21" w:rsidP="00CE47F2">
      <w:r>
        <w:t>Norge har noen av verdens mest omfattende og historisk komplette helseregistre, medisinske kv</w:t>
      </w:r>
      <w:r>
        <w:t>a</w:t>
      </w:r>
      <w:r>
        <w:t>litetsregistre, biobanker, screeningprogrammer og befolkningsbaserte helseundersøkelser. I flere av de mest omfattende helseregistrene i Norge er god datakvalitet og høy dekningsgrad et resultat av mange år med innsamling, kvalitetsforbedring og analyse.</w:t>
      </w:r>
    </w:p>
    <w:p w:rsidR="00D24D21" w:rsidRDefault="00D24D21" w:rsidP="00CE47F2">
      <w:r>
        <w:t>Tilgang til og viderebruk av data innsamlet av det offentlige, for eksempel helsedata, kan bidra til næringsutvikling og utvikling av nye, bedre og mer effektive løsninger. Både for ansatte i helse</w:t>
      </w:r>
      <w:r>
        <w:t>n</w:t>
      </w:r>
      <w:r>
        <w:t>æringen, helsetjenesten og for universitets- og høyskolesektoren er det imidlertid tidkrevende å få tilgang til he</w:t>
      </w:r>
      <w:r>
        <w:t>l</w:t>
      </w:r>
      <w:r>
        <w:t>sedata og andre sosioøkonomiske data. Det er mange årsaker til dette, og tilgangen til helsedata har fått økt oppmerksomhet de siste årene. Enklere tilgang til helsedata kan blant annet bidra til kvalitetsforbe</w:t>
      </w:r>
      <w:r>
        <w:t>d</w:t>
      </w:r>
      <w:r>
        <w:t>ring i helse- og omsorgstjenesten og til utvikling av nye og mer effektive behandlingsformer og legemidler, som kan kommersialiseres og øke norsk verdiskaping. Gje</w:t>
      </w:r>
      <w:r>
        <w:t>n</w:t>
      </w:r>
      <w:r>
        <w:t>nom nye og tilgjengelige data vil utvi</w:t>
      </w:r>
      <w:r>
        <w:t>k</w:t>
      </w:r>
      <w:r>
        <w:t>lingen innenfor teknologi og medisin kunne skape et godt grunnlag for forskning og næringsutvikling.</w:t>
      </w:r>
    </w:p>
    <w:p w:rsidR="00D24D21" w:rsidRDefault="00D24D21" w:rsidP="00CE47F2">
      <w:r>
        <w:t>Innføringen av personvernforordningen (forordning 2016/679, på engelsk General Data Protection Regulation, forkortet GDPR) har fått mye oppmerksomhet og til dels skapt bekymring hos flere aktører med tanke på konsekvenser for helseforskning, innovasjon og kommersialisering. Foror</w:t>
      </w:r>
      <w:r>
        <w:t>d</w:t>
      </w:r>
      <w:r>
        <w:t>ningen er i stor grad en videreføring av gjeldende rett og medfører ingen store endringer i det rettslige rammeverket når det gjelder personvern og fors</w:t>
      </w:r>
      <w:r>
        <w:t>k</w:t>
      </w:r>
      <w:r>
        <w:t>ning. Alle helsedata er underlagt taushetsplikt og helseregistrene er pålagt strenge krav til informasjonssikkerhet. Tilgjengeliggjøring av helseop</w:t>
      </w:r>
      <w:r>
        <w:t>p</w:t>
      </w:r>
      <w:r>
        <w:lastRenderedPageBreak/>
        <w:t>lysninger fra registrene krever hjemmel i lov eller samtykke fra den registrerte. Feilaktig utlevering av taushetsbelagt informasjon fra helseregistrene kan medføre straffansvar og betydelige overtr</w:t>
      </w:r>
      <w:r>
        <w:t>e</w:t>
      </w:r>
      <w:r>
        <w:t>delsesgebyr. Regelverket skal sikre pas</w:t>
      </w:r>
      <w:r>
        <w:t>i</w:t>
      </w:r>
      <w:r>
        <w:t>entsikkerhet, kunnskapsbasert utvikling og samtidig legge til rette for løsninger som ivaretar den enke</w:t>
      </w:r>
      <w:r>
        <w:t>l</w:t>
      </w:r>
      <w:r>
        <w:t>tes personvern.</w:t>
      </w:r>
    </w:p>
    <w:p w:rsidR="00D24D21" w:rsidRDefault="00D24D21" w:rsidP="00CE47F2">
      <w:r>
        <w:t>Innenfor helseforskning bør forvaltningen av regelverket være forutsigbar og enhetlig på tvers av sektorer. Dette kan blant annet skje gjennom kunnskaps- og kompetansetiltak, eller gjennom eta</w:t>
      </w:r>
      <w:r>
        <w:t>b</w:t>
      </w:r>
      <w:r>
        <w:t>lering av en atferdsnorm for helseforskning på tvers av de forskningsutførende sektorene.</w:t>
      </w:r>
    </w:p>
    <w:p w:rsidR="00D24D21" w:rsidRDefault="00D24D21" w:rsidP="00CE47F2">
      <w:pPr>
        <w:pStyle w:val="avsnitt-undertittel"/>
      </w:pPr>
      <w:r>
        <w:t>Kommersialisering og tilgang til kapital</w:t>
      </w:r>
    </w:p>
    <w:p w:rsidR="00D24D21" w:rsidRDefault="00D24D21" w:rsidP="00CE47F2">
      <w:r>
        <w:t>Det offentlige finansierer en stor del av forskningen og utviklingen i helse- og omsorgssektoren. Mange av produktene i helsenæringene kommer fra forskere og ansatte ved sykehusene, univers</w:t>
      </w:r>
      <w:r>
        <w:t>i</w:t>
      </w:r>
      <w:r>
        <w:t>tetene og ko</w:t>
      </w:r>
      <w:r>
        <w:t>m</w:t>
      </w:r>
      <w:r>
        <w:t>munene, og det er potensial for økt kommersialisering av forskning og ideer i helse- og omsorgsse</w:t>
      </w:r>
      <w:r>
        <w:t>k</w:t>
      </w:r>
      <w:r>
        <w:t>toren. Én utfordring er at mange ikke har erfaring og kompetanse om det å utvikle et selskap og ko</w:t>
      </w:r>
      <w:r>
        <w:t>m</w:t>
      </w:r>
      <w:r>
        <w:t>mersialisere. Helseforetak, universiteter og høyskoler har andre primæroppgaver enn kommersialisering og forre</w:t>
      </w:r>
      <w:r>
        <w:t>t</w:t>
      </w:r>
      <w:r>
        <w:t>ningsutvikling. Dette påvirker insentiver, kultur og om de ansatte har tilgang til systemer for å kommers</w:t>
      </w:r>
      <w:r>
        <w:t>i</w:t>
      </w:r>
      <w:r>
        <w:t>alisere sine ideer.</w:t>
      </w:r>
    </w:p>
    <w:p w:rsidR="00D24D21" w:rsidRDefault="00D24D21" w:rsidP="00CE47F2">
      <w:r>
        <w:t>Tilgang til kapital er viktig for at en bedrift skal kunne vokse. Deler av helsenæringen, eksempelvis innenfor legemiddelproduksjon, kjennetegnes av svært lange forsknings- og utviklingsløp og b</w:t>
      </w:r>
      <w:r>
        <w:t>e</w:t>
      </w:r>
      <w:r>
        <w:t>grensede salgsinntekter i de tidlige utviklingsfasene. Lange kommersialiseringsprosesser er kostbart og risikofylt og krever derfor langsiktig, risikob</w:t>
      </w:r>
      <w:r>
        <w:t>æ</w:t>
      </w:r>
      <w:r>
        <w:t>rende kapital. Dette er samtidig gjerne produkter med stort økonomisk potensial dersom virksomheten lykkes, men investorer uten kompetanse om helsenæringen vil ofte velge andre investeringsmuligheter der risikoen er mindre. Arbeidet med kommersialisering og å skaffe tilstrekkelig finansiering oppleves som krevende for mange op</w:t>
      </w:r>
      <w:r>
        <w:t>p</w:t>
      </w:r>
      <w:r>
        <w:t>startsbedrifter innenfor helsenæringen i Norge. Flere aktører peker dessuten på at dagens regler for opsjonsbeskatning er utfordrende for helsenæringen, som har en stor andel oppstartsselskaper.</w:t>
      </w:r>
    </w:p>
    <w:p w:rsidR="00D24D21" w:rsidRDefault="00D24D21" w:rsidP="00CE47F2">
      <w:pPr>
        <w:pStyle w:val="avsnitt-undertittel"/>
      </w:pPr>
      <w:r>
        <w:t>Internasjonalisering</w:t>
      </w:r>
    </w:p>
    <w:p w:rsidR="00D24D21" w:rsidRDefault="00D24D21" w:rsidP="00CE47F2">
      <w:r>
        <w:t>For mange bedrifter innenfor helsenæringen er tilgang til markeder og ulike verdikjeder i andre land avgjørende for vekst. Samtidig viser erfaringer og innspill fra næringen at et velfungerende hje</w:t>
      </w:r>
      <w:r>
        <w:t>m</w:t>
      </w:r>
      <w:r>
        <w:t>memarked er viktig for at norske bedrifter skal lykkes internasjonalt.</w:t>
      </w:r>
    </w:p>
    <w:p w:rsidR="00D24D21" w:rsidRDefault="00D24D21" w:rsidP="00CE47F2">
      <w:r>
        <w:t>Forutsigbare betingelser for handel og god markedsadgang for varer, tjenester og investeringer er en forutsetning for internasjonalisering. I mange land Norge ikke har frihandelsavtaler med, er det både høye tollsatser og andre handelshindre. Dette kan gjøre norske bedrifter mindre konkurransedyktige enn lokale bedrifter og konkurrenter fra land med slike handelsavtaler. I senere år har man også sett en økende tendens til proteksjonisme hos flere av våre viktigste handelspartnere.</w:t>
      </w:r>
    </w:p>
    <w:p w:rsidR="00D24D21" w:rsidRDefault="00D24D21" w:rsidP="00CE47F2">
      <w:r>
        <w:t>Tungvint og uforutsigbart byråkrati kan utgjøre et betydelig handelshinder. Ulike tekniske regul</w:t>
      </w:r>
      <w:r>
        <w:t>e</w:t>
      </w:r>
      <w:r>
        <w:t>ringer og standarder kan også gjøre det dyrere og vanskeligere å eksportere og importere varer og tj</w:t>
      </w:r>
      <w:r>
        <w:t>e</w:t>
      </w:r>
      <w:r>
        <w:t>nester.</w:t>
      </w:r>
    </w:p>
    <w:p w:rsidR="00D24D21" w:rsidRDefault="00D24D21" w:rsidP="00CE47F2">
      <w:r>
        <w:t>Deler av helsenæringen står overfor særskilte utfordringer i forbindelse med innpass på internasj</w:t>
      </w:r>
      <w:r>
        <w:t>o</w:t>
      </w:r>
      <w:r>
        <w:t xml:space="preserve">nale markeder, blant annet relatert til regulatoriske rammer, lange løp for testing og godkjenning, ulike krav i ulike markeder med videre. I mange deler av næringen mangler nystartede norske foretak </w:t>
      </w:r>
      <w:r>
        <w:lastRenderedPageBreak/>
        <w:t>større og mer etablerte bedrifter som de kan lære av, og bruke nettverket til, når de skal internasj</w:t>
      </w:r>
      <w:r>
        <w:t>o</w:t>
      </w:r>
      <w:r>
        <w:t>nalisere.</w:t>
      </w:r>
    </w:p>
    <w:p w:rsidR="00D24D21" w:rsidRDefault="00D24D21" w:rsidP="00CE47F2">
      <w:r>
        <w:t>I helsenæringen er det mange forskningsintensive og teknologidrevne bedrifter. Effektiv beskyttelse av immat</w:t>
      </w:r>
      <w:r>
        <w:t>e</w:t>
      </w:r>
      <w:r>
        <w:t>rialrett er derfor avgjørende for å bevare bedriftenes verdier og konkurransefortrinn.</w:t>
      </w:r>
    </w:p>
    <w:p w:rsidR="00D24D21" w:rsidRDefault="00D24D21" w:rsidP="00CE47F2">
      <w:pPr>
        <w:pStyle w:val="tittel-ramme"/>
      </w:pPr>
      <w:r>
        <w:t>Dignio med kontrakt i Kina</w:t>
      </w:r>
    </w:p>
    <w:p w:rsidR="00D24D21" w:rsidRDefault="00D24D21" w:rsidP="00CE47F2">
      <w:r>
        <w:t>Det norske selskapet Dignio, etablert i 2010, utvikler programvare som skal gjøre det trygt å ha tilsyn med eldre og kronisk syke på avstand. I august 2018 signerte Dignio kontrakt med St. Mount Ho</w:t>
      </w:r>
      <w:r>
        <w:t>s</w:t>
      </w:r>
      <w:r>
        <w:t>pital i Shanghai. Dignios produkt skal først prøves ut på utvalgte pasienter, før man etter hvert ønsker å tilby løsningen til pasienter i stor skala. Ifølge St. Mount Hospital var blant annet det at løsningen er tatt i bruk i mange norske kommuner noe som gjorde at valget falt på Dignio. Det er uvisst hvor mye avtalen er verdt, da Dignio får betalt gjennom lisenser for hver pasient per måned som benytter programvareløsningen. Dignio mener at den femårige avtalen kan være verdt 400 mill. kroner.</w:t>
      </w:r>
      <w:r>
        <w:rPr>
          <w:rStyle w:val="skrift-hevet"/>
          <w:sz w:val="21"/>
          <w:szCs w:val="21"/>
        </w:rPr>
        <w:t>1</w:t>
      </w:r>
    </w:p>
    <w:p w:rsidR="00D24D21" w:rsidRDefault="00D24D21" w:rsidP="00CE47F2">
      <w:r>
        <w:t>I oktober 2018 annonserte selskapet at de har inngått nok en avtale i Kina.</w:t>
      </w:r>
      <w:r>
        <w:rPr>
          <w:rStyle w:val="skrift-hevet"/>
          <w:sz w:val="21"/>
          <w:szCs w:val="21"/>
        </w:rPr>
        <w:t>2</w:t>
      </w:r>
      <w:r>
        <w:t xml:space="preserve"> Dignio skal levere m</w:t>
      </w:r>
      <w:r>
        <w:t>e</w:t>
      </w:r>
      <w:r>
        <w:t>disinsk a</w:t>
      </w:r>
      <w:r>
        <w:t>v</w:t>
      </w:r>
      <w:r>
        <w:t>standsoppfølging til bydelen Yi Fang Health Valley som bygges i Beijing. Her skal det bygges et nytt sykehus med seks klinikker og Dignio skal levere til alle klinikkene. Dignio skal levere løsning for oppfølging av kronisk syke, fertilitet og rehabilitering. Dignio mener at kontrakten kan ha en verdi på 120 mill. kroner.</w:t>
      </w:r>
    </w:p>
    <w:p w:rsidR="00D24D21" w:rsidRDefault="00D24D21" w:rsidP="00CE47F2">
      <w:pPr>
        <w:pStyle w:val="ramme-noter"/>
        <w:rPr>
          <w:rStyle w:val="skrift-hevet"/>
        </w:rPr>
      </w:pPr>
      <w:r>
        <w:rPr>
          <w:rStyle w:val="skrift-hevet"/>
          <w:sz w:val="17"/>
          <w:szCs w:val="17"/>
        </w:rPr>
        <w:t>1</w:t>
      </w:r>
      <w:r>
        <w:tab/>
        <w:t xml:space="preserve">Lorentzen, M. (2018, 21. august). Gjennombrudd for norsk helseteknologi i Kina. </w:t>
      </w:r>
      <w:r>
        <w:rPr>
          <w:rStyle w:val="kursiv"/>
          <w:sz w:val="17"/>
          <w:szCs w:val="17"/>
        </w:rPr>
        <w:t>E24</w:t>
      </w:r>
      <w:r>
        <w:t>.</w:t>
      </w:r>
    </w:p>
    <w:p w:rsidR="00D24D21" w:rsidRDefault="00D24D21" w:rsidP="00CE47F2">
      <w:pPr>
        <w:pStyle w:val="ramme-noter"/>
        <w:rPr>
          <w:rStyle w:val="skrift-hevet"/>
        </w:rPr>
      </w:pPr>
      <w:r>
        <w:rPr>
          <w:rStyle w:val="skrift-hevet"/>
          <w:sz w:val="17"/>
          <w:szCs w:val="17"/>
        </w:rPr>
        <w:t>2</w:t>
      </w:r>
      <w:r>
        <w:tab/>
        <w:t xml:space="preserve">Øfsti, S. (2018, 17. oktober). Kråkerøy-selskap har signert nok en Kina-avtale i 100 millionersklassen. </w:t>
      </w:r>
      <w:r>
        <w:rPr>
          <w:rStyle w:val="kursiv"/>
          <w:sz w:val="17"/>
          <w:szCs w:val="17"/>
        </w:rPr>
        <w:t>Fredrikstad blad</w:t>
      </w:r>
      <w:r>
        <w:t>, s. 6.</w:t>
      </w:r>
    </w:p>
    <w:p w:rsidR="00D24D21" w:rsidRDefault="00E636F4" w:rsidP="00E636F4">
      <w:pPr>
        <w:pStyle w:val="Figur"/>
      </w:pPr>
      <w:r>
        <w:rPr>
          <w:noProof/>
        </w:rPr>
        <w:t>[:figur:figX-X.jpg]</w:t>
      </w:r>
    </w:p>
    <w:p w:rsidR="00D24D21" w:rsidRDefault="00D24D21" w:rsidP="00CE47F2">
      <w:pPr>
        <w:pStyle w:val="figur-tittel"/>
      </w:pPr>
      <w:r>
        <w:t>Avstandsoppfølging</w:t>
      </w:r>
    </w:p>
    <w:p w:rsidR="00D24D21" w:rsidRDefault="00D24D21" w:rsidP="00CE47F2">
      <w:pPr>
        <w:pStyle w:val="figur-noter"/>
      </w:pPr>
      <w:r>
        <w:t>Foto: Dignio</w:t>
      </w:r>
    </w:p>
    <w:p w:rsidR="00D24D21" w:rsidRDefault="00D24D21">
      <w:pPr>
        <w:pStyle w:val="Ramme-slutt"/>
        <w:rPr>
          <w:sz w:val="26"/>
          <w:szCs w:val="26"/>
        </w:rPr>
      </w:pPr>
      <w:r>
        <w:rPr>
          <w:sz w:val="26"/>
          <w:szCs w:val="26"/>
        </w:rPr>
        <w:t>[Boks slutt]</w:t>
      </w:r>
    </w:p>
    <w:p w:rsidR="00D24D21" w:rsidRDefault="00D24D21" w:rsidP="00CE47F2">
      <w:pPr>
        <w:pStyle w:val="avsnitt-undertittel"/>
      </w:pPr>
      <w:r>
        <w:t>Tilgang på kompetanse</w:t>
      </w:r>
    </w:p>
    <w:p w:rsidR="00D24D21" w:rsidRDefault="00D24D21" w:rsidP="00CE47F2">
      <w:r>
        <w:t>Som andre høykostland må Norge konkurrere med kunnskap som grunnlag for vekst og verdisk</w:t>
      </w:r>
      <w:r>
        <w:t>a</w:t>
      </w:r>
      <w:r>
        <w:t>ping. Nye helseutfordringer, sammen med ny teknologi og rask endringshastighet i utvikling og produksjon, medfører behov for kontinuerlig oppdatert kunnskap. Tverrfaglig kompetanse innenfor medisin og te</w:t>
      </w:r>
      <w:r>
        <w:t>k</w:t>
      </w:r>
      <w:r>
        <w:t>nologi blir avgjørende for å løse utfordringen i helse- og omsorgssektoren. Tilgang på arbeidskraft med riktig kompetanse og ferdigheter vil være viktig for innovasjon og vekst framover, og det er viktig å u</w:t>
      </w:r>
      <w:r>
        <w:t>t</w:t>
      </w:r>
      <w:r>
        <w:t>danne dyktige kandidater nasjonalt og å tiltrekke talentfulle studenter og forskere fra andre land. En sterk kobling mellom utdanning, forskning og innovasjon kan bidra til en ko</w:t>
      </w:r>
      <w:r>
        <w:t>n</w:t>
      </w:r>
      <w:r>
        <w:t>kurransedyktig helsenæring og økt kvalitet og bærekraft i helse- og omsorgssektoren.</w:t>
      </w:r>
    </w:p>
    <w:p w:rsidR="00D24D21" w:rsidRDefault="00D24D21" w:rsidP="00CE47F2">
      <w:pPr>
        <w:pStyle w:val="tittel-ramme"/>
      </w:pPr>
      <w:r>
        <w:t>Sentre for fremragende forskning (SFF)</w:t>
      </w:r>
    </w:p>
    <w:p w:rsidR="00D24D21" w:rsidRDefault="00D24D21" w:rsidP="00CE47F2">
      <w:r>
        <w:t>SFF-ordningen gir Norges fremste vitenskapelige miljøer mulighet til å organisere seg i sentre og nå a</w:t>
      </w:r>
      <w:r>
        <w:t>m</w:t>
      </w:r>
      <w:r>
        <w:t xml:space="preserve">bisiøse vitenskapelige mål. Forskningen ved sentrene skal være nyskapende og ha stort potensial for å gi grensesprengende resultater som flytter den internasjonale forskningsfronten. Per 2019, er </w:t>
      </w:r>
      <w:r>
        <w:lastRenderedPageBreak/>
        <w:t>det 23 sentre for fremragende forskning (SFF) i Norge. Av disse er 11 helt eller delvis helserelatert og flere av disse har klare mål om utvikling av bedre behandling og/eller diagnostikk.</w:t>
      </w:r>
    </w:p>
    <w:p w:rsidR="00D24D21" w:rsidRDefault="00D24D21" w:rsidP="00CE47F2">
      <w:pPr>
        <w:pStyle w:val="avsnitt-undertittel"/>
      </w:pPr>
      <w:r>
        <w:t>Eksempler som er relevante for utvikling av helsenæring:</w:t>
      </w:r>
    </w:p>
    <w:p w:rsidR="00D24D21" w:rsidRDefault="00D24D21" w:rsidP="00160018">
      <w:pPr>
        <w:pStyle w:val="Listebombe"/>
        <w:numPr>
          <w:ilvl w:val="0"/>
          <w:numId w:val="45"/>
        </w:numPr>
        <w:ind w:left="320" w:hanging="320"/>
        <w:rPr>
          <w:sz w:val="21"/>
          <w:szCs w:val="21"/>
        </w:rPr>
      </w:pPr>
      <w:r>
        <w:rPr>
          <w:sz w:val="21"/>
          <w:szCs w:val="21"/>
        </w:rPr>
        <w:t>Centre for Cancer Cell Reprogramming</w:t>
      </w:r>
    </w:p>
    <w:p w:rsidR="00D24D21" w:rsidRDefault="00D24D21" w:rsidP="00160018">
      <w:pPr>
        <w:pStyle w:val="Listebombe"/>
        <w:numPr>
          <w:ilvl w:val="0"/>
          <w:numId w:val="45"/>
        </w:numPr>
        <w:ind w:left="320" w:hanging="320"/>
        <w:rPr>
          <w:sz w:val="21"/>
          <w:szCs w:val="21"/>
        </w:rPr>
      </w:pPr>
      <w:r>
        <w:rPr>
          <w:sz w:val="21"/>
          <w:szCs w:val="21"/>
        </w:rPr>
        <w:t>Hybrid Technology Hub</w:t>
      </w:r>
    </w:p>
    <w:p w:rsidR="00D24D21" w:rsidRDefault="00D24D21" w:rsidP="00160018">
      <w:pPr>
        <w:pStyle w:val="Listebombe"/>
        <w:numPr>
          <w:ilvl w:val="0"/>
          <w:numId w:val="45"/>
        </w:numPr>
        <w:ind w:left="320" w:hanging="320"/>
        <w:rPr>
          <w:sz w:val="21"/>
          <w:szCs w:val="21"/>
        </w:rPr>
      </w:pPr>
      <w:r>
        <w:rPr>
          <w:sz w:val="21"/>
          <w:szCs w:val="21"/>
        </w:rPr>
        <w:t>Centre for Cancer Biomarkers</w:t>
      </w:r>
    </w:p>
    <w:p w:rsidR="00D24D21" w:rsidRDefault="00D24D21" w:rsidP="00160018">
      <w:pPr>
        <w:pStyle w:val="Listebombe"/>
        <w:numPr>
          <w:ilvl w:val="0"/>
          <w:numId w:val="45"/>
        </w:numPr>
        <w:ind w:left="320" w:hanging="320"/>
        <w:rPr>
          <w:sz w:val="21"/>
          <w:szCs w:val="21"/>
        </w:rPr>
      </w:pPr>
      <w:r>
        <w:rPr>
          <w:sz w:val="21"/>
          <w:szCs w:val="21"/>
        </w:rPr>
        <w:t>Centre of Molecular Inflammation Research (CEMIR)</w:t>
      </w:r>
    </w:p>
    <w:p w:rsidR="00D24D21" w:rsidRDefault="00D24D21" w:rsidP="00160018">
      <w:pPr>
        <w:pStyle w:val="Listebombe"/>
        <w:numPr>
          <w:ilvl w:val="0"/>
          <w:numId w:val="45"/>
        </w:numPr>
        <w:ind w:left="320" w:hanging="320"/>
        <w:rPr>
          <w:sz w:val="21"/>
          <w:szCs w:val="21"/>
        </w:rPr>
      </w:pPr>
      <w:r>
        <w:rPr>
          <w:sz w:val="21"/>
          <w:szCs w:val="21"/>
        </w:rPr>
        <w:t>Centre for Neural Computation</w:t>
      </w:r>
    </w:p>
    <w:p w:rsidR="00D24D21" w:rsidRDefault="00D24D21">
      <w:pPr>
        <w:pStyle w:val="Ramme-slutt"/>
        <w:rPr>
          <w:sz w:val="26"/>
          <w:szCs w:val="26"/>
        </w:rPr>
      </w:pPr>
      <w:r>
        <w:rPr>
          <w:sz w:val="26"/>
          <w:szCs w:val="26"/>
        </w:rPr>
        <w:t>[Boks slutt]</w:t>
      </w:r>
    </w:p>
    <w:p w:rsidR="00D24D21" w:rsidRDefault="00E21CFB" w:rsidP="00CE47F2">
      <w:pPr>
        <w:pStyle w:val="del-nr"/>
      </w:pPr>
      <w:r>
        <w:t>Del II</w:t>
      </w:r>
    </w:p>
    <w:p w:rsidR="00D24D21" w:rsidRDefault="00D24D21" w:rsidP="00CE47F2">
      <w:pPr>
        <w:pStyle w:val="del-tittel"/>
        <w:rPr>
          <w:w w:val="100"/>
        </w:rPr>
      </w:pPr>
      <w:r>
        <w:rPr>
          <w:w w:val="100"/>
        </w:rPr>
        <w:t>En politikk for vekst og utvikling</w:t>
      </w:r>
    </w:p>
    <w:p w:rsidR="00D24D21" w:rsidRDefault="00D24D21" w:rsidP="00CE47F2">
      <w:pPr>
        <w:pStyle w:val="Overskrift1"/>
      </w:pPr>
      <w:r>
        <w:t>Regjeringens næringspolitiske og helsepolitiske mål</w:t>
      </w:r>
    </w:p>
    <w:p w:rsidR="00D24D21" w:rsidRDefault="00D24D21" w:rsidP="00CE47F2">
      <w:r>
        <w:t>I dette kapittelet beskrives de næringspolitiske og helsepolitiske målene. Videre presenteres regj</w:t>
      </w:r>
      <w:r>
        <w:t>e</w:t>
      </w:r>
      <w:r>
        <w:t>ringens overordnede politikk for helsenæringen, som denne meldingen er ment å bidra til oppnåelse av.</w:t>
      </w:r>
    </w:p>
    <w:p w:rsidR="00D24D21" w:rsidRDefault="00D24D21" w:rsidP="00CE47F2">
      <w:r>
        <w:t>Helse- og omsorgssektoren har krevende mål. For å nå disse målene, er et godt samarbeid med n</w:t>
      </w:r>
      <w:r>
        <w:t>æ</w:t>
      </w:r>
      <w:r>
        <w:t>ringslivet nødvendig. Da kan det dras nytte av innovasjonskraften, kompetansen og ressursene som fi</w:t>
      </w:r>
      <w:r>
        <w:t>n</w:t>
      </w:r>
      <w:r>
        <w:t>nes i norske bedrifter. I arbeidet med å nå de helsepolitiske målene, kan dermed næringspolitiske mål om økt verdiskaping og lønnsomme arbeidsplasser også nås.</w:t>
      </w:r>
    </w:p>
    <w:p w:rsidR="00D24D21" w:rsidRDefault="00D24D21" w:rsidP="00CE47F2">
      <w:pPr>
        <w:pStyle w:val="Overskrift2"/>
      </w:pPr>
      <w:r>
        <w:t>Næringspolitiske mål</w:t>
      </w:r>
    </w:p>
    <w:p w:rsidR="00D24D21" w:rsidRDefault="00D24D21" w:rsidP="00CE47F2">
      <w:r>
        <w:t>Det overordnede målet for regjeringens næringspolitikk er størst mulig samlet verdiskaping i norsk øk</w:t>
      </w:r>
      <w:r>
        <w:t>o</w:t>
      </w:r>
      <w:r>
        <w:t>nomi innenfor bærekraftige rammer. Regjeringen vil føre en næringspolitikk som legger til rette for verdiskaping og vekst i privat sektor, lønnsomme arbeidsplasser og omstilling av norsk n</w:t>
      </w:r>
      <w:r>
        <w:t>æ</w:t>
      </w:r>
      <w:r>
        <w:t>ringsliv. Gjennom kunnskapsutvikling legges grunnlaget for nye arbeidsplasser med høy verdisk</w:t>
      </w:r>
      <w:r>
        <w:t>a</w:t>
      </w:r>
      <w:r>
        <w:t>ping som igjen kan u</w:t>
      </w:r>
      <w:r>
        <w:t>n</w:t>
      </w:r>
      <w:r>
        <w:t>derstøtte et bærekraftig velferdssamfunn.</w:t>
      </w:r>
    </w:p>
    <w:p w:rsidR="00D24D21" w:rsidRDefault="00D24D21" w:rsidP="00CE47F2">
      <w:r>
        <w:t>Størst mulig samlet verdiskaping i norsk økonomi betyr at ressursene i økonomien, som arbeidskraft, råvarer og kapital, brukes der de kaster mest av seg. Regjeringens næringspolitikk skal bidra til at dette skjer, blant annet gjennom å tilrettelegge for næringsrettet forskning, innovative bedrifter og god markedstilgang både innenlands og utenlands og gjennom å bidra til at næringslivet har ti</w:t>
      </w:r>
      <w:r>
        <w:t>l</w:t>
      </w:r>
      <w:r>
        <w:t>strekkelig tilgang til kapital og kompetent arbeidskraft.</w:t>
      </w:r>
    </w:p>
    <w:p w:rsidR="00D24D21" w:rsidRDefault="00D24D21" w:rsidP="00CE47F2">
      <w:r>
        <w:t>En bred og helhetlig næringspolitikk skal ta vare på og utvikle Norges konkurransefortrinn. N</w:t>
      </w:r>
      <w:r>
        <w:t>æ</w:t>
      </w:r>
      <w:r>
        <w:t xml:space="preserve">ringslivet skal være bærekraftig, nyskapende, kunnskapsbasert og omstillingsdyktig. Det er summen av rammebetingelsene som er viktig for Norges framtidige evne til verdiskaping. Finans- og pengepolitikken, skatte- og avgiftssystemet, </w:t>
      </w:r>
      <w:r>
        <w:rPr>
          <w:spacing w:val="-2"/>
        </w:rPr>
        <w:t>forsknings- og innovasjonspolitikken, konkurranse</w:t>
      </w:r>
      <w:r>
        <w:t>pol</w:t>
      </w:r>
      <w:r>
        <w:t>i</w:t>
      </w:r>
      <w:r>
        <w:t>tikken, arbeidsmarkedspolitikken, samferdselspolitikken og miljøpolitikken er alle viktige pol</w:t>
      </w:r>
      <w:r>
        <w:t>i</w:t>
      </w:r>
      <w:r>
        <w:t>tikkområder. For helsenæringen er helsepolitikken også en viktig rammebetingelse.</w:t>
      </w:r>
    </w:p>
    <w:p w:rsidR="00D24D21" w:rsidRDefault="00D24D21" w:rsidP="00CE47F2">
      <w:pPr>
        <w:pStyle w:val="avsnitt-undertittel"/>
      </w:pPr>
      <w:r>
        <w:lastRenderedPageBreak/>
        <w:t>Et innovativt og omstillingsdyktig næringsliv</w:t>
      </w:r>
    </w:p>
    <w:p w:rsidR="00D24D21" w:rsidRDefault="00D24D21" w:rsidP="00CE47F2">
      <w:r>
        <w:t>Innovasjon er en av de viktigste driverne for økt produktivitet og verdiskaping. Økt produktivitet kan b</w:t>
      </w:r>
      <w:r>
        <w:t>i</w:t>
      </w:r>
      <w:r>
        <w:t>dra til å opprettholde og utvikle Norges konkurransekraft og velferd. Innovasjon er at bedrifter finner måter å bruke både ny og etablert kunnskap og teknologi på, for å utvikle nye produkter, tjenester og produksjonsmetoder. Regjeringens ambisjon er at Norge skal bli ett av de mest innov</w:t>
      </w:r>
      <w:r>
        <w:t>a</w:t>
      </w:r>
      <w:r>
        <w:t>tive landene i E</w:t>
      </w:r>
      <w:r>
        <w:t>u</w:t>
      </w:r>
      <w:r>
        <w:t>ropa.</w:t>
      </w:r>
    </w:p>
    <w:p w:rsidR="00D24D21" w:rsidRDefault="00D24D21" w:rsidP="00CE47F2">
      <w:r>
        <w:t>Regjeringen vil styrke samspillet mellom næringslivet, akademia, innovasjons- og forskningsmiljøer og tilrettelegge for kommersialisering av forskningsresultater. Ordninger som stimulerer næring</w:t>
      </w:r>
      <w:r>
        <w:t>s</w:t>
      </w:r>
      <w:r>
        <w:t>livets egen forsknings- og utviklingsaktivitet må være gode.</w:t>
      </w:r>
    </w:p>
    <w:p w:rsidR="00D24D21" w:rsidRDefault="00D24D21" w:rsidP="00CE47F2">
      <w:r>
        <w:t>Regjeringen vil føre en næringspolitikk som gir gode rammer for gründere og oppstartsselskaper, slik at det blir lettere å skape nye arbeidsplasser.</w:t>
      </w:r>
    </w:p>
    <w:p w:rsidR="00D24D21" w:rsidRDefault="00D24D21" w:rsidP="00CE47F2">
      <w:pPr>
        <w:pStyle w:val="avsnitt-undertittel"/>
      </w:pPr>
      <w:r>
        <w:t>Effektiv bruk av samfunnets ressurser</w:t>
      </w:r>
    </w:p>
    <w:p w:rsidR="00D24D21" w:rsidRDefault="00D24D21" w:rsidP="00CE47F2">
      <w:r>
        <w:t>Regjeringens mål om at ressursene skal anvendes der de kaster mest av seg, innebærer at næring</w:t>
      </w:r>
      <w:r>
        <w:t>s</w:t>
      </w:r>
      <w:r>
        <w:t>livet skal bruke mest mulig av ressursene sine på bedriftenes egen virksomhet og mindre på å overholde krav fra myndighetene. Regjeringen satser på forenklinger for næringslivet, for eksempel ved gjennomføring av «kun én gang»-prinsippet</w:t>
      </w:r>
      <w:r>
        <w:rPr>
          <w:vertAlign w:val="superscript"/>
        </w:rPr>
        <w:footnoteReference w:id="29"/>
      </w:r>
      <w:r>
        <w:t>.</w:t>
      </w:r>
    </w:p>
    <w:p w:rsidR="00D24D21" w:rsidRDefault="00D24D21" w:rsidP="00CE47F2">
      <w:r>
        <w:t>En velfungerende økonomi forutsetter et visst nivå av lover og regler som ivaretar samfunnets behov. Dette bygger opp under tilliten i samfunnet, herunder tilliten mellom selger og kjøper og til at varer og tjenester oppfyller kv</w:t>
      </w:r>
      <w:r>
        <w:t>a</w:t>
      </w:r>
      <w:r>
        <w:t>litetskrav.</w:t>
      </w:r>
    </w:p>
    <w:p w:rsidR="00D24D21" w:rsidRDefault="00D24D21" w:rsidP="00CE47F2">
      <w:r>
        <w:t>En effektiv offentlig sektor er nødvendig for å møte behovet for velferdstjenester uten at dette r</w:t>
      </w:r>
      <w:r>
        <w:t>e</w:t>
      </w:r>
      <w:r>
        <w:t>duserer tilgangen på arbeidskraft i privat sektor. Regjeringen vil føre en politikk der offentlig sektor i større grad samarbeider med næringslivet. Dette innebærer at den offentlige helse- og omsorg</w:t>
      </w:r>
      <w:r>
        <w:t>s</w:t>
      </w:r>
      <w:r>
        <w:t>tjenesten både kjøper varer og tjenester i ma</w:t>
      </w:r>
      <w:r>
        <w:t>r</w:t>
      </w:r>
      <w:r>
        <w:t>kedet, og at den etterspør løsninger fra privat sektor framfor å utvikle egne løsninger.</w:t>
      </w:r>
    </w:p>
    <w:p w:rsidR="00D24D21" w:rsidRDefault="00D24D21" w:rsidP="00CE47F2">
      <w:pPr>
        <w:pStyle w:val="avsnitt-undertittel"/>
      </w:pPr>
      <w:r>
        <w:t>Bedrifter som lykkes i internasjonale markeder</w:t>
      </w:r>
    </w:p>
    <w:p w:rsidR="00D24D21" w:rsidRDefault="00D24D21" w:rsidP="00CE47F2">
      <w:r>
        <w:t>Norske bedrifter kan være konkurransedyktige på verdensmarkedet innenfor en rekke områder, også på områder der andre land hittil har dominert. Regjeringen arbeider for at norske bedrifter skal lykkes i internasjonale markeder, gjennom deltakelse i Verdens handelsorganisasjon, WTO, inngåelse av friha</w:t>
      </w:r>
      <w:r>
        <w:t>n</w:t>
      </w:r>
      <w:r>
        <w:t>delsavtaler, samt å fremme EØS-avtalen og bidra til videreutvikling av det indre marked. Samtidig legges det til rette for å fremme norsk næringsliv i utlandet og for eksportfinansiering</w:t>
      </w:r>
      <w:r>
        <w:t>s</w:t>
      </w:r>
      <w:r>
        <w:t>ordninger som skal bidra til at norske eksportører har like gode konkurransevilkår som eksportører fra andre land med tilsvarende ordninger. Dette gjøres gjennom bilateral myndighetsdialog, n</w:t>
      </w:r>
      <w:r>
        <w:t>æ</w:t>
      </w:r>
      <w:r>
        <w:t>ringslivsdelegasjoner, deltakelse på ve</w:t>
      </w:r>
      <w:r>
        <w:t>r</w:t>
      </w:r>
      <w:r>
        <w:t>densutstillinger og ved hjelp av eksportvirkemidler. Norge deltar i næringspolitisk samarbeid innenfor regionale fora, blant annet gjennom Nordisk Ministerråd, samarbeid med Organisasjonen for østasiatiske nasjoner (ASEAN) og deltakelse i Asia-Europe meeting (ASEM).</w:t>
      </w:r>
    </w:p>
    <w:p w:rsidR="00D24D21" w:rsidRDefault="00D24D21" w:rsidP="00CE47F2">
      <w:r>
        <w:lastRenderedPageBreak/>
        <w:t>Regjeringen vil arbeide for å tiltrekke internasjonale selskapers forsknings-, utviklings- og hove</w:t>
      </w:r>
      <w:r>
        <w:t>d</w:t>
      </w:r>
      <w:r>
        <w:t>kontorfunksjoner til Norge.</w:t>
      </w:r>
    </w:p>
    <w:p w:rsidR="00D24D21" w:rsidRDefault="00D24D21" w:rsidP="00CE47F2">
      <w:pPr>
        <w:pStyle w:val="Overskrift2"/>
      </w:pPr>
      <w:r>
        <w:t>Helsepolitiske mål</w:t>
      </w:r>
    </w:p>
    <w:p w:rsidR="00D24D21" w:rsidRDefault="00D24D21" w:rsidP="00CE47F2">
      <w:r>
        <w:t>Regjeringens mål er å skape pasientens helse- og omsorgstjeneste og legge til rette for god helse og gode levekår. Alle skal ha tilgang til likeverdige helsetjenester av god kvalitet. Enhver skal ha trygghet for at gode offentlig finansierte helsetjenester er der for seg og familien sin.</w:t>
      </w:r>
    </w:p>
    <w:p w:rsidR="00D24D21" w:rsidRDefault="00D24D21" w:rsidP="00CE47F2">
      <w:pPr>
        <w:pStyle w:val="avsnitt-undertittel"/>
      </w:pPr>
      <w:r>
        <w:t>Pasientens helsetjeneste</w:t>
      </w:r>
    </w:p>
    <w:p w:rsidR="00D24D21" w:rsidRDefault="00D24D21" w:rsidP="00CE47F2">
      <w:r>
        <w:t>Brukernes og pasientenes behov skal stå i sentrum når tjenesten videreutvikles. Nye teknologiske lø</w:t>
      </w:r>
      <w:r>
        <w:t>s</w:t>
      </w:r>
      <w:r>
        <w:t>ninger som innføres skal bidra til bedre, tryggere og mer brukervennlige tjenester. Tjenestene skal også være likeverdige og tilgjengelig over hele landet. Økt digitalisering og effektivisering må fr</w:t>
      </w:r>
      <w:r>
        <w:t>i</w:t>
      </w:r>
      <w:r>
        <w:t>gjøre mer tid til helsehjelp og pleie. Regjeringen vil legge til rette for at den medisinsk-teknologiske utviklingen kan komme pasienter til gode, innenfor en bærekraftig ressursbruk, samtidig som den enkeltes helse, retti</w:t>
      </w:r>
      <w:r>
        <w:t>g</w:t>
      </w:r>
      <w:r>
        <w:t>heter og personvern ivaretas. For å oppnå disse målene, vil samarbeid med næringslivet om utvikling av nye løsninger være viktig.</w:t>
      </w:r>
    </w:p>
    <w:p w:rsidR="00D24D21" w:rsidRDefault="00D24D21" w:rsidP="00CE47F2">
      <w:r>
        <w:t>Regjeringen har som mål å styrke helseforskningen og gi flere pasienter tilgang til utprøvende b</w:t>
      </w:r>
      <w:r>
        <w:t>e</w:t>
      </w:r>
      <w:r>
        <w:t>handling og innovativ behandling. Utprøvende behandling skal som hovedregel skje gjennom kl</w:t>
      </w:r>
      <w:r>
        <w:t>i</w:t>
      </w:r>
      <w:r>
        <w:t>niske studier. Det er de siste årene lagt ned en betydelig innsats i å legge bedre til rette for kliniske studier i sykehussektoren.</w:t>
      </w:r>
    </w:p>
    <w:p w:rsidR="00D24D21" w:rsidRDefault="00D24D21" w:rsidP="00CE47F2">
      <w:r>
        <w:t>Regjeringen vil at pasientene skal tilbys mer presis og målrettet diagnostikk og behandling, blant a</w:t>
      </w:r>
      <w:r>
        <w:t>n</w:t>
      </w:r>
      <w:r>
        <w:t>net gjennom å legge til rette for utvikling av persontilpasset medisin. Helse- og omsorgstjenestene skal legge til rette for at resultater fra både klinisk forskning og medisinsk grunnforskning kan overføres til diagno</w:t>
      </w:r>
      <w:r>
        <w:t>s</w:t>
      </w:r>
      <w:r>
        <w:t>tikk og pasientbehandling.</w:t>
      </w:r>
    </w:p>
    <w:p w:rsidR="00D24D21" w:rsidRDefault="00D24D21" w:rsidP="00CE47F2">
      <w:r>
        <w:t>Det er et mål for regjeringen å digitalisere flere helse- og omsorgstjenester og etablere pasientens netthelsetjeneste. Det skal legges til rette for gode og mobile helseløsninger, som økt bruk av digitale selvtester, hvor også personvernet ivaretas. Det bør stimuleres til utvikling av brukervennlig ve</w:t>
      </w:r>
      <w:r>
        <w:t>l</w:t>
      </w:r>
      <w:r>
        <w:t>ferdsteknologi og legges til rette for at flere kommuner tar i bruk velferdsteknologi.</w:t>
      </w:r>
    </w:p>
    <w:p w:rsidR="00D24D21" w:rsidRDefault="00D24D21" w:rsidP="00CE47F2">
      <w:pPr>
        <w:pStyle w:val="avsnitt-undertittel"/>
      </w:pPr>
      <w:r>
        <w:t>God helse for alle</w:t>
      </w:r>
    </w:p>
    <w:p w:rsidR="00D24D21" w:rsidRDefault="00D24D21" w:rsidP="00CE47F2">
      <w:r>
        <w:t>Regjeringen vil føre en folkehelsepolitikk som bidrar til god helse og gode levekår, og som skaper muligheter for alle. Folkehelsearbeidet skal fremme befolkningens helse og trivsel. Folkehelsea</w:t>
      </w:r>
      <w:r>
        <w:t>r</w:t>
      </w:r>
      <w:r>
        <w:t>beidet skal forebygge psykisk og somatisk sykdom, skade eller lidelse. Videre skal det beskytte mot helsetrusler og arbeid for en jevnere fordeling av faktorer som påvirker helsen. God folkehelse er viktig for den enkelte og for samfunnet. Utvikling av verktøy for å følge med på og mestre egen mental og fysisk helse vil bli vikt</w:t>
      </w:r>
      <w:r>
        <w:t>i</w:t>
      </w:r>
      <w:r>
        <w:t xml:space="preserve">gere når ressursene i helse- og omsorgstjenestene blir knappere. Meld. St. 19 (2018–2019) </w:t>
      </w:r>
      <w:r>
        <w:rPr>
          <w:rStyle w:val="kursiv"/>
          <w:sz w:val="21"/>
          <w:szCs w:val="21"/>
        </w:rPr>
        <w:t>Folkehelseme</w:t>
      </w:r>
      <w:r>
        <w:rPr>
          <w:rStyle w:val="kursiv"/>
          <w:sz w:val="21"/>
          <w:szCs w:val="21"/>
        </w:rPr>
        <w:t>l</w:t>
      </w:r>
      <w:r>
        <w:rPr>
          <w:rStyle w:val="kursiv"/>
          <w:sz w:val="21"/>
          <w:szCs w:val="21"/>
        </w:rPr>
        <w:t>dinga</w:t>
      </w:r>
      <w:r>
        <w:t xml:space="preserve"> presenterer regjeringens samlede innsats for å fremme bedre folkehelse og god livskvalitet i b</w:t>
      </w:r>
      <w:r>
        <w:t>e</w:t>
      </w:r>
      <w:r>
        <w:t>folkningen. Tidlig innsats, strategi mot ensomhet, bedre folkehelse for kronisk syke og fortsatt innsats mot sosial ulikhet i helse er sentrale områder i me</w:t>
      </w:r>
      <w:r>
        <w:t>l</w:t>
      </w:r>
      <w:r>
        <w:t>dingen.</w:t>
      </w:r>
    </w:p>
    <w:p w:rsidR="00D24D21" w:rsidRDefault="00D24D21" w:rsidP="00CE47F2">
      <w:r>
        <w:t>Et godt samarbeid mellom næringslivet, det offentlige og frivillig sektor er viktig for å nå FNs b</w:t>
      </w:r>
      <w:r>
        <w:t>æ</w:t>
      </w:r>
      <w:r>
        <w:t xml:space="preserve">rekraftsmål 3: «Sikre god helse og fremme livskvalitet for alle, uansett alder». Næringslivet kan </w:t>
      </w:r>
      <w:r>
        <w:lastRenderedPageBreak/>
        <w:t>bidra med investeringer, inn</w:t>
      </w:r>
      <w:r>
        <w:t>o</w:t>
      </w:r>
      <w:r>
        <w:t>vasjon, kunnskapsoverføring og jobbskaping. Gjennom for eksempel utvikling av nye vaksiner og rimelige dia</w:t>
      </w:r>
      <w:r>
        <w:t>g</w:t>
      </w:r>
      <w:r>
        <w:t>nostiske verktøy, kan norske næringslivsaktører bidra til å løse globale helseu</w:t>
      </w:r>
      <w:r>
        <w:t>t</w:t>
      </w:r>
      <w:r>
        <w:t>fordringer.</w:t>
      </w:r>
    </w:p>
    <w:p w:rsidR="00D24D21" w:rsidRDefault="00D24D21" w:rsidP="00CE47F2">
      <w:pPr>
        <w:pStyle w:val="avsnitt-undertittel"/>
      </w:pPr>
      <w:r>
        <w:t>Sikre bærekraft gjennom nye løsninger og innovasjon</w:t>
      </w:r>
    </w:p>
    <w:p w:rsidR="00D24D21" w:rsidRDefault="00D24D21" w:rsidP="00CE47F2">
      <w:r>
        <w:t>Flere eldre bidrar til at behovet for helse- og omsorgstjenester vil øke framover. Dette kan ikke løses ved hjelp av stadig økt ressursbruk og mer helsepersonell. Løsningene ligger i nye måter å levere og organ</w:t>
      </w:r>
      <w:r>
        <w:t>i</w:t>
      </w:r>
      <w:r>
        <w:t>sere tjenestene på og i bruk av ny teknologi uten at kvaliteten på tjenestene faller. Utvikling av disse lø</w:t>
      </w:r>
      <w:r>
        <w:t>s</w:t>
      </w:r>
      <w:r>
        <w:t>ningene kan gjøres i samarbeid med næringslivet.</w:t>
      </w:r>
    </w:p>
    <w:p w:rsidR="00D24D21" w:rsidRDefault="00D24D21" w:rsidP="00CE47F2">
      <w:r>
        <w:t>Innføringen av ny teknologi endrer måten helsepersonell og andre grupper arbeider på og hvem som samarbeider. Oppgaver flyttes mellom nivåene i tjenesten, og teknologien gir også mulighet for befolkningen til å følge med på og ta vare på sin egen helse. Det endrer kompetansekrav og yrke</w:t>
      </w:r>
      <w:r>
        <w:t>s</w:t>
      </w:r>
      <w:r>
        <w:t>sammensetningen blant de som jobber i tjenestene, og det endrer rollene til helsepersonellet, stø</w:t>
      </w:r>
      <w:r>
        <w:t>t</w:t>
      </w:r>
      <w:r>
        <w:t>tefunksjoner og alle som bruker tjenestene. Økt samhandling og samarbeid mellom tjenestenivåene og med brukerne av tj</w:t>
      </w:r>
      <w:r>
        <w:t>e</w:t>
      </w:r>
      <w:r>
        <w:t>nestene og bedre informasjonsflyt er forutsetninger for å lykkes med innføring og effektiv utnytting av nye løsninger.</w:t>
      </w:r>
    </w:p>
    <w:p w:rsidR="00D24D21" w:rsidRDefault="00D24D21" w:rsidP="00CE47F2">
      <w:r>
        <w:t>Dersom gevinsten av å innføre ny teknologi skal tas ut, må nytten av teknologien overstige kostn</w:t>
      </w:r>
      <w:r>
        <w:t>a</w:t>
      </w:r>
      <w:r>
        <w:t>dene de gir. Tilgang til og hensiktsmessig bruk av teknologier som er sikre, effektive og klinisk nyttig, kan bidra til dette. Teknologi som kan bidra til flere friske leveår, er viktig for bærekraften i helse- og omsorgstj</w:t>
      </w:r>
      <w:r>
        <w:t>e</w:t>
      </w:r>
      <w:r>
        <w:t>nesten. Utvikling av ny teknologi kan bremse utgiftsveksten i den offentlige helse- og omsorg</w:t>
      </w:r>
      <w:r>
        <w:t>s</w:t>
      </w:r>
      <w:r>
        <w:t>tjenesten. I vurderingene må det tas med at ikke all ny teknologi gir bedre kvalitet eller effektivitet i pasientbehandlingen og en mer hensiktsmessig re</w:t>
      </w:r>
      <w:r>
        <w:t>s</w:t>
      </w:r>
      <w:r>
        <w:t>sursbruk. Dette gjelder for eksempel utstyr som er dyrt å anskaffe og vedlikeholde, men som bare gir marginalt bedre kvalitet sammenliknet med eksisterende behandling</w:t>
      </w:r>
      <w:r>
        <w:t>s</w:t>
      </w:r>
      <w:r>
        <w:t>former.</w:t>
      </w:r>
    </w:p>
    <w:p w:rsidR="00D24D21" w:rsidRDefault="00D24D21" w:rsidP="00CE47F2">
      <w:r>
        <w:t>Det er et mål for regjeringen at vi i Norge skal ta nye legemidler og ny teknologi raskere i bruk. Sa</w:t>
      </w:r>
      <w:r>
        <w:t>m</w:t>
      </w:r>
      <w:r>
        <w:t>tidig skal vi bruke ressursene i helse- og omsorgstjenesten mest mulig effektivt. Nye metoder som innføres i spesialisthels</w:t>
      </w:r>
      <w:r>
        <w:t>e</w:t>
      </w:r>
      <w:r>
        <w:t>tjenesten, og nye legemidler som refunderes over blåreseptordningen, skal metodevu</w:t>
      </w:r>
      <w:r>
        <w:t>r</w:t>
      </w:r>
      <w:r>
        <w:t xml:space="preserve">deres for å skape et godt beslutningsgrunnlag før innføring. Nye metoder vurderes opp mot prioriteringskriteriene som Stortinget har sluttet seg til i behandlingen av Meld. St. 34 (2015–2016) </w:t>
      </w:r>
      <w:r>
        <w:rPr>
          <w:rStyle w:val="kursiv"/>
          <w:sz w:val="21"/>
          <w:szCs w:val="21"/>
        </w:rPr>
        <w:t>Verdier i p</w:t>
      </w:r>
      <w:r>
        <w:rPr>
          <w:rStyle w:val="kursiv"/>
          <w:sz w:val="21"/>
          <w:szCs w:val="21"/>
        </w:rPr>
        <w:t>a</w:t>
      </w:r>
      <w:r>
        <w:rPr>
          <w:rStyle w:val="kursiv"/>
          <w:sz w:val="21"/>
          <w:szCs w:val="21"/>
        </w:rPr>
        <w:t>sientens helsetjeneste – Melding om prioritering</w:t>
      </w:r>
      <w:r>
        <w:t>. Kriteriene er nytte, ressursbruk og alvorlighet. Kriteriene vurderes samlet. Jo mer alvorlig en tilstand er og jo større nytte et tiltak har, jo høyere ressursbruk kan aksepteres. Det er også viktig å dokumentere metodenes effekt og sikkerhet i vanlige pasientpopulasjoner når disse er tatt i bruk i vanlig praksis. Det er et mål å e</w:t>
      </w:r>
      <w:r>
        <w:t>f</w:t>
      </w:r>
      <w:r>
        <w:t>fektivisere metodevurdering og videreutvikle systemet for innføring av nye metoder i spesialis</w:t>
      </w:r>
      <w:r>
        <w:t>t</w:t>
      </w:r>
      <w:r>
        <w:t>helsetjenesten, og folketrygdens refusjonsordninger.</w:t>
      </w:r>
    </w:p>
    <w:p w:rsidR="00D24D21" w:rsidRDefault="00D24D21" w:rsidP="00CE47F2">
      <w:r>
        <w:t>I utviklingen av helse- og omsorgssektoren implementeres ny teknologi eller nye prosesser og m</w:t>
      </w:r>
      <w:r>
        <w:t>e</w:t>
      </w:r>
      <w:r>
        <w:t>toder. Ofte skjer dette innenfor IKT eller innebærer integrering i eksisterende IKT-systemer, som ofte kr</w:t>
      </w:r>
      <w:r>
        <w:t>e</w:t>
      </w:r>
      <w:r>
        <w:t>ver investeringer i ny infrastruktur eller kostbare endringsprosesser. Dersom eksisterende systemer er for gamle eller lite integrerte, kan utviklings- og implementeringsprosessen ta lang tid. Dermed kan det ta lang tid fra investeringen skjer til gevin</w:t>
      </w:r>
      <w:r>
        <w:t>s</w:t>
      </w:r>
      <w:r>
        <w:t>tene kan tas ut. Det er derfor å arbeide systematisk med å realisere gevinstene. Dette er viktig å være oppmerksom på når det skal tas b</w:t>
      </w:r>
      <w:r>
        <w:t>e</w:t>
      </w:r>
      <w:r>
        <w:t>slutninger om tilgang til og he</w:t>
      </w:r>
      <w:r>
        <w:t>n</w:t>
      </w:r>
      <w:r>
        <w:t>siktsmessig bruk av nye teknologier.</w:t>
      </w:r>
    </w:p>
    <w:p w:rsidR="00D24D21" w:rsidRDefault="00D24D21" w:rsidP="00CE47F2">
      <w:r>
        <w:lastRenderedPageBreak/>
        <w:t>Ny nasjonal helse- og sykehusplan for perioden 2020–2023 skal skissere en overordnet strategi for å realisere pasientens helsetjeneste på en bærekraftig måte. Dette er regjeringens operative redskap for å ruste spesialisthe</w:t>
      </w:r>
      <w:r>
        <w:t>l</w:t>
      </w:r>
      <w:r>
        <w:t>setjenesten til å møte framtidens utfordringer. Planen skal angi retning og rammer for utviklingen for planperioden 2020–2023 og fram mot 2035.</w:t>
      </w:r>
    </w:p>
    <w:p w:rsidR="00D24D21" w:rsidRDefault="00D24D21" w:rsidP="00CE47F2">
      <w:pPr>
        <w:pStyle w:val="Overskrift2"/>
      </w:pPr>
      <w:r>
        <w:t>Regjeringens politikk for helsenæringen</w:t>
      </w:r>
    </w:p>
    <w:p w:rsidR="00D24D21" w:rsidRDefault="00D24D21" w:rsidP="00CE47F2">
      <w:r>
        <w:t>Regjeringen vil bidra til å bedre den norske helsenæringens konkurransekraft og samtidig bidra til en mer bærekraftig helse- og omsorgstjeneste, i form av mer effektiv forebygging, behandling og o</w:t>
      </w:r>
      <w:r>
        <w:t>m</w:t>
      </w:r>
      <w:r>
        <w:t>sorg. Utvikling av bedre helse- og omsorgstjenester fordrer et konstruktivt samarbeid med helse</w:t>
      </w:r>
      <w:r>
        <w:t>n</w:t>
      </w:r>
      <w:r>
        <w:t>æringen n</w:t>
      </w:r>
      <w:r>
        <w:t>a</w:t>
      </w:r>
      <w:r>
        <w:t>sjonalt og internasjonalt. Slik kan en innovativ og konkurransedyktig norsk helsenæring bidra til at he</w:t>
      </w:r>
      <w:r>
        <w:t>l</w:t>
      </w:r>
      <w:r>
        <w:t>sepolitiske mål nås. Samtidig kan et bedre samarbeid danne grunnlag for vekst i norsk helsenæring. Det helsepol</w:t>
      </w:r>
      <w:r>
        <w:t>i</w:t>
      </w:r>
      <w:r>
        <w:t>tiske målet om god og effektiv pasientbehandling vil indirekte kunne bidra til å nå det næringspolitiske målet om økt samlet verdiskaping i norsk økonomi innenfor b</w:t>
      </w:r>
      <w:r>
        <w:t>æ</w:t>
      </w:r>
      <w:r>
        <w:t>rekraftige rammer.</w:t>
      </w:r>
    </w:p>
    <w:p w:rsidR="00D24D21" w:rsidRDefault="00D24D21" w:rsidP="00CE47F2">
      <w:r>
        <w:t>Utgangspunktet for norsk helsenæring er godt, men det er barrierer som kan gjøre det vanskelig å vokse, for enkeltvirksomheter og som næring. I arbeidet med å bedre helsenæringens konkurrans</w:t>
      </w:r>
      <w:r>
        <w:t>e</w:t>
      </w:r>
      <w:r>
        <w:t>kraft er det nødvendig å bygge ned barrierene. Med positiv utvikling på områdene som er spesielt krevende, vil både næringspolitiske og hels</w:t>
      </w:r>
      <w:r>
        <w:t>e</w:t>
      </w:r>
      <w:r>
        <w:t>politiske mål kunne nås. Regjeringens politikk for å oppnå dette, og som presenteres nærmere i de følgende k</w:t>
      </w:r>
      <w:r>
        <w:t>a</w:t>
      </w:r>
      <w:r>
        <w:t>pitlene, er:</w:t>
      </w:r>
    </w:p>
    <w:p w:rsidR="00D24D21" w:rsidRDefault="00D24D21" w:rsidP="00CE47F2">
      <w:pPr>
        <w:pStyle w:val="Liste"/>
      </w:pPr>
      <w:r>
        <w:t>å ha en sterkere kultur for dialog og kontakt mellom næringsliv, universitets- og høysk</w:t>
      </w:r>
      <w:r>
        <w:t>o</w:t>
      </w:r>
      <w:r>
        <w:t>lesektoren og helse- og omsorgssektoren.</w:t>
      </w:r>
    </w:p>
    <w:p w:rsidR="00D24D21" w:rsidRDefault="00D24D21" w:rsidP="00CE47F2">
      <w:pPr>
        <w:pStyle w:val="Liste"/>
      </w:pPr>
      <w:r>
        <w:t>å arbeide for gode rammebetingelser generelt og for forskning og utvikling spesielt.</w:t>
      </w:r>
    </w:p>
    <w:p w:rsidR="00D24D21" w:rsidRDefault="00D24D21" w:rsidP="00CE47F2">
      <w:pPr>
        <w:pStyle w:val="Liste"/>
      </w:pPr>
      <w:r>
        <w:t>at helse- og omsorgstjenesten skal være en attraktiv samarbeidspartner for næringslivet.</w:t>
      </w:r>
    </w:p>
    <w:p w:rsidR="00D24D21" w:rsidRDefault="00D24D21" w:rsidP="00CE47F2">
      <w:pPr>
        <w:pStyle w:val="Liste"/>
      </w:pPr>
      <w:r>
        <w:t>å legge til rette for økt kommersialisering av medisinsk og helsefaglig forskning og ideer fra helse- og omsorgssektoren.</w:t>
      </w:r>
    </w:p>
    <w:p w:rsidR="00D24D21" w:rsidRDefault="00D24D21" w:rsidP="00CE47F2">
      <w:pPr>
        <w:pStyle w:val="Overskrift1"/>
      </w:pPr>
      <w:r>
        <w:t>Kultur og ledelse</w:t>
      </w:r>
    </w:p>
    <w:p w:rsidR="00D24D21" w:rsidRDefault="00D24D21" w:rsidP="00CE47F2">
      <w:pPr>
        <w:pStyle w:val="Overskrift2"/>
      </w:pPr>
      <w:r>
        <w:t>Regjeringens politikk</w:t>
      </w:r>
    </w:p>
    <w:p w:rsidR="00D24D21" w:rsidRDefault="00D24D21" w:rsidP="00CE47F2">
      <w:r>
        <w:t>Utfordringene i helse- og omsorgssektoren er sammensatte. Alle sammenlignbare land står overfor ti</w:t>
      </w:r>
      <w:r>
        <w:t>l</w:t>
      </w:r>
      <w:r>
        <w:t>svarende problemstillinger som Norge. Det er imidlertid ingen land som har kommet fram til en styring og organisering som løser alle utfordringer.</w:t>
      </w:r>
    </w:p>
    <w:p w:rsidR="00D24D21" w:rsidRDefault="00D24D21" w:rsidP="00CE47F2">
      <w:r>
        <w:t>Hovedutfordringene for videre vekst og utvikling i helsenæringen ligger ikke bare i næringen selv, men også i helse- og omsorgssektoren.</w:t>
      </w:r>
    </w:p>
    <w:p w:rsidR="00D24D21" w:rsidRDefault="00D24D21" w:rsidP="00CE47F2">
      <w:r>
        <w:t>Norge har et mangfoldig næringsliv som er internasjonalt orientert og i all hovedsak opererer i markeder med god konkurranse. Dette har bidratt til at norsk næringsliv er effektivt, innovativt og nyskapende. Næringslivets inn</w:t>
      </w:r>
      <w:r>
        <w:t>o</w:t>
      </w:r>
      <w:r>
        <w:t>vasjonskraft kan, dersom det gjøres på riktig måte, bidra til både bedre løsninger og en mer effektiv ressursbruk i helsesektoren.</w:t>
      </w:r>
    </w:p>
    <w:p w:rsidR="00D24D21" w:rsidRDefault="00D24D21" w:rsidP="00CE47F2">
      <w:r>
        <w:t>Å se til næringslivet og samarbeide om løsninger handler ikke om at helsesektoren skal bli som næringslivet. Det handler om at næringslivet, med sine arbeidsformer kan bistå helsetjenesten og helseforvaltningen til å nå sine mål. Det er ledelsen i helse- og omsorgstjenesten sitt ansvar å ane</w:t>
      </w:r>
      <w:r>
        <w:t>r</w:t>
      </w:r>
      <w:r>
        <w:lastRenderedPageBreak/>
        <w:t>kjenne dette, å utnytte dette potensialet og å gjøre det på en hensiktsmessig måte. Regjeringen mener det allerede i dag er et handlingsrom i regelverket og budsjet</w:t>
      </w:r>
      <w:r>
        <w:t>t</w:t>
      </w:r>
      <w:r>
        <w:t>rammer som kan utnyttes bedre.</w:t>
      </w:r>
    </w:p>
    <w:p w:rsidR="00D24D21" w:rsidRDefault="00D24D21" w:rsidP="00CE47F2">
      <w:r>
        <w:t>Regjeringen ønsker en sterkere kultur for samarbeid mellom næringsliv og helse- og omsorgssek</w:t>
      </w:r>
      <w:r>
        <w:t>t</w:t>
      </w:r>
      <w:r>
        <w:t>oren. Næringslivet og helse- og omsorgssektoren har ulike ansvar og interesser. Helse- og o</w:t>
      </w:r>
      <w:r>
        <w:t>m</w:t>
      </w:r>
      <w:r>
        <w:t>sorgssektoren skal være en kr</w:t>
      </w:r>
      <w:r>
        <w:t>e</w:t>
      </w:r>
      <w:r>
        <w:t>vende utviklingspartner og kunde, men samtidig stille høye krav til dokumentasjon. Det kreves profesjonalitet og forutsigbarhet i disse rollene. Regjeringen forventer at helse- og omsorgstjene</w:t>
      </w:r>
      <w:r>
        <w:t>s</w:t>
      </w:r>
      <w:r>
        <w:t>ten og helseforvaltningen har gode prinsipper og rutiner for samarbeid med næringslivet.</w:t>
      </w:r>
    </w:p>
    <w:p w:rsidR="00D24D21" w:rsidRDefault="00D24D21" w:rsidP="00CE47F2">
      <w:r>
        <w:t>I dette kapittelet beskrives betydningen av ledelse for å skape en nødvendig kultur for innovasjon og utvikling i helse- og omsorgstjenestene og næringslivets rolle i dette. Kapittelet drøfter videre det offen</w:t>
      </w:r>
      <w:r>
        <w:t>t</w:t>
      </w:r>
      <w:r>
        <w:t>liges og privates rolle i å utvikle nye tjenester, særlig innenfor IKT. Videre beskrives rammene for næringslivssamarbeid samt ulike former for samarbeidsarenaer. For å bidra til at innovasjon</w:t>
      </w:r>
      <w:r>
        <w:t>s</w:t>
      </w:r>
      <w:r>
        <w:t>kraften, kompetansen og ressursene i næringslivet i større grad skal gi gevinster for helse- og o</w:t>
      </w:r>
      <w:r>
        <w:t>m</w:t>
      </w:r>
      <w:r>
        <w:t>sorgstjenestene, vil regjeringen:</w:t>
      </w:r>
    </w:p>
    <w:p w:rsidR="00D24D21" w:rsidRDefault="00D24D21" w:rsidP="00CE47F2">
      <w:pPr>
        <w:pStyle w:val="Liste"/>
      </w:pPr>
      <w:r>
        <w:t>tydeliggjøre forventninger om samarbeid med næringslivet i oppdragsdokumentet til de regionale hels</w:t>
      </w:r>
      <w:r>
        <w:t>e</w:t>
      </w:r>
      <w:r>
        <w:t>foretakene og i tildelingsbrev til underliggende etater</w:t>
      </w:r>
    </w:p>
    <w:p w:rsidR="00D24D21" w:rsidRDefault="00D24D21" w:rsidP="00CE47F2">
      <w:pPr>
        <w:pStyle w:val="Liste"/>
      </w:pPr>
      <w:r>
        <w:t>overføre ansvar, oppgaver og ansatte knyttet til eksisterende e-helseløsninger fra Direktoratet for e-helse til i Norsk Helsenett SF</w:t>
      </w:r>
    </w:p>
    <w:p w:rsidR="00D24D21" w:rsidRDefault="00D24D21" w:rsidP="00CE47F2">
      <w:pPr>
        <w:pStyle w:val="Liste"/>
      </w:pPr>
      <w:r>
        <w:t>legge fram en ny nasjonal helse- og sykehusplan hvor samhandling, teknologi og kompetanse er sen</w:t>
      </w:r>
      <w:r>
        <w:t>t</w:t>
      </w:r>
      <w:r>
        <w:t>rale temaer</w:t>
      </w:r>
    </w:p>
    <w:p w:rsidR="00D24D21" w:rsidRDefault="00D24D21" w:rsidP="00CE47F2">
      <w:pPr>
        <w:pStyle w:val="Liste"/>
      </w:pPr>
      <w:r>
        <w:t>fortsette utviklingsarbeidet av finansieringssystemet til sykehusene for at det bedre skal understøtte sammenhengende forløp, bruk av ny teknologi og innovasjon i tjenesteutfo</w:t>
      </w:r>
      <w:r>
        <w:t>r</w:t>
      </w:r>
      <w:r>
        <w:t>mingen</w:t>
      </w:r>
    </w:p>
    <w:p w:rsidR="00D24D21" w:rsidRDefault="00D24D21" w:rsidP="00CE47F2">
      <w:pPr>
        <w:pStyle w:val="Liste"/>
      </w:pPr>
      <w:r>
        <w:t>videreutvikle HelseOmsorg21-rådet som samhandlingsarena for næringslivssamarbeid</w:t>
      </w:r>
    </w:p>
    <w:p w:rsidR="00D24D21" w:rsidRDefault="00D24D21" w:rsidP="00CE47F2">
      <w:pPr>
        <w:pStyle w:val="Liste"/>
      </w:pPr>
      <w:r>
        <w:t>vurdere hvordan innovasjonsaktivitet i de kommunale helse- og omsorgstjenestene best kan utvikles</w:t>
      </w:r>
    </w:p>
    <w:p w:rsidR="00D24D21" w:rsidRDefault="00D24D21" w:rsidP="00CE47F2">
      <w:pPr>
        <w:pStyle w:val="Liste"/>
      </w:pPr>
      <w:r>
        <w:t>tilrettelegge for at Husbanken kan videreutvikle veiledningsarbeidet overfor kommuner og berørte bransjer for å stimulere til kunnskapsutvikling og nye løsninger på leverandørsiden i forbindelse med forvaltningen av investeringstilskuddet til heldøgns omsorgsplasser</w:t>
      </w:r>
    </w:p>
    <w:p w:rsidR="00D24D21" w:rsidRDefault="00D24D21" w:rsidP="00CE47F2">
      <w:pPr>
        <w:pStyle w:val="Liste"/>
      </w:pPr>
      <w:r>
        <w:t>legge til rette for lederutvikling innenfor innovasjon og næringsutvikling, herunder at dette ivaretas i det nye topplederprogrammet for ledere i spesialisthelsetjenesten og kommunale helse- og omsorg</w:t>
      </w:r>
      <w:r>
        <w:t>s</w:t>
      </w:r>
      <w:r>
        <w:t>tjenester</w:t>
      </w:r>
    </w:p>
    <w:p w:rsidR="00D24D21" w:rsidRDefault="00D24D21" w:rsidP="00CE47F2">
      <w:pPr>
        <w:pStyle w:val="Overskrift2"/>
      </w:pPr>
      <w:r>
        <w:t>Sammensatte problemstillinger krever god ledelse</w:t>
      </w:r>
    </w:p>
    <w:p w:rsidR="00D24D21" w:rsidRDefault="00D24D21" w:rsidP="00CE47F2">
      <w:r>
        <w:t>Arbeidet med å sikre en bærekraftig og framtidsrettet helse- og omsorgstjeneste med god kvalitet er viktig for regjeringen. Norge vil i årene framover få flere personer med sammensatte og kroniske sykdo</w:t>
      </w:r>
      <w:r>
        <w:t>m</w:t>
      </w:r>
      <w:r>
        <w:t>mer, høyere krav fra pasienter og pårørende samt en aldrende befolkning. Utviklingen vil øke behovene for helse- og omsorgstjenester, og sette bærekraften i offentlige finanser på prøve, jf. omtale i kapittel 3.</w:t>
      </w:r>
    </w:p>
    <w:p w:rsidR="00D24D21" w:rsidRDefault="00D24D21" w:rsidP="00CE47F2">
      <w:r>
        <w:t>God ledelse er viktig for å forvalte, utvikle og omstille helsetjenesten. Det er et ledelsesansvar å utnytte handlingsrommet i regelverk og budsjett slik at ressursene utnyttes mest mulig effektivt, og at p</w:t>
      </w:r>
      <w:r>
        <w:t>a</w:t>
      </w:r>
      <w:r>
        <w:t>sienter og brukere mottar tjenester som holder høy kvalitet. Det er et ledelsesansvar å legge til rette for utvikling av tjenestene i et lengre tidsperspektiv, og det må balanseres mot en effektiv daglig drift og løsning av u</w:t>
      </w:r>
      <w:r>
        <w:t>t</w:t>
      </w:r>
      <w:r>
        <w:t>fordringer på kort sikt.</w:t>
      </w:r>
    </w:p>
    <w:p w:rsidR="00D24D21" w:rsidRDefault="00D24D21" w:rsidP="00CE47F2">
      <w:r>
        <w:lastRenderedPageBreak/>
        <w:t>For å sikre gode løsninger og en mer effektiv ressursbruk bør innovasjonskraften i næringslivet i større grad u</w:t>
      </w:r>
      <w:r>
        <w:t>t</w:t>
      </w:r>
      <w:r>
        <w:t>nyttes. Det er grunn til å tro at det finnes flere innovative bedrifter som vil kunne bidra til å løse flere oppgaver på en bedre måte. Likevel møter de hindringer som gjør samarbeid vanskelig. Dette er uheldig for helsetjenesten og reduserer også bedriftenes muligheter for å vokse, jf. omtale i kapittel 4.</w:t>
      </w:r>
    </w:p>
    <w:p w:rsidR="00D24D21" w:rsidRDefault="00D24D21" w:rsidP="00CE47F2">
      <w:r>
        <w:t>Helsetjenestens størrelse og mangfold tilsier også at det bør være større rom for å arbeide med i</w:t>
      </w:r>
      <w:r>
        <w:t>n</w:t>
      </w:r>
      <w:r>
        <w:t>novasjoner internt på arbeidsplassen. Det er ledelsen sitt ansvar å anerkjenne potensialet i nye lø</w:t>
      </w:r>
      <w:r>
        <w:t>s</w:t>
      </w:r>
      <w:r>
        <w:t>ninger og å være imøtekommende for gode forslag.</w:t>
      </w:r>
    </w:p>
    <w:p w:rsidR="00D24D21" w:rsidRDefault="00D24D21" w:rsidP="00CE47F2">
      <w:r>
        <w:t xml:space="preserve">I helse- og omsorgstjenesten finnes det mange eksempler på prosjekter og initiativ som har lykkes. Det kan være fristende å raskt generalisere og trekke konklusjoner. Men et godt eksempel forteller ikke </w:t>
      </w:r>
      <w:r>
        <w:rPr>
          <w:rStyle w:val="kursiv"/>
          <w:sz w:val="21"/>
          <w:szCs w:val="21"/>
        </w:rPr>
        <w:t xml:space="preserve">hvorfor </w:t>
      </w:r>
      <w:r>
        <w:t>man har lykkes. Et identisk eksempel kan gi et dårligere resultat et annet sted, siden tilfeldigheter kan ha spilt inn. Et sykehus kan ha lavt sykefravær på grunn av lavt arbeidspress, innovative, nye lø</w:t>
      </w:r>
      <w:r>
        <w:t>s</w:t>
      </w:r>
      <w:r>
        <w:t>ninger eller ulike ytre forhold. Et eksempel forteller ikke hvordan situasjonen ville ha vært med et annet arbeidspress eller andre løsninger. Det er derfor viktig at tiltak som igangsettes i helse- og omsorgssek</w:t>
      </w:r>
      <w:r>
        <w:t>t</w:t>
      </w:r>
      <w:r>
        <w:t>oren er evaluerbare, slik at man kan undersøke om det faktisk virker før resultatene generaliseres og brukes flere steder.</w:t>
      </w:r>
    </w:p>
    <w:p w:rsidR="00D24D21" w:rsidRDefault="00D24D21" w:rsidP="00CE47F2">
      <w:pPr>
        <w:pStyle w:val="Overskrift3"/>
      </w:pPr>
      <w:r>
        <w:t>Innovasjonskultur</w:t>
      </w:r>
    </w:p>
    <w:p w:rsidR="00D24D21" w:rsidRDefault="00D24D21" w:rsidP="00CE47F2">
      <w:r>
        <w:t>Å skape en kultur som fremmer forbedring og innovasjon er sentralt i arbeidet med å videreutvikle pas</w:t>
      </w:r>
      <w:r>
        <w:t>i</w:t>
      </w:r>
      <w:r>
        <w:t>entens helsetjeneste. En kultur for innovasjon kan virke som en drivkraft for utviklingsarbeid, nyskaping og kreativitet. Manglende innovasjonskultur kan bremse eller hindre motivasjon for å finne gode løsnin</w:t>
      </w:r>
      <w:r>
        <w:t>g</w:t>
      </w:r>
      <w:r>
        <w:t>er på konkrete problemstillinger.</w:t>
      </w:r>
    </w:p>
    <w:p w:rsidR="00D24D21" w:rsidRDefault="00D24D21" w:rsidP="00CE47F2">
      <w:r>
        <w:t>Det kan være vanskelige å prioritere innovasjon en travel hverdag i helse- og omsorgstjenesten, der hovedoppgaven er pasientbehandling. Det er derfor viktig at ledelsen gir tydelige signaler om at innovasjon skal prioriteres, sa</w:t>
      </w:r>
      <w:r>
        <w:t>m</w:t>
      </w:r>
      <w:r>
        <w:t>tidig som det gis rom og mulighet for det. Ledere må etterspørre innovasjon i egen virksomhet, legge til rette for at dette kan skje, åpne for risikohåndtering knyttet til innovasjon og følge med på om gode ideer utvikles videre og spres i hele institusjonen eller tjenesten. De bør også ane</w:t>
      </w:r>
      <w:r>
        <w:t>r</w:t>
      </w:r>
      <w:r>
        <w:t>kjenne dem som bidrar til innovasjon, for eksempel ved å være referansekunde til næringslivet.</w:t>
      </w:r>
    </w:p>
    <w:p w:rsidR="00D24D21" w:rsidRDefault="00D24D21" w:rsidP="00CE47F2">
      <w:r>
        <w:rPr>
          <w:rStyle w:val="kursiv"/>
          <w:sz w:val="21"/>
          <w:szCs w:val="21"/>
        </w:rPr>
        <w:t>Velferdsteknologiprogrammet (2013–2020)</w:t>
      </w:r>
      <w:r>
        <w:t xml:space="preserve"> viser at det tar tid å etablere en innovasjonskultur, og at det ikke skjer uten innsats og et tydelig mål. Det må være godt forankret, initiert og aktivt støttet fra kommunens eller virksomhetens øverste ledelse. Ledelsen i helse- og omsorgstjenesten og forval</w:t>
      </w:r>
      <w:r>
        <w:t>t</w:t>
      </w:r>
      <w:r>
        <w:t>ningen må sørge for å etablere en god dialog med brukerne av tjenestene for å få et best mulig bilde av deres behov. Det er også viktig at personell som skal ta i bruk de nye løsningene, blir hørt og at man har systemer for slike tilbakemeldinger. Samtidig vil det i mange tilfeller være viktig å ha tett dialog med aktørene i he</w:t>
      </w:r>
      <w:r>
        <w:t>l</w:t>
      </w:r>
      <w:r>
        <w:t>senæringen, slik at de blir i stand til å utvikle tjenester og produkter som på best mulig måte svarer til helse- og omsorgssektorens behov.</w:t>
      </w:r>
    </w:p>
    <w:p w:rsidR="00D24D21" w:rsidRDefault="00D24D21" w:rsidP="00CE47F2">
      <w:r>
        <w:t>Utviklingen av de kommunale helse- og omsorgstjenestene er viktig for å møte framtidige utfor</w:t>
      </w:r>
      <w:r>
        <w:t>d</w:t>
      </w:r>
      <w:r>
        <w:t>ringer, og ansvaret for en slik utvikling ligger hos ledelsen. Det kan være nyttig for ledelsen i kommunal se</w:t>
      </w:r>
      <w:r>
        <w:t>k</w:t>
      </w:r>
      <w:r>
        <w:t>tor å være en del av et nettverk som samarbeider om innovasjon, samt å ha kontakt med næringslivet og ulike kunnskapsmiljøer i sin region, jf. boks 6.2. Noen ganger kan en vellykket tjenesteimplementering og et godt resultat i en tjeneste være overførbar til andre. Dette har for e</w:t>
      </w:r>
      <w:r>
        <w:t>k</w:t>
      </w:r>
      <w:r>
        <w:lastRenderedPageBreak/>
        <w:t>sempel skjedd med trygghetssk</w:t>
      </w:r>
      <w:r>
        <w:t>a</w:t>
      </w:r>
      <w:r>
        <w:t>pende teknologi, der de som bor hjemme og mottar tjenester har nytte av å ta i bruk løsninger som gir trygghet, mestring og sikkerhet.</w:t>
      </w:r>
    </w:p>
    <w:p w:rsidR="00D24D21" w:rsidRDefault="00D24D21" w:rsidP="00CE47F2">
      <w:r>
        <w:t>Nasjonal lederutdanning for primærhelsetjenesten ble etablert i 2015 ved Handelshøyskolen BI og finansieres av Helse- og omsorgsdepartementet. Målet for utdanningen er blant annet å utvikle kompetanse til å gjennomføre organisasjonsutvikling og personalrettet utviklingsarbeid, og å utvikle endringskomp</w:t>
      </w:r>
      <w:r>
        <w:t>e</w:t>
      </w:r>
      <w:r>
        <w:t>tanse for effektiv omstilling og samhandling med forvaltning, ansatte, brukere og samfunnet – inklusive næringslivet. Følgeevalueringen viser at blant de som har fullført, rapporterer flere om endringer i sine virksomheter som følge av prosjektoppgavene deltakerne utarbeidet under studiet. Økt kunnskap og trygghet i lederrollen, kombinert med kunnskaper og fe</w:t>
      </w:r>
      <w:r>
        <w:t>r</w:t>
      </w:r>
      <w:r>
        <w:t>digheter innenfor innovasjon, har gitt ledere som tør å tenke utradisjonelt.</w:t>
      </w:r>
    </w:p>
    <w:p w:rsidR="00D24D21" w:rsidRDefault="00D24D21" w:rsidP="00CE47F2">
      <w:pPr>
        <w:pStyle w:val="avsnitt-undertittel"/>
      </w:pPr>
      <w:r>
        <w:t>Felles topplederprogram for ledere i sykehus og kommuner</w:t>
      </w:r>
    </w:p>
    <w:p w:rsidR="00D24D21" w:rsidRDefault="00D24D21" w:rsidP="00CE47F2">
      <w:r>
        <w:t>Spesialisthelsetjenesten har siden 2004 arrangert topplederprogram for ledere i spesialisthelsetj</w:t>
      </w:r>
      <w:r>
        <w:t>e</w:t>
      </w:r>
      <w:r>
        <w:t>nesten. Programmet har varighet på seks måneder hvor tre måneder er fulltidsstudium, og tre m</w:t>
      </w:r>
      <w:r>
        <w:t>å</w:t>
      </w:r>
      <w:r>
        <w:t>neder er til fordypningsoppgave ved siden av full jobb. Topplederprogrammet har blitt gjennomført årlig med 30 de</w:t>
      </w:r>
      <w:r>
        <w:t>l</w:t>
      </w:r>
      <w:r>
        <w:t>takere. Målgruppen har vært kommende toppledere i spesialisthelsetjenesten.</w:t>
      </w:r>
    </w:p>
    <w:p w:rsidR="00D24D21" w:rsidRDefault="00D24D21" w:rsidP="00CE47F2">
      <w:r>
        <w:t xml:space="preserve">I Meld St. 26 (2014–2015) </w:t>
      </w:r>
      <w:r>
        <w:rPr>
          <w:rStyle w:val="kursiv"/>
          <w:sz w:val="21"/>
          <w:szCs w:val="21"/>
        </w:rPr>
        <w:t>Fremtidens primærhelsetjeneste – nærhet og helhet</w:t>
      </w:r>
      <w:r>
        <w:t xml:space="preserve"> ble det uttrykt at Regj</w:t>
      </w:r>
      <w:r>
        <w:t>e</w:t>
      </w:r>
      <w:r>
        <w:t>ringen vil legge til rette for deltakelse for ledere i den kommunale helse- og omsorgstjenesten.</w:t>
      </w:r>
    </w:p>
    <w:p w:rsidR="00D24D21" w:rsidRDefault="00D24D21" w:rsidP="00CE47F2">
      <w:r>
        <w:t>Helseministeren har i felles foretaksmøte i januar 2019 bedt de regionale helseforetakene om, sammen med KS, å utvikle et nytt felles topplederprogram for ledere i spesialisthelsetjenesten og kommunale helse- og omsorgstjenester. Dette skal erstatte dagens topplederprogram for helsefor</w:t>
      </w:r>
      <w:r>
        <w:t>e</w:t>
      </w:r>
      <w:r>
        <w:t>takene. Progra</w:t>
      </w:r>
      <w:r>
        <w:t>m</w:t>
      </w:r>
      <w:r>
        <w:t>met skal kunne gjennomføres i kombinasjon med ordinær jobb, være knyttet opp til en akkreditert utdanningsi</w:t>
      </w:r>
      <w:r>
        <w:t>n</w:t>
      </w:r>
      <w:r>
        <w:t>stitusjon og gi studiepoeng. Det vil være naturlig at dette programmet inneholder programposter knyttet til innovasjon.</w:t>
      </w:r>
    </w:p>
    <w:p w:rsidR="00D24D21" w:rsidRDefault="00D24D21" w:rsidP="00CE47F2">
      <w:pPr>
        <w:pStyle w:val="tittel-ramme"/>
      </w:pPr>
      <w:r>
        <w:t>Håndverkskultur møter industrikultur</w:t>
      </w:r>
    </w:p>
    <w:p w:rsidR="00D24D21" w:rsidRDefault="00D24D21" w:rsidP="00CE47F2">
      <w:r>
        <w:t>I boken «Intervensjonssenteret ved Rikshospitalet og den industrielle revolusjonen i helsevesenet»</w:t>
      </w:r>
      <w:r>
        <w:rPr>
          <w:rStyle w:val="skrift-hevet"/>
          <w:sz w:val="21"/>
          <w:szCs w:val="21"/>
        </w:rPr>
        <w:t>1</w:t>
      </w:r>
      <w:r>
        <w:t>, beskriver professor Erik Fosse det han opplever som et møte mellom håndverkskultur og industr</w:t>
      </w:r>
      <w:r>
        <w:t>i</w:t>
      </w:r>
      <w:r>
        <w:t>kultur på sykehuset. Klinikerne representerer her håndverkskulturen, mens ledelsen eller helse</w:t>
      </w:r>
      <w:r>
        <w:t>n</w:t>
      </w:r>
      <w:r>
        <w:t>æringen repr</w:t>
      </w:r>
      <w:r>
        <w:t>e</w:t>
      </w:r>
      <w:r>
        <w:t>senterer industrikulturen. Etter Fosses syn er legene fortsatt organisert og tenker som håndverkere, mens styringsmodellen er tilpasset industribedrifter. Dette har gitt flere utfordringer i samhandlingen og har skapt konfliktlinjer mellom de to kulturene. For eksempel er produktutvikling i håndverkskulturen int</w:t>
      </w:r>
      <w:r>
        <w:t>e</w:t>
      </w:r>
      <w:r>
        <w:t>grert i produksjonen. Håndverkeren utvikler sitt fag gjennom å utøve det. I en industriell samme</w:t>
      </w:r>
      <w:r>
        <w:t>n</w:t>
      </w:r>
      <w:r>
        <w:t>heng skilles produktutvikling og produksjon. Nye produkter utvikles i en utviklingsavdeling. Slik Fosse bes</w:t>
      </w:r>
      <w:r>
        <w:t>k</w:t>
      </w:r>
      <w:r>
        <w:t>river det, utvikles det fortsatt nye metoder i produksjonslinjen hos sykehusene. Det gjør at metoder som krever tverrfaglighet innføres langsomt.</w:t>
      </w:r>
    </w:p>
    <w:p w:rsidR="00D24D21" w:rsidRDefault="00D24D21" w:rsidP="00CE47F2">
      <w:pPr>
        <w:pStyle w:val="ramme-noter"/>
      </w:pPr>
      <w:r>
        <w:rPr>
          <w:rStyle w:val="skrift-hevet"/>
          <w:sz w:val="17"/>
          <w:szCs w:val="17"/>
        </w:rPr>
        <w:t>1</w:t>
      </w:r>
      <w:r>
        <w:tab/>
        <w:t xml:space="preserve">Fosse, E. (2007). </w:t>
      </w:r>
      <w:r>
        <w:rPr>
          <w:rStyle w:val="kursiv"/>
          <w:sz w:val="17"/>
          <w:szCs w:val="17"/>
        </w:rPr>
        <w:t xml:space="preserve">Intervensjonssenteret ved Rikshospitalet og den industrielle revolusjonen i helsevesenet. </w:t>
      </w:r>
      <w:r>
        <w:t>Michael, Det norske medicinske Selskab.</w:t>
      </w:r>
    </w:p>
    <w:p w:rsidR="004D54F7" w:rsidRPr="004D54F7" w:rsidRDefault="004D54F7" w:rsidP="004D54F7">
      <w:pPr>
        <w:pStyle w:val="tabell-tittel"/>
      </w:pPr>
      <w:r>
        <w:t>Forskjeller i verdisyn mellom en håndverkskultur og en industrikultur</w:t>
      </w:r>
    </w:p>
    <w:p w:rsidR="00D24D21" w:rsidRDefault="00D24D21" w:rsidP="00CE47F2">
      <w:pPr>
        <w:pStyle w:val="Tabellnavn"/>
      </w:pPr>
      <w:r>
        <w:t>03J1xx2</w:t>
      </w:r>
    </w:p>
    <w:tbl>
      <w:tblPr>
        <w:tblStyle w:val="StandardTabell"/>
        <w:tblW w:w="0" w:type="auto"/>
        <w:tblLayout w:type="fixed"/>
        <w:tblLook w:val="04A0" w:firstRow="1" w:lastRow="0" w:firstColumn="1" w:lastColumn="0" w:noHBand="0" w:noVBand="1"/>
      </w:tblPr>
      <w:tblGrid>
        <w:gridCol w:w="3060"/>
        <w:gridCol w:w="3060"/>
        <w:gridCol w:w="3060"/>
      </w:tblGrid>
      <w:tr w:rsidR="00D24D21" w:rsidTr="00557C44">
        <w:trPr>
          <w:trHeight w:val="360"/>
        </w:trPr>
        <w:tc>
          <w:tcPr>
            <w:tcW w:w="3060" w:type="dxa"/>
            <w:shd w:val="clear" w:color="auto" w:fill="FFFFFF"/>
          </w:tcPr>
          <w:p w:rsidR="00D24D21" w:rsidRDefault="00D24D21" w:rsidP="00557C44"/>
        </w:tc>
        <w:tc>
          <w:tcPr>
            <w:tcW w:w="3060" w:type="dxa"/>
          </w:tcPr>
          <w:p w:rsidR="00D24D21" w:rsidRDefault="00D24D21" w:rsidP="00557C44">
            <w:r>
              <w:t>Håndverk</w:t>
            </w:r>
          </w:p>
        </w:tc>
        <w:tc>
          <w:tcPr>
            <w:tcW w:w="3060" w:type="dxa"/>
          </w:tcPr>
          <w:p w:rsidR="00D24D21" w:rsidRDefault="00D24D21" w:rsidP="00557C44">
            <w:r>
              <w:t>Industri</w:t>
            </w:r>
          </w:p>
        </w:tc>
      </w:tr>
      <w:tr w:rsidR="00D24D21" w:rsidTr="00557C44">
        <w:trPr>
          <w:trHeight w:val="380"/>
        </w:trPr>
        <w:tc>
          <w:tcPr>
            <w:tcW w:w="3060" w:type="dxa"/>
          </w:tcPr>
          <w:p w:rsidR="00D24D21" w:rsidRDefault="00D24D21" w:rsidP="00557C44">
            <w:r>
              <w:lastRenderedPageBreak/>
              <w:t>Eierskap</w:t>
            </w:r>
          </w:p>
        </w:tc>
        <w:tc>
          <w:tcPr>
            <w:tcW w:w="3060" w:type="dxa"/>
          </w:tcPr>
          <w:p w:rsidR="00D24D21" w:rsidRDefault="00D24D21" w:rsidP="00557C44">
            <w:r>
              <w:t>Individuell</w:t>
            </w:r>
          </w:p>
        </w:tc>
        <w:tc>
          <w:tcPr>
            <w:tcW w:w="3060" w:type="dxa"/>
          </w:tcPr>
          <w:p w:rsidR="00D24D21" w:rsidRDefault="00D24D21" w:rsidP="00557C44">
            <w:r>
              <w:t>Bedrift</w:t>
            </w:r>
          </w:p>
        </w:tc>
      </w:tr>
      <w:tr w:rsidR="00D24D21" w:rsidTr="00557C44">
        <w:trPr>
          <w:trHeight w:val="380"/>
        </w:trPr>
        <w:tc>
          <w:tcPr>
            <w:tcW w:w="3060" w:type="dxa"/>
          </w:tcPr>
          <w:p w:rsidR="00D24D21" w:rsidRDefault="00D24D21" w:rsidP="00557C44">
            <w:r>
              <w:t>Produktutvikling</w:t>
            </w:r>
          </w:p>
        </w:tc>
        <w:tc>
          <w:tcPr>
            <w:tcW w:w="3060" w:type="dxa"/>
          </w:tcPr>
          <w:p w:rsidR="00D24D21" w:rsidRDefault="00D24D21" w:rsidP="00557C44">
            <w:r>
              <w:t>Integrert</w:t>
            </w:r>
          </w:p>
        </w:tc>
        <w:tc>
          <w:tcPr>
            <w:tcW w:w="3060" w:type="dxa"/>
          </w:tcPr>
          <w:p w:rsidR="00D24D21" w:rsidRDefault="00D24D21" w:rsidP="00557C44">
            <w:r>
              <w:t>Separert</w:t>
            </w:r>
          </w:p>
        </w:tc>
      </w:tr>
      <w:tr w:rsidR="00D24D21" w:rsidTr="00557C44">
        <w:trPr>
          <w:trHeight w:val="380"/>
        </w:trPr>
        <w:tc>
          <w:tcPr>
            <w:tcW w:w="3060" w:type="dxa"/>
          </w:tcPr>
          <w:p w:rsidR="00D24D21" w:rsidRDefault="00D24D21" w:rsidP="00557C44">
            <w:r>
              <w:t>Kunnskapsoverføring</w:t>
            </w:r>
          </w:p>
        </w:tc>
        <w:tc>
          <w:tcPr>
            <w:tcW w:w="3060" w:type="dxa"/>
          </w:tcPr>
          <w:p w:rsidR="00D24D21" w:rsidRDefault="00D24D21" w:rsidP="00557C44">
            <w:r>
              <w:t>Personlig</w:t>
            </w:r>
          </w:p>
        </w:tc>
        <w:tc>
          <w:tcPr>
            <w:tcW w:w="3060" w:type="dxa"/>
          </w:tcPr>
          <w:p w:rsidR="00D24D21" w:rsidRDefault="00D24D21" w:rsidP="00557C44">
            <w:r>
              <w:t>Eksplisitt</w:t>
            </w:r>
          </w:p>
        </w:tc>
      </w:tr>
      <w:tr w:rsidR="00D24D21" w:rsidTr="00557C44">
        <w:trPr>
          <w:trHeight w:val="380"/>
        </w:trPr>
        <w:tc>
          <w:tcPr>
            <w:tcW w:w="3060" w:type="dxa"/>
          </w:tcPr>
          <w:p w:rsidR="00D24D21" w:rsidRDefault="00D24D21" w:rsidP="00557C44">
            <w:r>
              <w:t>Samarbeid</w:t>
            </w:r>
          </w:p>
        </w:tc>
        <w:tc>
          <w:tcPr>
            <w:tcW w:w="3060" w:type="dxa"/>
          </w:tcPr>
          <w:p w:rsidR="00D24D21" w:rsidRDefault="00D24D21" w:rsidP="00557C44">
            <w:r>
              <w:t>Interdisiplinær</w:t>
            </w:r>
          </w:p>
        </w:tc>
        <w:tc>
          <w:tcPr>
            <w:tcW w:w="3060" w:type="dxa"/>
          </w:tcPr>
          <w:p w:rsidR="00D24D21" w:rsidRDefault="00D24D21" w:rsidP="00557C44">
            <w:r>
              <w:t>Kryssdisiplinær</w:t>
            </w:r>
          </w:p>
        </w:tc>
      </w:tr>
      <w:tr w:rsidR="00D24D21" w:rsidTr="00557C44">
        <w:trPr>
          <w:trHeight w:val="380"/>
        </w:trPr>
        <w:tc>
          <w:tcPr>
            <w:tcW w:w="3060" w:type="dxa"/>
          </w:tcPr>
          <w:p w:rsidR="00D24D21" w:rsidRDefault="00D24D21" w:rsidP="00557C44">
            <w:r>
              <w:t>Beslutning</w:t>
            </w:r>
          </w:p>
        </w:tc>
        <w:tc>
          <w:tcPr>
            <w:tcW w:w="3060" w:type="dxa"/>
          </w:tcPr>
          <w:p w:rsidR="00D24D21" w:rsidRDefault="00D24D21" w:rsidP="00557C44">
            <w:r>
              <w:t>Individuell</w:t>
            </w:r>
          </w:p>
        </w:tc>
        <w:tc>
          <w:tcPr>
            <w:tcW w:w="3060" w:type="dxa"/>
          </w:tcPr>
          <w:p w:rsidR="00D24D21" w:rsidRDefault="00D24D21" w:rsidP="00557C44">
            <w:r>
              <w:t>Evidensbasert</w:t>
            </w:r>
          </w:p>
        </w:tc>
      </w:tr>
      <w:tr w:rsidR="00D24D21" w:rsidTr="00557C44">
        <w:trPr>
          <w:trHeight w:val="380"/>
        </w:trPr>
        <w:tc>
          <w:tcPr>
            <w:tcW w:w="3060" w:type="dxa"/>
          </w:tcPr>
          <w:p w:rsidR="00D24D21" w:rsidRDefault="00D24D21" w:rsidP="00557C44">
            <w:r>
              <w:t>Verdi</w:t>
            </w:r>
          </w:p>
        </w:tc>
        <w:tc>
          <w:tcPr>
            <w:tcW w:w="3060" w:type="dxa"/>
          </w:tcPr>
          <w:p w:rsidR="00D24D21" w:rsidRDefault="00D24D21" w:rsidP="00557C44">
            <w:r>
              <w:t>Prosedyre</w:t>
            </w:r>
          </w:p>
        </w:tc>
        <w:tc>
          <w:tcPr>
            <w:tcW w:w="3060" w:type="dxa"/>
          </w:tcPr>
          <w:p w:rsidR="00D24D21" w:rsidRDefault="00D24D21" w:rsidP="00557C44">
            <w:r>
              <w:t>Produkt</w:t>
            </w:r>
          </w:p>
        </w:tc>
      </w:tr>
      <w:tr w:rsidR="00D24D21" w:rsidTr="00557C44">
        <w:trPr>
          <w:trHeight w:val="380"/>
        </w:trPr>
        <w:tc>
          <w:tcPr>
            <w:tcW w:w="3060" w:type="dxa"/>
          </w:tcPr>
          <w:p w:rsidR="00D24D21" w:rsidRDefault="00D24D21" w:rsidP="00557C44">
            <w:r>
              <w:t>Behandling</w:t>
            </w:r>
          </w:p>
        </w:tc>
        <w:tc>
          <w:tcPr>
            <w:tcW w:w="3060" w:type="dxa"/>
          </w:tcPr>
          <w:p w:rsidR="00D24D21" w:rsidRDefault="00D24D21" w:rsidP="00557C44">
            <w:r>
              <w:t>Skreddersydd</w:t>
            </w:r>
          </w:p>
        </w:tc>
        <w:tc>
          <w:tcPr>
            <w:tcW w:w="3060" w:type="dxa"/>
          </w:tcPr>
          <w:p w:rsidR="00D24D21" w:rsidRDefault="00D24D21" w:rsidP="00557C44">
            <w:r>
              <w:t>Standardisert</w:t>
            </w:r>
          </w:p>
        </w:tc>
      </w:tr>
    </w:tbl>
    <w:p w:rsidR="00D24D21" w:rsidRDefault="00D24D21" w:rsidP="00CE47F2">
      <w:pPr>
        <w:pStyle w:val="Tabellnavn"/>
      </w:pPr>
    </w:p>
    <w:p w:rsidR="00D24D21" w:rsidRDefault="00D24D21">
      <w:pPr>
        <w:pStyle w:val="Ramme-slutt"/>
        <w:rPr>
          <w:sz w:val="26"/>
          <w:szCs w:val="26"/>
        </w:rPr>
      </w:pPr>
      <w:r>
        <w:rPr>
          <w:sz w:val="26"/>
          <w:szCs w:val="26"/>
        </w:rPr>
        <w:t>[Boks slutt]</w:t>
      </w:r>
    </w:p>
    <w:p w:rsidR="00D24D21" w:rsidRDefault="00D24D21" w:rsidP="00CE47F2">
      <w:pPr>
        <w:pStyle w:val="tittel-ramme"/>
      </w:pPr>
      <w:r>
        <w:t>Kunnskapskommunen</w:t>
      </w:r>
    </w:p>
    <w:p w:rsidR="00D24D21" w:rsidRDefault="00D24D21" w:rsidP="00CE47F2">
      <w:r>
        <w:t>Kunnskapskommunen Helse Omsorg Vest er et formalisert samarbeid mellom Bergen Kommune, Universitetet i Bergen (UiB), Høgskolen på Vestlandet (HVL), NORCE, Helse Bergen HF, H</w:t>
      </w:r>
      <w:r>
        <w:t>a</w:t>
      </w:r>
      <w:r>
        <w:t>raldsplass Di</w:t>
      </w:r>
      <w:r>
        <w:t>a</w:t>
      </w:r>
      <w:r>
        <w:t>konale Sykehus, VID Vitenskapelig Høgskole og Folkehelseinstituttet om forskning, utdanning og inn</w:t>
      </w:r>
      <w:r>
        <w:t>o</w:t>
      </w:r>
      <w:r>
        <w:t>vasjon i de kommunale helse- og omsorgstjenestene. Etter 2017 har ti kommuner i omegnen sluttet seg til forpliktende samarbeid. Kunnskapskommunens mål er å styrke den kun</w:t>
      </w:r>
      <w:r>
        <w:t>n</w:t>
      </w:r>
      <w:r>
        <w:t>skapsbaserte utviklingen av de kommunale helse- og omsorgstjenestene. Aktørene samarbeider om gode utviklingstiltak, som for e</w:t>
      </w:r>
      <w:r>
        <w:t>k</w:t>
      </w:r>
      <w:r>
        <w:t>sempel kan være praksisnære forskningsprosjekter eller utvikling av innovative produkter og løsninger. Midler til forskning og utvikling søkes i samarbeid mellom a</w:t>
      </w:r>
      <w:r>
        <w:t>k</w:t>
      </w:r>
      <w:r>
        <w:t>tørene. Kunnskapskommunen har etablert en pilot med Folkehelseinstituttet for å prøve ut hvordan et system for bestilling og leveranser av kun</w:t>
      </w:r>
      <w:r>
        <w:t>n</w:t>
      </w:r>
      <w:r>
        <w:t>skapsoppsummeringer og metodevurderinger kan fungere i den kommunale helse- og omsorgstjenesten. Hvert år arrangeres en konferanse for å synliggjøre ulike sider ved samarbeidet og presentere resultater fra de ulike aktørene som følge av Kunnskap</w:t>
      </w:r>
      <w:r>
        <w:t>s</w:t>
      </w:r>
      <w:r>
        <w:t>kommunen.</w:t>
      </w:r>
    </w:p>
    <w:p w:rsidR="00D24D21" w:rsidRDefault="00D24D21">
      <w:pPr>
        <w:pStyle w:val="Ramme-slutt"/>
        <w:rPr>
          <w:sz w:val="26"/>
          <w:szCs w:val="26"/>
        </w:rPr>
      </w:pPr>
      <w:r>
        <w:rPr>
          <w:sz w:val="26"/>
          <w:szCs w:val="26"/>
        </w:rPr>
        <w:t>[Boks slutt]</w:t>
      </w:r>
    </w:p>
    <w:p w:rsidR="00D24D21" w:rsidRDefault="00D24D21" w:rsidP="00CE47F2">
      <w:pPr>
        <w:pStyle w:val="Overskrift2"/>
      </w:pPr>
      <w:r>
        <w:t>Rolledeling</w:t>
      </w:r>
    </w:p>
    <w:p w:rsidR="00D24D21" w:rsidRDefault="00D24D21" w:rsidP="00CE47F2">
      <w:r>
        <w:t>Offentlig sektor leverer forvaltnings- og velferdstjenester til befolkningen og næringslivet. Noen tjenester produserer det offentlige selv, noen kjøpes inn, mens noe leveres som en kombinasjon av egenproduserte tjenester med innhold av innkjøpte varer og tjenester. I Norge pågår det diskusjoner på flere områder om når løsninger skal anskaffes fra næringslivet og når det det offentlige selv skal utvikle og produsere lø</w:t>
      </w:r>
      <w:r>
        <w:t>s</w:t>
      </w:r>
      <w:r>
        <w:t>ninger. I helse- og omsorgssektoren er diskusjonen blant annet knyttet til IKT og digitalisering og hvor langt det offentlige skal gå i å produsere i egenregi. Videre etterlyses det retningslinjer for hvordan et samarbeid med næringslivet skal skje.</w:t>
      </w:r>
    </w:p>
    <w:p w:rsidR="00D24D21" w:rsidRDefault="00D24D21" w:rsidP="00CE47F2">
      <w:pPr>
        <w:pStyle w:val="avsnitt-undertittel"/>
      </w:pPr>
      <w:r>
        <w:t>Offentlig produksjon</w:t>
      </w:r>
    </w:p>
    <w:p w:rsidR="00D24D21" w:rsidRDefault="00D24D21" w:rsidP="00CE47F2">
      <w:r>
        <w:t>Den teknologiske utviklingen fører til at helse- og omsorgstjenesten blir mer og mer digitalisert. Det gir effektivitetsgevinster for helse- og omsorgstjenesten og samtidig muligheter for norsk næringsliv. Men det skaper også noen utfordringer, blant annet kan det være uklarhet rundt hvor langt det o</w:t>
      </w:r>
      <w:r>
        <w:t>f</w:t>
      </w:r>
      <w:r>
        <w:t>fentliges a</w:t>
      </w:r>
      <w:r>
        <w:t>n</w:t>
      </w:r>
      <w:r>
        <w:t>svar går.</w:t>
      </w:r>
    </w:p>
    <w:p w:rsidR="00D24D21" w:rsidRDefault="00D24D21" w:rsidP="00CE47F2">
      <w:r>
        <w:lastRenderedPageBreak/>
        <w:t>Grunnen til at offentlige virksomheter produserer internt, kan være at en anskaffelsesprosess krever store ressurser og gir høye transaksjonskostnader. Andre årsaker kan være at behovet regnes for å være en kjerneoppgave for virksomheten og at virksomheten dermed oppnår å ha en kritisk masse av ansatte på dette området, at virksomheten har behov for sterkere styringsmulighet og kontroll på data og innhold i tjenesten, eller som et viktig korrektiv til markedet.</w:t>
      </w:r>
    </w:p>
    <w:p w:rsidR="00D24D21" w:rsidRDefault="00D24D21" w:rsidP="00CE47F2">
      <w:r>
        <w:t>Samfunnsøkonomisk effektivitet bør være utgangspunktet når det offentlige vurderer arbeidsd</w:t>
      </w:r>
      <w:r>
        <w:t>e</w:t>
      </w:r>
      <w:r>
        <w:t>lingen mellom offentlig og privat produksjon. Det er viktig at samfunnets samlede ressurser utnyttes på en god måte. Effektiv ressursbruk tilsier at en gitt tjeneste må leveres av den mest effektive l</w:t>
      </w:r>
      <w:r>
        <w:t>e</w:t>
      </w:r>
      <w:r>
        <w:t>verandøren, ua</w:t>
      </w:r>
      <w:r>
        <w:t>v</w:t>
      </w:r>
      <w:r>
        <w:t>hengig av om den er privat eller offentlig.</w:t>
      </w:r>
      <w:r>
        <w:rPr>
          <w:vertAlign w:val="superscript"/>
        </w:rPr>
        <w:footnoteReference w:id="30"/>
      </w:r>
      <w:r>
        <w:t xml:space="preserve"> Det er den mest samfunnsøkonomisk lønnsomme løsningen som skal brukes. I Meld. St. 27 (2015–2016) </w:t>
      </w:r>
      <w:r>
        <w:rPr>
          <w:rStyle w:val="kursiv"/>
          <w:sz w:val="21"/>
          <w:szCs w:val="21"/>
        </w:rPr>
        <w:t>Digital agenda for Norge</w:t>
      </w:r>
      <w:r>
        <w:t xml:space="preserve"> heter det at «det offentlige i u</w:t>
      </w:r>
      <w:r>
        <w:t>t</w:t>
      </w:r>
      <w:r>
        <w:t>gangspunktet ikke skal gjøre selv det som markedet kan gjøre bedre og mer effektivt.»</w:t>
      </w:r>
      <w:r>
        <w:rPr>
          <w:vertAlign w:val="superscript"/>
        </w:rPr>
        <w:footnoteReference w:id="31"/>
      </w:r>
    </w:p>
    <w:p w:rsidR="00D24D21" w:rsidRDefault="00D24D21" w:rsidP="00CE47F2">
      <w:r>
        <w:t>Regjeringen har fått tilbakemeldinger fra næringslivet om at de i flere markeder har kapasitet og kompetanse til å bidra med nye løsninger og bedre tjenestetilbud i områder der det offentlige i dag i stor grad driver selv. Regjeringen vil arbeide for å klargjøre arbeidsdelingen mellom privat og o</w:t>
      </w:r>
      <w:r>
        <w:t>f</w:t>
      </w:r>
      <w:r>
        <w:t>fentlig sektor i tråd med markeds- og teknologiutviklingen. Dette er omtalt i den kommende sto</w:t>
      </w:r>
      <w:r>
        <w:t>r</w:t>
      </w:r>
      <w:r>
        <w:t>tingsmeldingen om offentlige anskaffelser.</w:t>
      </w:r>
      <w:r>
        <w:rPr>
          <w:vertAlign w:val="superscript"/>
        </w:rPr>
        <w:footnoteReference w:id="32"/>
      </w:r>
      <w:r>
        <w:t xml:space="preserve"> Se egen omtale av Direktoratet for e-helse i kapittel 6.4.3.</w:t>
      </w:r>
    </w:p>
    <w:p w:rsidR="00D24D21" w:rsidRDefault="00D24D21" w:rsidP="00CE47F2">
      <w:pPr>
        <w:pStyle w:val="avsnitt-undertittel"/>
      </w:pPr>
      <w:r>
        <w:t>Samarbeid med næringslivet</w:t>
      </w:r>
    </w:p>
    <w:p w:rsidR="00D24D21" w:rsidRDefault="00D24D21" w:rsidP="00CE47F2">
      <w:r>
        <w:t>I arbeidet med denne meldingen er det kommet innspill fra næringslivsaktører om at det er vanskelig å komme i dialog eller inngå samarbeid med den offentlige helse- og omsorgstjenesten om utvikling av nye løsninger, selv om det er enklere nå enn tidligere. Innspill fra den offentlige helse- og o</w:t>
      </w:r>
      <w:r>
        <w:t>m</w:t>
      </w:r>
      <w:r>
        <w:t>sorgstjenesten tyder på sin side på at det flere steder oppleves som uklart hvilke typer samarbeid og samarbeidsmodeller med privat sektor som aksepteres av ledelsen eller politisk. Usikkerhetene kan knyttes til at forventningene til samarbeid og innovasjon ikke er tydelig nok kommunisert fra my</w:t>
      </w:r>
      <w:r>
        <w:t>n</w:t>
      </w:r>
      <w:r>
        <w:t>dighetenes eller ledelsens side. Det er heller ikke alltid opplagt innenfor hvilke rammer samarbeidet bør skje. Dersom utryggheten oppleves som for stor, vil det for mange offentlige aktører være enklest å avstå fra et samarbeid med n</w:t>
      </w:r>
      <w:r>
        <w:t>æ</w:t>
      </w:r>
      <w:r>
        <w:t>ringslivet.</w:t>
      </w:r>
    </w:p>
    <w:p w:rsidR="00D24D21" w:rsidRDefault="00D24D21" w:rsidP="00CE47F2">
      <w:r>
        <w:t>Ledelsen i den enkelte virksomhet må selv vurdere behovet for retningslinjer for samarbeid med n</w:t>
      </w:r>
      <w:r>
        <w:t>æ</w:t>
      </w:r>
      <w:r>
        <w:t>ringslivet, da det vil være ulike forhold som er viktig i ulike deler av helse- og omsorgstjenesten og hels</w:t>
      </w:r>
      <w:r>
        <w:t>e</w:t>
      </w:r>
      <w:r>
        <w:t>forvaltningen. Men helt overordnet bør samarbeidet styres av målet om god kvalitet, effektiv ressursbruk og samfunnsøkonomisk lønnsomhet. Et eventuelt samarbeid med næringslivet bør in</w:t>
      </w:r>
      <w:r>
        <w:t>n</w:t>
      </w:r>
      <w:r>
        <w:t xml:space="preserve">rettes slik at det understøtter målene om at befolkningen skal ha likeverdig tilgang til helsetjenester </w:t>
      </w:r>
      <w:r>
        <w:lastRenderedPageBreak/>
        <w:t>av høy kvalitet. Re</w:t>
      </w:r>
      <w:r>
        <w:t>t</w:t>
      </w:r>
      <w:r>
        <w:t>ningslinjer bør gi de ansatte trygghet for hvordan de skal gå fram. Retningslinjene bør sikre forutsigba</w:t>
      </w:r>
      <w:r>
        <w:t>r</w:t>
      </w:r>
      <w:r>
        <w:t>het, transparens, lovlighet og etikk.</w:t>
      </w:r>
    </w:p>
    <w:p w:rsidR="00D24D21" w:rsidRDefault="00D24D21" w:rsidP="00CE47F2">
      <w:r>
        <w:t>Regelverket for offentlige anskaffelser gir oppdragsgivere mulighet til å gjennomføre dialog med markedet før en anskaffelsesprosess iverksettes. Dialog med leverandører, bransjer, fagmiljøer og andre før kunngjøring av konkurranse gir bedre behovsdekning, kan fremme innovasjon og gi i</w:t>
      </w:r>
      <w:r>
        <w:t>n</w:t>
      </w:r>
      <w:r>
        <w:t>formasjon om nye løsninger.</w:t>
      </w:r>
    </w:p>
    <w:p w:rsidR="00D24D21" w:rsidRDefault="00D24D21" w:rsidP="00CE47F2">
      <w:r>
        <w:t>I et eventuelt samarbeid vil det være nyttig for begge parter om næringslivet involveres tidlig i u</w:t>
      </w:r>
      <w:r>
        <w:t>t</w:t>
      </w:r>
      <w:r>
        <w:t>rednings- og planarbeid. Dette vil sikre at aktørene i fellesskap kommer fram til de beste løsningene.</w:t>
      </w:r>
    </w:p>
    <w:p w:rsidR="00D24D21" w:rsidRDefault="00D24D21" w:rsidP="00CE47F2">
      <w:pPr>
        <w:pStyle w:val="Overskrift2"/>
      </w:pPr>
      <w:r>
        <w:t>Rammer for næringslivssamarbeid og innovasjon</w:t>
      </w:r>
    </w:p>
    <w:p w:rsidR="00D24D21" w:rsidRDefault="00D24D21" w:rsidP="00CE47F2">
      <w:r>
        <w:t>Regjeringen mener at innovasjonskraften, kompetansen og ressursene i næringslivet kan gi løsninger på utfordringene den norske helse- og omsorgstjenesten står overfor. Gode underleverandører vil være vi</w:t>
      </w:r>
      <w:r>
        <w:t>k</w:t>
      </w:r>
      <w:r>
        <w:t>tig for at helse- og omsorgstjenesten får løst sine utfordringer på effektiv måte, og helse- og omsorgstj</w:t>
      </w:r>
      <w:r>
        <w:t>e</w:t>
      </w:r>
      <w:r>
        <w:t>nesten bør arbeide strategisk for å sikre dette. Dette innebærer at tjenesten bør anerkjenne de bedriftene som bidrar til bedre løsninger.</w:t>
      </w:r>
    </w:p>
    <w:p w:rsidR="00D24D21" w:rsidRDefault="00D24D21" w:rsidP="00CE47F2">
      <w:r>
        <w:t>Rammene for hvordan helse- og omsorgssektoren bruker næringslivet for å nå sine mål påvirkes blant annet av hvordan sykehus og kommuner får sin finansiering, behov for prioriteringer, lovverket i helse- og omsorgstjenesten samt regelverket for offentlige anskaffelser. Rammene påvirkes også av hva slags kultur det er for næringsliv</w:t>
      </w:r>
      <w:r>
        <w:t>s</w:t>
      </w:r>
      <w:r>
        <w:t>samarbeid i hver enkelt organisasjon.</w:t>
      </w:r>
    </w:p>
    <w:p w:rsidR="00D24D21" w:rsidRDefault="00D24D21" w:rsidP="00CE47F2">
      <w:r>
        <w:t>Kultur for dialog, kontakt og samarbeid mellom helse- og omsorgssektoren og næringslivet synes mer utviklet i våre naboland enn i Norge. En slik kultur er også mer utviklet i andre sektorer, for eksempel i de råvarebaserte, enn i helse og omsorg. Dette henger til dels sammen med at helse</w:t>
      </w:r>
      <w:r>
        <w:t>n</w:t>
      </w:r>
      <w:r>
        <w:t>æringen i Norge er relativt sett ung sammenlignet med våre naboland, og Norge ikke har hatt store helsenæringsaktører slik som i for eksempel Sverige og Danmark.</w:t>
      </w:r>
    </w:p>
    <w:p w:rsidR="00D24D21" w:rsidRDefault="00D24D21" w:rsidP="00CE47F2">
      <w:r>
        <w:t>Det er et ledelsesansvar å videreutvikle helse- og omsorgstjenesten. Regjeringen vedtok i 2016 forskrift om ledelse- og kvalitetsforbedring i helse- og omsorgssektoren. Den slår tydelig fast at det er toppledelsen som har ansvaret for at virksomheten planlegges, gjennomføres, evalueres og ko</w:t>
      </w:r>
      <w:r>
        <w:t>r</w:t>
      </w:r>
      <w:r>
        <w:t>rigeres. Her vil kun</w:t>
      </w:r>
      <w:r>
        <w:t>n</w:t>
      </w:r>
      <w:r>
        <w:t>skapsutvikling og innovasjon være viktige virkemidler. Forskriften er viktig for det ansvaret ledelsen har for å legge til rette og sørge for inn</w:t>
      </w:r>
      <w:r>
        <w:t>o</w:t>
      </w:r>
      <w:r>
        <w:t>vasjon innenfor sitt ansvarsområde.</w:t>
      </w:r>
    </w:p>
    <w:p w:rsidR="00D24D21" w:rsidRDefault="00D24D21" w:rsidP="00CE47F2">
      <w:r>
        <w:t>I helse- og omsorgstjenesten er det ikke alltid den som bærer den reelle kostnadene ved en innov</w:t>
      </w:r>
      <w:r>
        <w:t>a</w:t>
      </w:r>
      <w:r>
        <w:t>sjon som får gevinsten. Tiltak som bidrar til at pasienter kan være hjemme framfor å bli lagt inn på sykehus, er eksempler på at kostnaden bæres av kommunene mens sykehusene får gevinsten. Dette gjør at enkelte varer eller tjenester som kunne ha gitt gevinster for helse- og omsorgstjenesten og brukerne samlet sett, ikke anskaffes. Samfunnet er tjent med at samfunnsøkonomisk lønnsomme tiltak blir gjennomført, uavhengig av hvor gevinsten oppstår og hvem som bærer kostnaden. I Pri</w:t>
      </w:r>
      <w:r>
        <w:t>o</w:t>
      </w:r>
      <w:r>
        <w:t>riteringsmeldingen</w:t>
      </w:r>
      <w:r>
        <w:rPr>
          <w:vertAlign w:val="superscript"/>
        </w:rPr>
        <w:footnoteReference w:id="33"/>
      </w:r>
      <w:r>
        <w:t xml:space="preserve"> og retningslinjene for metodevurdering fra Statens legemiddelverk er det derfor lagt til grunn at man i vurdering av effekter på gruppenivå ved innføring av nye metoder i </w:t>
      </w:r>
      <w:r>
        <w:lastRenderedPageBreak/>
        <w:t>spesialis</w:t>
      </w:r>
      <w:r>
        <w:t>t</w:t>
      </w:r>
      <w:r>
        <w:t>helsetjenesten også vurderer effekter på ressursbruk på tvers av den kommunale helse- og omsorgstjesten og spesialisthelsetjenesten.</w:t>
      </w:r>
    </w:p>
    <w:p w:rsidR="00D24D21" w:rsidRDefault="00D24D21" w:rsidP="00CE47F2">
      <w:pPr>
        <w:pStyle w:val="Overskrift3"/>
      </w:pPr>
      <w:r>
        <w:t>Kommunale helse- og omsorgstjenester</w:t>
      </w:r>
    </w:p>
    <w:p w:rsidR="00D24D21" w:rsidRDefault="00D24D21" w:rsidP="00CE47F2">
      <w:r>
        <w:t>Den enkelte kommune har ansvar for å tilby nødvendige helse- og omsorgstjenester til alle som oppho</w:t>
      </w:r>
      <w:r>
        <w:t>l</w:t>
      </w:r>
      <w:r>
        <w:t>der seg i kommunen. Hver kommune avgjør selv hvordan tjenesten skal organiseres ut fra lokale forhold og behov jf. omtale i kap. 2.2. Dette inkluderer i hvilken utstrekning den ønsker å benytte seg av private a</w:t>
      </w:r>
      <w:r>
        <w:t>k</w:t>
      </w:r>
      <w:r>
        <w:t>tører. De store forskjellene mellom kommunene gjør at det også er stor variasjon i hvor mye erfaring og kultur det er for dialog med og bruk av næringslivet. Det er også variasjon i kompetansen knyttet til r</w:t>
      </w:r>
      <w:r>
        <w:t>e</w:t>
      </w:r>
      <w:r>
        <w:t>gelverket for offentlige anskaffelser. Dette er omtalt i kapittel 8.</w:t>
      </w:r>
    </w:p>
    <w:p w:rsidR="00D24D21" w:rsidRDefault="00D24D21" w:rsidP="00CE47F2">
      <w:r>
        <w:t xml:space="preserve">I hovedsak må finansieringen av det kommunale innovasjonsarbeidet skje gjennom inntektssystemet og den generelle kommuneøkonomien. Utover dette gir staten tilskudd til </w:t>
      </w:r>
      <w:r>
        <w:rPr>
          <w:rStyle w:val="kursiv"/>
          <w:sz w:val="21"/>
          <w:szCs w:val="21"/>
        </w:rPr>
        <w:t>InnoMed</w:t>
      </w:r>
      <w:r>
        <w:t xml:space="preserve"> (se 8.4.2), utvi</w:t>
      </w:r>
      <w:r>
        <w:t>k</w:t>
      </w:r>
      <w:r>
        <w:t>lingssentrene for syk</w:t>
      </w:r>
      <w:r>
        <w:t>e</w:t>
      </w:r>
      <w:r>
        <w:t>hjem og hjemmetjenester i hvert fylke og Senter for omsorgsforskning. Dette for å sikre følgeforskning og d</w:t>
      </w:r>
      <w:r>
        <w:t>o</w:t>
      </w:r>
      <w:r>
        <w:t>kumentasjon med sikte på spredning og implementering av nye og gode løsninger.</w:t>
      </w:r>
    </w:p>
    <w:p w:rsidR="00D24D21" w:rsidRDefault="00D24D21" w:rsidP="00CE47F2">
      <w:r>
        <w:t>Gjennom kompetanse- og innovasjonstilskuddet, forvaltet av fylkesmannsembetene, gis det tilskudd til innovasjonstiltak i kommunene. Formålet er å bedre kommunenes evne og mulighet til å utvikle bærekraftige og gode helse- og omsorgstjenester, og å gi en tydelig prioritet til noen av framtidsu</w:t>
      </w:r>
      <w:r>
        <w:t>t</w:t>
      </w:r>
      <w:r>
        <w:t>fordringene kommunene står overfor på helse- og omsorgsfeltet.</w:t>
      </w:r>
    </w:p>
    <w:p w:rsidR="00D24D21" w:rsidRDefault="00D24D21" w:rsidP="00CE47F2">
      <w:r>
        <w:t>Utviklingssentrene for sykehjem og hjemmetjenester skal bidra til at de kommunale helse- og o</w:t>
      </w:r>
      <w:r>
        <w:t>m</w:t>
      </w:r>
      <w:r>
        <w:t>sorgstjenestene fornyer og forbedrer seg. Gode tjenester i framtiden vil kreve at kommunen tar i bruk ny kunnskap og nye lø</w:t>
      </w:r>
      <w:r>
        <w:t>s</w:t>
      </w:r>
      <w:r>
        <w:t>ninger. Lokalt innovasjonsarbeid kan foregå i samarbeid mellom kommuner, helseforetak, fagfolk, tjenestemottakere, kunnskaps- og forskningsmiljøer, organisasjoner eller n</w:t>
      </w:r>
      <w:r>
        <w:t>æ</w:t>
      </w:r>
      <w:r>
        <w:t>ringslivet. Det er i dag 20 utviklingssentre fordelt på alle fylker.</w:t>
      </w:r>
    </w:p>
    <w:p w:rsidR="00D24D21" w:rsidRDefault="00D24D21" w:rsidP="00CE47F2">
      <w:r>
        <w:t>Investeringstilskuddet til heldøgns omsorgsplasser skal stimulere kommunene til å bygge flere og bedre sykehjem og omsorgsboliger. Siden 2008 har Husbanken gitt tilsagn til fornyelse og bygging av over 20 000 plasser. Utfordringen for arkitekter og byggenæring er å bidra til at det som bygges og reh</w:t>
      </w:r>
      <w:r>
        <w:t>a</w:t>
      </w:r>
      <w:r>
        <w:t xml:space="preserve">biliteres blir utformet i tråd med framtidige generasjoner brukeres behov og moderne faglige prinsipper for helse- og omsorgstjenestene. I NOU 2011:11 </w:t>
      </w:r>
      <w:r>
        <w:rPr>
          <w:rStyle w:val="kursiv"/>
          <w:sz w:val="21"/>
          <w:szCs w:val="21"/>
        </w:rPr>
        <w:t>Innovasjon i omsorg</w:t>
      </w:r>
      <w:r>
        <w:t xml:space="preserve"> – la et utvalg ledet av Kåre Hagen fram et konsept for framtidens boligløsninger for omsorgsformål. Regjeringen vil ti</w:t>
      </w:r>
      <w:r>
        <w:t>l</w:t>
      </w:r>
      <w:r>
        <w:t>rettelegge for at Hu</w:t>
      </w:r>
      <w:r>
        <w:t>s</w:t>
      </w:r>
      <w:r>
        <w:t>banken kan videreutvikle veiledningsarbeidet overfor kommuner og berørte bransjer for å stimulere til kunnskapsutvikling og nye løsninger på leverandørsiden i fo</w:t>
      </w:r>
      <w:r>
        <w:t>r</w:t>
      </w:r>
      <w:r>
        <w:t>bindelse med forvaltningen av investering</w:t>
      </w:r>
      <w:r>
        <w:t>s</w:t>
      </w:r>
      <w:r>
        <w:t>tilskuddet til heldøgns omsorgsplasser.</w:t>
      </w:r>
    </w:p>
    <w:p w:rsidR="00D24D21" w:rsidRDefault="00D24D21" w:rsidP="00CE47F2">
      <w:r>
        <w:t>Det er ønskelig at flere skal bo i eget hjem så lenge det er forsvarlig. Derfor er det behov for å utbedre dagens boliger, ta i bruk velferdsteknologi og utvikle nye boligløsninger som legger til rette for større selvstendighet og mer trygghet i eget hjem. Et systematisk arbeid med dette krever både forskning og innovasjon, med sterk invo</w:t>
      </w:r>
      <w:r>
        <w:t>l</w:t>
      </w:r>
      <w:r>
        <w:t>vering fra næringsliv, offentlig sektor og den eldre befolkning. Den generelle boligpolitikken må også innrettes slik at den bidrar til å redusere behovet for sykehjem</w:t>
      </w:r>
      <w:r>
        <w:t>s</w:t>
      </w:r>
      <w:r>
        <w:t>plasser og andre former for heldøgns tjenester. I et samfunn med rask vekst i tallet på eldre in</w:t>
      </w:r>
      <w:r>
        <w:t>n</w:t>
      </w:r>
      <w:r>
        <w:t>byggere, blir det særlig viktig å legge til rette for at det bygges eller ombygges boliger som er best mulig tilrettelagt for alde</w:t>
      </w:r>
      <w:r>
        <w:t>r</w:t>
      </w:r>
      <w:r>
        <w:t>dommen. Det offentlige stimulerer til gode kvaliteter i nye og eksisterende boliger gjennom blant annet tilskudd til tilpasning, tilskudd til etterinstallering av heis og Husba</w:t>
      </w:r>
      <w:r>
        <w:t>n</w:t>
      </w:r>
      <w:r>
        <w:lastRenderedPageBreak/>
        <w:t>kens låneor</w:t>
      </w:r>
      <w:r>
        <w:t>d</w:t>
      </w:r>
      <w:r>
        <w:t>ninger. Forslag til ny forskrift for lån fra Husbanken har vært på høring. Hensikten er at lån fra Husbanken skal bidra til bedre boligkvaliteter, blant annet for en aldrende befolkning.</w:t>
      </w:r>
    </w:p>
    <w:p w:rsidR="00D24D21" w:rsidRDefault="00D24D21" w:rsidP="00CE47F2">
      <w:r>
        <w:t xml:space="preserve">I Meld. St. 15 (2017–2018) </w:t>
      </w:r>
      <w:r>
        <w:rPr>
          <w:rStyle w:val="kursiv"/>
          <w:sz w:val="21"/>
          <w:szCs w:val="21"/>
        </w:rPr>
        <w:t>Leve hele livet – En kvalitetsreform</w:t>
      </w:r>
      <w:r>
        <w:t xml:space="preserve"> for eldre har regjeringen som en del av sitt program for et aldersvennlig Norge lagt opp til en kampanje med sikte på å tilrettelegge egen bolig for alderdommen. En slik kampanje kan utløse økt etterspørsel etter bedrifter som har ko</w:t>
      </w:r>
      <w:r>
        <w:t>m</w:t>
      </w:r>
      <w:r>
        <w:t>petanse på tilpa</w:t>
      </w:r>
      <w:r>
        <w:t>s</w:t>
      </w:r>
      <w:r>
        <w:t>ning av boliger, og som kan bistå eldre i denne prosessen. Et slikt tilbud må ivaretas av fagfolk med byggeteknisk kompetanse og kunnskap om universell utforming og økt tilgjeng</w:t>
      </w:r>
      <w:r>
        <w:t>e</w:t>
      </w:r>
      <w:r>
        <w:t>lighet. Direktoratet for byggkvalitet (DiBK) er statens kompetansesenter for byggkvalitet, og skal blant annet bidra til økt ko</w:t>
      </w:r>
      <w:r>
        <w:t>m</w:t>
      </w:r>
      <w:r>
        <w:t>petanse om kvaliteter som gjør at boliger er tilgjengelige ved nedsatt funksjonsevne.</w:t>
      </w:r>
    </w:p>
    <w:p w:rsidR="00D24D21" w:rsidRDefault="00D24D21" w:rsidP="00CE47F2">
      <w:pPr>
        <w:rPr>
          <w:rStyle w:val="kursiv"/>
          <w:sz w:val="21"/>
          <w:szCs w:val="21"/>
        </w:rPr>
      </w:pPr>
      <w:r>
        <w:rPr>
          <w:rStyle w:val="kursiv"/>
          <w:sz w:val="21"/>
          <w:szCs w:val="21"/>
        </w:rPr>
        <w:t>Leve hele livet</w:t>
      </w:r>
      <w:r>
        <w:t xml:space="preserve"> skal også bidra til større matglede, enten man bor hjemme, på sykehjem eller i o</w:t>
      </w:r>
      <w:r>
        <w:t>m</w:t>
      </w:r>
      <w:r>
        <w:t xml:space="preserve">sorgsbolig. Regjeringen har gjennom </w:t>
      </w:r>
      <w:r>
        <w:rPr>
          <w:rStyle w:val="kursiv"/>
          <w:sz w:val="21"/>
          <w:szCs w:val="21"/>
        </w:rPr>
        <w:t>Nasjonal handlingsplan for bedre kosthold (2017–2021)</w:t>
      </w:r>
      <w:r>
        <w:t xml:space="preserve"> omtalt m</w:t>
      </w:r>
      <w:r>
        <w:t>u</w:t>
      </w:r>
      <w:r>
        <w:t>lighetene som ligger i matproduksjon, produktutvikling og innovasjon. Dette er viktige elementer også for utvikling av en helsenæring som svarer på samfunnets behov.</w:t>
      </w:r>
    </w:p>
    <w:p w:rsidR="00D24D21" w:rsidRDefault="00D24D21" w:rsidP="00CE47F2">
      <w:r>
        <w:t>Dette innebærer også potensial for nye markeder for matindustrien i Norge, for nye matprodukter og måltidslø</w:t>
      </w:r>
      <w:r>
        <w:t>s</w:t>
      </w:r>
      <w:r>
        <w:t>ninger, jf. boks 6.3. Økt satsing på tilpasset mat vil gi personlige og samfunnsmessige gevinster i et forebyggende perspektiv.</w:t>
      </w:r>
    </w:p>
    <w:p w:rsidR="00D24D21" w:rsidRDefault="00D24D21" w:rsidP="00CE47F2">
      <w:r>
        <w:t>KS har laget et innovasjonsbarometer</w:t>
      </w:r>
      <w:r>
        <w:rPr>
          <w:vertAlign w:val="superscript"/>
        </w:rPr>
        <w:footnoteReference w:id="34"/>
      </w:r>
      <w:r>
        <w:t xml:space="preserve"> som er en undersøkelse av innovasjon i kommunale vir</w:t>
      </w:r>
      <w:r>
        <w:t>k</w:t>
      </w:r>
      <w:r>
        <w:t>somheter innenfor to sektorer: helse og omsorg og oppvekst og utdanning. Resultater fra Innov</w:t>
      </w:r>
      <w:r>
        <w:t>a</w:t>
      </w:r>
      <w:r>
        <w:t>sjonsbarometeret viser at medarbe</w:t>
      </w:r>
      <w:r>
        <w:t>i</w:t>
      </w:r>
      <w:r>
        <w:t>derne har en helt spesiell og positiv rolle når det gjelder å sette i gang og gje</w:t>
      </w:r>
      <w:r>
        <w:t>n</w:t>
      </w:r>
      <w:r>
        <w:t>nomføre innovasjon i kommunal sektor. Dette viser at innovasjon i kommunal sektor ikke er avhengig av eksperter eller ildsjeler alene. Innov</w:t>
      </w:r>
      <w:r>
        <w:t>a</w:t>
      </w:r>
      <w:r>
        <w:t>sjonsbarometeret viser også at virksomheter som lar medarbeidere arbeide innovativt, oppnår større medarbeide</w:t>
      </w:r>
      <w:r>
        <w:t>r</w:t>
      </w:r>
      <w:r>
        <w:t>tilfredshet og høyere kvalitet og effektivitet i tjenesteytin</w:t>
      </w:r>
      <w:r>
        <w:t>g</w:t>
      </w:r>
      <w:r>
        <w:t>en. Kommunale ledere er kilde til inspirasjon, de er viktige for å prioritere ressurser til innovasjonsarbeid og gi rom for å prøve ut nye løsninger. Organisasjonskultur spiller også en svært viktig rolle; risikovillighet, åpenhet, anerkjennelse og samarbeid gir flere nye lø</w:t>
      </w:r>
      <w:r>
        <w:t>s</w:t>
      </w:r>
      <w:r>
        <w:t>ninger. Barometeret viser at fire av ti virkso</w:t>
      </w:r>
      <w:r>
        <w:t>m</w:t>
      </w:r>
      <w:r>
        <w:t>heter har spredd sine innovasjoner, slik at andre kan gjenbruke løsningene.</w:t>
      </w:r>
    </w:p>
    <w:p w:rsidR="00D24D21" w:rsidRDefault="00D24D21" w:rsidP="00CE47F2">
      <w:r>
        <w:t>Innovasjonsbarometeret viser at spredning først og fremst skjer gjennom nettverk mellom kommuner og fylke</w:t>
      </w:r>
      <w:r>
        <w:t>s</w:t>
      </w:r>
      <w:r>
        <w:t>kommuner. Samarbeid på tvers av virksomheter og med aktører utenfor egen organisasjon er utbredt. Resultatene viser likevel at private virksomheter, forsknings- og utviklingsmiljøer og frivillige organisasjoner sjeldent deltar ved igangsetting av innovasjonsprosesser i kommuner og fylkeskommuner.</w:t>
      </w:r>
    </w:p>
    <w:p w:rsidR="00D24D21" w:rsidRDefault="00D24D21" w:rsidP="00CE47F2">
      <w:r>
        <w:t>Regjeringen vil vurdere hvordan innovasjonsaktivitet i de kommunale helse- og omsorgstjenestene best kan u</w:t>
      </w:r>
      <w:r>
        <w:t>t</w:t>
      </w:r>
      <w:r>
        <w:t>vikles. Arbeidet vil kunne bygge videre på kunnskap, kompetanse og verktøy som allerede er op</w:t>
      </w:r>
      <w:r>
        <w:t>p</w:t>
      </w:r>
      <w:r>
        <w:t>arbeidet og utviklet blant annet i oppfølgingen av regjeringens plan for omsorgsfeltet 2015–2020, O</w:t>
      </w:r>
      <w:r>
        <w:t>m</w:t>
      </w:r>
      <w:r>
        <w:t>sorg 2020. Regjeringens satsing på velferdsteknologi og hverdagsrehabilitering er blant tiltakene som har b</w:t>
      </w:r>
      <w:r>
        <w:t>i</w:t>
      </w:r>
      <w:r>
        <w:t xml:space="preserve">dratt til økt innovasjonsaktivitet i de kommunale helse- og omsorgstjenestene. </w:t>
      </w:r>
      <w:r>
        <w:lastRenderedPageBreak/>
        <w:t>Det er først og fremst gjennom å ta i bruk nye løsninger, ny teknologi og nye metoder og ved å styrke samspillet med familie, lokalsamfunn, frivillige, ideelle virksomheter og n</w:t>
      </w:r>
      <w:r>
        <w:t>æ</w:t>
      </w:r>
      <w:r>
        <w:t>ringsliv, at helse- og omsorgstilbudet i kommunene kan fornyes og forbedres.</w:t>
      </w:r>
    </w:p>
    <w:p w:rsidR="00D24D21" w:rsidRDefault="00D24D21" w:rsidP="00CE47F2">
      <w:pPr>
        <w:pStyle w:val="tittel-ramme"/>
      </w:pPr>
      <w:r>
        <w:t>Tilpasset mat</w:t>
      </w:r>
    </w:p>
    <w:p w:rsidR="00D24D21" w:rsidRDefault="00D24D21" w:rsidP="00CE47F2">
      <w:r>
        <w:t>Vital ernæring AS er en bedrift som har spesialisert seg på næringstett og konsistenstilpasset mat. Vital ernæring leverer spesialkost til sykehus, sykehjem og privatpersoner. Enten man vil lage ko</w:t>
      </w:r>
      <w:r>
        <w:t>n</w:t>
      </w:r>
      <w:r>
        <w:t>sistenstilpasset mat selv eller kjøpe ferdig, er det viktig at maten ser delikat ut, inneholder mye n</w:t>
      </w:r>
      <w:r>
        <w:t>æ</w:t>
      </w:r>
      <w:r>
        <w:t>ring og har riktig konsistens. Det er utfordrende å oppnå, selv for en profesjonell kokk. Vital ern</w:t>
      </w:r>
      <w:r>
        <w:t>æ</w:t>
      </w:r>
      <w:r>
        <w:t>ring leverer blant annet matkonseptene Soft Meals og 123Puré innenfor denne kategorien. Produ</w:t>
      </w:r>
      <w:r>
        <w:t>k</w:t>
      </w:r>
      <w:r>
        <w:t>tene distribueres gjennom landsdekkende grossister som ASKO og Servicegrossistene.</w:t>
      </w:r>
    </w:p>
    <w:p w:rsidR="00D24D21" w:rsidRDefault="00E636F4" w:rsidP="00E636F4">
      <w:pPr>
        <w:pStyle w:val="Figur"/>
      </w:pPr>
      <w:r>
        <w:rPr>
          <w:noProof/>
        </w:rPr>
        <w:t>[:figur:figX-X.jpg]</w:t>
      </w:r>
    </w:p>
    <w:p w:rsidR="00D24D21" w:rsidRDefault="00D24D21" w:rsidP="00CE47F2">
      <w:pPr>
        <w:pStyle w:val="figur-tittel"/>
      </w:pPr>
      <w:r>
        <w:t>Tilpasset mat</w:t>
      </w:r>
    </w:p>
    <w:p w:rsidR="00D24D21" w:rsidRDefault="00D24D21" w:rsidP="00CE47F2">
      <w:pPr>
        <w:pStyle w:val="figur-noter"/>
      </w:pPr>
      <w:r>
        <w:t>Foto: Vital ernæring AS</w:t>
      </w:r>
    </w:p>
    <w:p w:rsidR="00D24D21" w:rsidRDefault="00D24D21">
      <w:pPr>
        <w:pStyle w:val="Ramme-slutt"/>
        <w:rPr>
          <w:sz w:val="26"/>
          <w:szCs w:val="26"/>
        </w:rPr>
      </w:pPr>
      <w:r>
        <w:rPr>
          <w:sz w:val="26"/>
          <w:szCs w:val="26"/>
        </w:rPr>
        <w:t>[Boks slutt]</w:t>
      </w:r>
    </w:p>
    <w:p w:rsidR="00D24D21" w:rsidRDefault="00D24D21" w:rsidP="00CE47F2">
      <w:pPr>
        <w:pStyle w:val="Overskrift3"/>
      </w:pPr>
      <w:r>
        <w:t>Spesialisthelsetjenesten</w:t>
      </w:r>
    </w:p>
    <w:p w:rsidR="00D24D21" w:rsidRDefault="00D24D21" w:rsidP="00CE47F2">
      <w:r>
        <w:t>Staten har det overordnede ansvaret for at befolkningen gis nødvendig spesialisthelsetjeneste. Helse- og omsorgsdepartementet eier de regionale helseforetakene, som skal sørge for at personer i hels</w:t>
      </w:r>
      <w:r>
        <w:t>e</w:t>
      </w:r>
      <w:r>
        <w:t>regionen tilbys nødvendige spesialisthelsetjenester i tråd med det såkalte «sørge for-ansvaret».</w:t>
      </w:r>
    </w:p>
    <w:p w:rsidR="00D24D21" w:rsidRDefault="00D24D21" w:rsidP="00CE47F2">
      <w:r>
        <w:t>Måten sykehusene eies, reguleres og finansieres på påvirker rammebetingelsene til helsenæringen. Finansieringssystemet skaper økonomiske insentiver for sykehusene og kan påvirke valg av tekn</w:t>
      </w:r>
      <w:r>
        <w:t>o</w:t>
      </w:r>
      <w:r>
        <w:t>logi eller prosedyrer, og derfor hvilket utstyr og hvilke tjenester som kjøpes inn.</w:t>
      </w:r>
    </w:p>
    <w:p w:rsidR="00D24D21" w:rsidRDefault="00D24D21" w:rsidP="00CE47F2">
      <w:r>
        <w:t>Finansieringen av de regionale helseforetakene er i hovedsak todelt og består av en aktivitetsua</w:t>
      </w:r>
      <w:r>
        <w:t>v</w:t>
      </w:r>
      <w:r>
        <w:t>hengig del (b</w:t>
      </w:r>
      <w:r>
        <w:t>a</w:t>
      </w:r>
      <w:r>
        <w:t>sisbevilgning) og en aktivitetsavhengig del (innsatsstyrt finansiering). Finansieringen gis fra Helse- og omsorg</w:t>
      </w:r>
      <w:r>
        <w:t>s</w:t>
      </w:r>
      <w:r>
        <w:t>departementet til det respektive regionale helseforetakene som et tilskudd med tilhørende oppdragsbrev. I tillegg ytes det tilskudd til forskning, lån til investeringer og andre tilskudd.</w:t>
      </w:r>
    </w:p>
    <w:p w:rsidR="00D24D21" w:rsidRDefault="00D24D21" w:rsidP="00CE47F2">
      <w:r>
        <w:t>Det viktigste formålet med innsatsstyrt finansiering er å understøtte ansvaret til de regionale hels</w:t>
      </w:r>
      <w:r>
        <w:t>e</w:t>
      </w:r>
      <w:r>
        <w:t>foretakene og stimulere til kostnadseffektiv pasientbehandling. Innsatsstyrt finansiering skal unde</w:t>
      </w:r>
      <w:r>
        <w:t>r</w:t>
      </w:r>
      <w:r>
        <w:t>støtte ønsket faglig utvikling i spesialisthelsetjenesten.</w:t>
      </w:r>
    </w:p>
    <w:p w:rsidR="00D24D21" w:rsidRDefault="00D24D21" w:rsidP="00CE47F2">
      <w:r>
        <w:t>Finansieringssystemet bør understøtte innovasjon. Det pågår et utviklingsarbeid for at finansi</w:t>
      </w:r>
      <w:r>
        <w:t>e</w:t>
      </w:r>
      <w:r>
        <w:t>ringsordningen bedre skal understøtte sammenhengende forløp, bruk av ny teknologi, innovasjon i tjenesteu</w:t>
      </w:r>
      <w:r>
        <w:t>t</w:t>
      </w:r>
      <w:r>
        <w:t>forming og andre nye og effektive måter å organisere tjenestetilbudet på. Fra 2019 legger ordningen bedre til rette for at flere tjenester kan utføres utenfor sykehuset.</w:t>
      </w:r>
    </w:p>
    <w:p w:rsidR="00D24D21" w:rsidRDefault="00D24D21" w:rsidP="00CE47F2">
      <w:r>
        <w:t>For det første blir videokonsultasjoner tellende aktivitet for flere helsepersonell. Tidligere har det ikke blitt gitt refusjon for videokonsultasjoner der lege ikke har vært til stede. Nå gis det refusjon også når andre typer helsepersonell gjennomfører videokonsultasjoner. For det andre er det nå opprettet refusjon for medisinsk avstand</w:t>
      </w:r>
      <w:r>
        <w:t>s</w:t>
      </w:r>
      <w:r>
        <w:t xml:space="preserve">oppfølging som ikke har vært dekket av andre refusjoner </w:t>
      </w:r>
      <w:r>
        <w:lastRenderedPageBreak/>
        <w:t>tidligere. For det tredje gjøres det endringer som stimulerer til bruk av pasientadministrert leg</w:t>
      </w:r>
      <w:r>
        <w:t>e</w:t>
      </w:r>
      <w:r>
        <w:t>middelbehandling og hjemmedialyse. Pasientadministrert behandling som pasienten kan gjenno</w:t>
      </w:r>
      <w:r>
        <w:t>m</w:t>
      </w:r>
      <w:r>
        <w:t>føre hjemme kan ofte både være bedre for pasienten og være mer kostnadseffektivt.</w:t>
      </w:r>
    </w:p>
    <w:p w:rsidR="00D24D21" w:rsidRDefault="00D24D21" w:rsidP="00CE47F2">
      <w:r>
        <w:t>Helsedirektoratet er i 2019 gitt i oppdrag å fortsette sitt utviklingsarbeid knyttet til at finansieringen bedre skal understøtte sammenhengende forløp, bruk av ny teknologi, innovasjon i tjenesteutforming og nye og effektive måter å organisere tjenestetilbudet på. Utviklingsarbeidet skal bidra til at fina</w:t>
      </w:r>
      <w:r>
        <w:t>n</w:t>
      </w:r>
      <w:r>
        <w:t>sieringsordningen i størst mulig grad avspeiler og understøtter medisinsk praksis.</w:t>
      </w:r>
    </w:p>
    <w:p w:rsidR="00D24D21" w:rsidRDefault="00D24D21" w:rsidP="00CE47F2">
      <w:r>
        <w:t>Innovasjon og næringslivssamarbeid er virkemidler for å videreutvikle spesialisthelsetjenesten, kan bidra til at mål nås, og til at tjenesten kan gå i bærekraftig retning med likeverdige og trygge tjenester av høy kvalitet.</w:t>
      </w:r>
    </w:p>
    <w:p w:rsidR="00D24D21" w:rsidRDefault="00D24D21" w:rsidP="00CE47F2">
      <w:r>
        <w:t>Utvikling av ny teknologi og mer presis diagnostikk og behandling gjennom innovasjon er sentralt for å skape en bærekraftig helse- og omsorgstjeneste. I oppdragsdokumentet til de regionale hels</w:t>
      </w:r>
      <w:r>
        <w:t>e</w:t>
      </w:r>
      <w:r>
        <w:t>foretakene tydeliggjør Helse- og omsorgsdepartementet at et tettere samarbeid med næringslivet om forskning, innovasjon og innovative anska</w:t>
      </w:r>
      <w:r>
        <w:t>f</w:t>
      </w:r>
      <w:r>
        <w:t>felser er viktig for å få dette til. Regjeringen vil høsten 2019 legge fram en ny nasjonal helse- og sykehusplan hvor samhandling, teknologi og kompetanse er sentrale tema.</w:t>
      </w:r>
    </w:p>
    <w:p w:rsidR="00D24D21" w:rsidRDefault="00D24D21" w:rsidP="00CE47F2">
      <w:pPr>
        <w:pStyle w:val="Overskrift3"/>
      </w:pPr>
      <w:r>
        <w:t>Helseforvaltningen</w:t>
      </w:r>
    </w:p>
    <w:p w:rsidR="00D24D21" w:rsidRDefault="00D24D21" w:rsidP="00CE47F2">
      <w:r>
        <w:t>Helseforvaltningen omfatter blant annet Helsedirektoratet, Folkehelseinstituttet, Direktoratet for e-helse og Statens Legemiddelverk. Alle samhandler med næringslivet, men på ulike måter. Det er viktig at n</w:t>
      </w:r>
      <w:r>
        <w:t>æ</w:t>
      </w:r>
      <w:r>
        <w:t>ringslivet kjenner til helseforvaltningens ansvar og samfunnsrolle, og det er viktig at det er utviklet re</w:t>
      </w:r>
      <w:r>
        <w:t>t</w:t>
      </w:r>
      <w:r>
        <w:t>ningslinjer eller føringer for samarbeidet. For helseforvaltningen vil samarbeid med næringslivet være nyttig, og noen ganger avgjørende for å nå deres mål.</w:t>
      </w:r>
    </w:p>
    <w:p w:rsidR="00D24D21" w:rsidRDefault="00D24D21" w:rsidP="00CE47F2">
      <w:pPr>
        <w:pStyle w:val="avsnitt-undertittel"/>
      </w:pPr>
      <w:r>
        <w:t>Helsedirektoratet</w:t>
      </w:r>
    </w:p>
    <w:p w:rsidR="00D24D21" w:rsidRDefault="00D24D21" w:rsidP="00CE47F2">
      <w:r>
        <w:t>Helsedirektoratet skal være en faglig rådgiver, iverksette vedtatt politikk og forvalte lov og regelverk innenfor helse- og omsorgssektoren. Helsedirektoratet forvalter refusjonsordningene for de regi</w:t>
      </w:r>
      <w:r>
        <w:t>o</w:t>
      </w:r>
      <w:r>
        <w:t>nale helseforetakene. Helsedirektoratet har et helhetlig ansvar for den nasjonale helseberedskapen. Helsedirektoratet har utviklet egne retningslinjer for sitt samarbeid med næringslivet som er ti</w:t>
      </w:r>
      <w:r>
        <w:t>l</w:t>
      </w:r>
      <w:r>
        <w:t>gjengelige på deres nettsider.</w:t>
      </w:r>
    </w:p>
    <w:p w:rsidR="00D24D21" w:rsidRDefault="00D24D21" w:rsidP="00CE47F2">
      <w:pPr>
        <w:pStyle w:val="avsnitt-undertittel"/>
      </w:pPr>
      <w:r>
        <w:t>Folkehelseinstituttet</w:t>
      </w:r>
    </w:p>
    <w:p w:rsidR="00D24D21" w:rsidRDefault="00D24D21" w:rsidP="00CE47F2">
      <w:r>
        <w:t>Folkehelseinstituttet skal bidra til godt folkehelsearbeid og gode helse- og omsorgstjenester ved å produsere, oppsummere og kommunisere kunnskap. Folkehelseinstituttet driver omfattende fors</w:t>
      </w:r>
      <w:r>
        <w:t>k</w:t>
      </w:r>
      <w:r>
        <w:t>ningsvirksomhet, og samarbeider med næringslivet i en del prosjekter. Folkehelseinstituttet forvalter data fra forskning og registre som kan være av stor verdi for næringslivets forskningsaktivitet. Folkehelseinstituttet har utviklet retningslinjer for sitt samarbeid med næringslivet. Disse er ti</w:t>
      </w:r>
      <w:r>
        <w:t>l</w:t>
      </w:r>
      <w:r>
        <w:t>gjengelige på Folkehelseinstituttets nettsider. Ifølge retningslinjene skal samarbeidet ha faglig r</w:t>
      </w:r>
      <w:r>
        <w:t>e</w:t>
      </w:r>
      <w:r>
        <w:t>levans og bidra til å styrke instituttets evne til å gjennomføre sine oppgaver. Samtidig er Folkehe</w:t>
      </w:r>
      <w:r>
        <w:t>l</w:t>
      </w:r>
      <w:r>
        <w:t>seinstituttet klare på at de ikke skal sa</w:t>
      </w:r>
      <w:r>
        <w:t>m</w:t>
      </w:r>
      <w:r>
        <w:t>arbeide med tobakksindustri eller gå inn i samarbeid som undergraver deres uavhengighet.</w:t>
      </w:r>
    </w:p>
    <w:p w:rsidR="00D24D21" w:rsidRDefault="00D24D21" w:rsidP="00CE47F2">
      <w:pPr>
        <w:pStyle w:val="avsnitt-undertittel"/>
      </w:pPr>
      <w:r>
        <w:lastRenderedPageBreak/>
        <w:t>Statens legemiddelverk</w:t>
      </w:r>
    </w:p>
    <w:p w:rsidR="00D24D21" w:rsidRDefault="00D24D21" w:rsidP="00CE47F2">
      <w:r>
        <w:t>Statens legemiddelverk er fag- og tilsynsmyndighet for legemidler og medisinsk utstyr i Norge. Leg</w:t>
      </w:r>
      <w:r>
        <w:t>e</w:t>
      </w:r>
      <w:r>
        <w:t>middelverket skal bidra til at målene for legemiddelpolitikken blir oppfylt. Legemiddelverket gir også informasjon om regelverk og saksbehandling. De skal gi innovasjonsstøtte gjennom ve</w:t>
      </w:r>
      <w:r>
        <w:t>i</w:t>
      </w:r>
      <w:r>
        <w:t>ledning ved leg</w:t>
      </w:r>
      <w:r>
        <w:t>e</w:t>
      </w:r>
      <w:r>
        <w:t>middelutvikling og veilede og informere om produktregelverket for medisinsk utstyr. Legemiddelverkets oppgaver når det gjelder innovasjonsstøtte er nærmere omtalt i kapittel 8.</w:t>
      </w:r>
    </w:p>
    <w:p w:rsidR="00D24D21" w:rsidRDefault="00D24D21" w:rsidP="00CE47F2">
      <w:pPr>
        <w:pStyle w:val="avsnitt-undertittel"/>
      </w:pPr>
      <w:r>
        <w:t>Direktoratet for e-helse</w:t>
      </w:r>
    </w:p>
    <w:p w:rsidR="00D24D21" w:rsidRDefault="00D24D21" w:rsidP="00CE47F2">
      <w:r>
        <w:t>Direktoratet for e-helse har tre overordnede roller. Direktoratet er nasjonal premissgiver, faglig rådgiver og pådriver på e-helseområdet. Direktoratet skal gi råd til Helse- og omsorgsdepartementet og sektoren i saker om digitalisering, og legge til rette for nasjonal samordning i utvikling av e-helse.</w:t>
      </w:r>
    </w:p>
    <w:p w:rsidR="00D24D21" w:rsidRDefault="00D24D21" w:rsidP="00CE47F2">
      <w:r>
        <w:t>Det pågående digitaliseringsarbeidet i sektoren er avhengig av en markedssituasjon hvor en større del av de te</w:t>
      </w:r>
      <w:r>
        <w:t>k</w:t>
      </w:r>
      <w:r>
        <w:t>niske løsningene både utvikles av, og tilbys i, det private markedet. Direktoratet skal legge til rette for økt bruk av markedet, og gjennom utvikling av nasjonale strategier for digitalis</w:t>
      </w:r>
      <w:r>
        <w:t>e</w:t>
      </w:r>
      <w:r>
        <w:t>ring bidra til å danne grunnlag for nyskapning, bedre tjenester og næringsutvikling.</w:t>
      </w:r>
    </w:p>
    <w:p w:rsidR="00D24D21" w:rsidRDefault="00D24D21" w:rsidP="00CE47F2">
      <w:r>
        <w:t>Direktoratet for e-helse har siden etableringen i 2016 ivaretatt både en rolle som myndighet på e-helseområdet, og som leverandør av nasjonale e-helseløsninger. Dobbeltrollen har gitt kraft til utvikling, men har også skapt uklare ansvarslinjer mellom hva direktoratet skal levere og hva n</w:t>
      </w:r>
      <w:r>
        <w:t>æ</w:t>
      </w:r>
      <w:r>
        <w:t>ringslivet skal l</w:t>
      </w:r>
      <w:r>
        <w:t>e</w:t>
      </w:r>
      <w:r>
        <w:t>vere. Videre, og som en konsekvens av utbredelsen og bruken av nasjonale løsninger øker, vurderer He</w:t>
      </w:r>
      <w:r>
        <w:t>l</w:t>
      </w:r>
      <w:r>
        <w:t>se- og omsorgsdepartementet at det er behov for å tydeliggjøre direktoratets rolle som myndighet inne</w:t>
      </w:r>
      <w:r>
        <w:t>n</w:t>
      </w:r>
      <w:r>
        <w:t>for arkitektur, tekniske standarder, helsefaglig terminologi og kodeverk.</w:t>
      </w:r>
    </w:p>
    <w:p w:rsidR="00D24D21" w:rsidRDefault="00D24D21" w:rsidP="00CE47F2">
      <w:r>
        <w:t>Direktoratet for e-helse har på oppdrag fra Helse- og omsorgsdepartementet utarbeidet forslag til ny e-helseorganisering med tilhørende styrings- og finansieringsmodell. Det statlige foretaket Norsk Hels</w:t>
      </w:r>
      <w:r>
        <w:t>e</w:t>
      </w:r>
      <w:r>
        <w:t>nett har deltatt i arbeidet. I forslaget anbefales det at dagens leverandøroppgaver overføres til Norsk Helsenett, og at statsforetaket etableres som en nasjonal tjenesteleverandør. Regjeringen har besluttet å arbeide videre med å overføre ansvar, oppgaver og ansatte knyttet til eksisterende e-helseløsninger fra D</w:t>
      </w:r>
      <w:r>
        <w:t>i</w:t>
      </w:r>
      <w:r>
        <w:t>rektoratet for e-helse til i Norsk Helsenett.</w:t>
      </w:r>
    </w:p>
    <w:p w:rsidR="00D24D21" w:rsidRDefault="00D24D21" w:rsidP="00CE47F2">
      <w:pPr>
        <w:pStyle w:val="tittel-ramme"/>
      </w:pPr>
      <w:r>
        <w:t>Responssentertjeneste i Kristiansand kommune</w:t>
      </w:r>
    </w:p>
    <w:p w:rsidR="00D24D21" w:rsidRDefault="00D24D21" w:rsidP="00CE47F2">
      <w:r>
        <w:t>Det nasjonale velferdsteknologiprogrammet anbefalte i 2016 kommunene om å etablere en r</w:t>
      </w:r>
      <w:r>
        <w:t>e</w:t>
      </w:r>
      <w:r>
        <w:t>sponssentertjeneste for trygghetsskapende teknologier. Responssentertjeneste er en tjeneste som tar imot, vurderer, dokumenterer og responderer på varsler fra velferdsteknologiske løsninger. R</w:t>
      </w:r>
      <w:r>
        <w:t>e</w:t>
      </w:r>
      <w:r>
        <w:t>sponssentertjenesten skal gi råd og veiledning og registrere, prioritere og eventuelt iverksette nø</w:t>
      </w:r>
      <w:r>
        <w:t>d</w:t>
      </w:r>
      <w:r>
        <w:t>vendig og effektiv oppfølging av varslet. Kristiansand kommune etablerte i 2017 en responssente</w:t>
      </w:r>
      <w:r>
        <w:t>r</w:t>
      </w:r>
      <w:r>
        <w:t>tjeneste. Tjenesten er en del av det interkommunale samarbeidet i Agder bestående av 30 kommuner. Tjenesten tar imot alarmer og varsler fra trygghetsalarmer, røykalarmer, dør-fall- og bevegelse</w:t>
      </w:r>
      <w:r>
        <w:t>s</w:t>
      </w:r>
      <w:r>
        <w:t>sensorer, i tillegg til teknologier for GPS-sporing, medisineringsstøtte og videotilsyn. I tillegg tar responssentertjenesten alarmer og varsler fra kommuner på vegne av Telenor Object. Kristiansand kommune har kunder over hele landet. Næring</w:t>
      </w:r>
      <w:r>
        <w:t>s</w:t>
      </w:r>
      <w:r>
        <w:t>livssamarbeid går på denne måten begge veier.</w:t>
      </w:r>
    </w:p>
    <w:p w:rsidR="00D24D21" w:rsidRDefault="00D24D21">
      <w:pPr>
        <w:pStyle w:val="Ramme-slutt"/>
        <w:rPr>
          <w:sz w:val="26"/>
          <w:szCs w:val="26"/>
        </w:rPr>
      </w:pPr>
      <w:r>
        <w:rPr>
          <w:sz w:val="26"/>
          <w:szCs w:val="26"/>
        </w:rPr>
        <w:t>[Boks slutt]</w:t>
      </w:r>
    </w:p>
    <w:p w:rsidR="00D24D21" w:rsidRDefault="00D24D21" w:rsidP="00CE47F2">
      <w:pPr>
        <w:pStyle w:val="Overskrift2"/>
      </w:pPr>
      <w:r>
        <w:lastRenderedPageBreak/>
        <w:t>Arenaer for samhandling</w:t>
      </w:r>
    </w:p>
    <w:p w:rsidR="00D24D21" w:rsidRDefault="00D24D21" w:rsidP="00CE47F2">
      <w:r>
        <w:t>Det er tatt flere initiativ til å bedre samspillet i helse- og omsorgssektoren. Samhandlingsarenaer kan b</w:t>
      </w:r>
      <w:r>
        <w:t>i</w:t>
      </w:r>
      <w:r>
        <w:t>dra til gjensidig forståelse for kultur, rammebetingelser, behov, mål og virkemidler. Slike arenaer har som mål å utvikle felles og realistiske mål og innretning, og for å kunne avdekke barrierer og mulighetsrom.</w:t>
      </w:r>
    </w:p>
    <w:p w:rsidR="00D24D21" w:rsidRDefault="00D24D21" w:rsidP="00CE47F2">
      <w:r>
        <w:t>Det er flere måte å skape gode arenaer for samhandling mellom de ulike aktørene. Fysisk samlok</w:t>
      </w:r>
      <w:r>
        <w:t>a</w:t>
      </w:r>
      <w:r>
        <w:t>lisering har for eksempel flere fordeler, hvor blant annet den daglige interaksjonen mellom aktørene kan legge til rette for en gjensidig læring og ideutveksling som ellers ikke ville ha skjedd. Eksempler på ve</w:t>
      </w:r>
      <w:r>
        <w:t>l</w:t>
      </w:r>
      <w:r>
        <w:t>lykket samlokalisering mellom ulike relevante aktører er Oslo Cancer Cluster (se boks 6.5) og Helsei</w:t>
      </w:r>
      <w:r>
        <w:t>n</w:t>
      </w:r>
      <w:r>
        <w:t>novasjonsenteret i Kristiansund(se boks 6.6)</w:t>
      </w:r>
    </w:p>
    <w:p w:rsidR="00D24D21" w:rsidRDefault="00D24D21" w:rsidP="00CE47F2">
      <w:pPr>
        <w:pStyle w:val="tittel-ramme"/>
      </w:pPr>
      <w:r>
        <w:t>Oslo Cancer Cluster</w:t>
      </w:r>
    </w:p>
    <w:p w:rsidR="00D24D21" w:rsidRDefault="00D24D21" w:rsidP="00CE47F2">
      <w:r>
        <w:t>Oslo Cancer Cluster (OCC) er en forsknings- og industriklynge innenfor kreft som vil sikre pasienter raskere tilgang til nye kreftbehandlinger og diagnostiske verktøy. Klyngen gjør dette ved å legge til rette for et godt miljø for innovasjon og samarbeid, der barrierer mellom akademia og næringsliv brytes ned og gründerbedrifter får fødselshjelp. OCC arrangerer seminarer, tilbyr bistand i alle deler av innovasjon</w:t>
      </w:r>
      <w:r>
        <w:t>s</w:t>
      </w:r>
      <w:r>
        <w:t>prosessen, kobler mindre bedrifter med store bedrifter, kobler sine medlemmer mot et globalt nettverk, inviterer til møter med myndigheter, undersøker finansieringsmuligheter og gir råd til søkere av EUs forskningsmidler. Per 2018 omfatter klyngen flere enn 90 medlemmer som r</w:t>
      </w:r>
      <w:r>
        <w:t>e</w:t>
      </w:r>
      <w:r>
        <w:t>presenterer hele verdikj</w:t>
      </w:r>
      <w:r>
        <w:t>e</w:t>
      </w:r>
      <w:r>
        <w:t>den fra forskning til industri, ofte verdensledende på sine områder.</w:t>
      </w:r>
    </w:p>
    <w:p w:rsidR="00D24D21" w:rsidRDefault="00D24D21" w:rsidP="00CE47F2">
      <w:r>
        <w:t>Områder som OCC prioriterer for å akselerere utviklingen av nye kreftbehandlinger er presisjon</w:t>
      </w:r>
      <w:r>
        <w:t>s</w:t>
      </w:r>
      <w:r>
        <w:t>medisin og i</w:t>
      </w:r>
      <w:r>
        <w:t>m</w:t>
      </w:r>
      <w:r>
        <w:t>munterapi innenfor kreft, samt bedre bruk av helsedata, mer effektive kliniske studier og bedre internasjonale forskningssamarbeid. OCC er i seg selv en møteplass i Oslo Cancer Cluster Innovasjonspark, som også består av Ullern videregående skole, Kreftregisteret, Oslo universitet</w:t>
      </w:r>
      <w:r>
        <w:t>s</w:t>
      </w:r>
      <w:r>
        <w:t>sykehus, og mer enn 30 selskaper som jobber med kreft i Oslo Cancer Cluster Incubator (et unde</w:t>
      </w:r>
      <w:r>
        <w:t>r</w:t>
      </w:r>
      <w:r>
        <w:t>selskap av OCC). Samlokal</w:t>
      </w:r>
      <w:r>
        <w:t>i</w:t>
      </w:r>
      <w:r>
        <w:t>sering i en slik innovasjonspark for kreft blir sett på som viktig for næringsutviklingen. OCC Incubator tilbyr op</w:t>
      </w:r>
      <w:r>
        <w:t>p</w:t>
      </w:r>
      <w:r>
        <w:t>startsselskaper rådgivning, finansiering av og tilgang til laboratorier, kontorer og infrastruktur. I tillegg er inkubatoren et felles kontaktpunkt for investorer og farmasøytiske selskaper på utkikk etter samarbeid</w:t>
      </w:r>
      <w:r>
        <w:t>s</w:t>
      </w:r>
      <w:r>
        <w:t>partnere og mulige investeringer. OCC ble stiftet i 2006, og springer ut fra kreftforskningsmiljøet ved Rikshospitalet, Radiumhospitalet og Universitetet i Oslo, samt bedrifter og andre kunnskapsakt</w:t>
      </w:r>
      <w:r>
        <w:t>ø</w:t>
      </w:r>
      <w:r>
        <w:t>rer. OCC er i dag et Norwegian Centre of Expertise med medlemmer som jobber med kreft over hele la</w:t>
      </w:r>
      <w:r>
        <w:t>n</w:t>
      </w:r>
      <w:r>
        <w:t>det.</w:t>
      </w:r>
    </w:p>
    <w:p w:rsidR="00D24D21" w:rsidRDefault="00E636F4" w:rsidP="00E636F4">
      <w:pPr>
        <w:pStyle w:val="Figur"/>
      </w:pPr>
      <w:r>
        <w:rPr>
          <w:noProof/>
        </w:rPr>
        <w:t>[:figur:figX-X.jpg]</w:t>
      </w:r>
    </w:p>
    <w:p w:rsidR="00D24D21" w:rsidRDefault="00D24D21" w:rsidP="00CE47F2">
      <w:pPr>
        <w:pStyle w:val="figur-tittel"/>
      </w:pPr>
      <w:r>
        <w:t>Mating av celler</w:t>
      </w:r>
    </w:p>
    <w:p w:rsidR="00D24D21" w:rsidRDefault="00D24D21" w:rsidP="00CE47F2">
      <w:pPr>
        <w:pStyle w:val="figur-noter"/>
      </w:pPr>
      <w:r>
        <w:t>Foto: Christopher Olssøn, Oslo Cancer Cluster</w:t>
      </w:r>
    </w:p>
    <w:p w:rsidR="00D24D21" w:rsidRDefault="00D24D21">
      <w:pPr>
        <w:pStyle w:val="Ramme-slutt"/>
        <w:rPr>
          <w:sz w:val="26"/>
          <w:szCs w:val="26"/>
        </w:rPr>
      </w:pPr>
      <w:r>
        <w:rPr>
          <w:sz w:val="26"/>
          <w:szCs w:val="26"/>
        </w:rPr>
        <w:t>[Boks slutt]</w:t>
      </w:r>
    </w:p>
    <w:p w:rsidR="00D24D21" w:rsidRDefault="00D24D21" w:rsidP="00CE47F2">
      <w:pPr>
        <w:pStyle w:val="tittel-ramme"/>
      </w:pPr>
      <w:r>
        <w:t>Helseinnovasjonssenteret i Kristiansund</w:t>
      </w:r>
    </w:p>
    <w:p w:rsidR="00D24D21" w:rsidRDefault="00D24D21" w:rsidP="00CE47F2">
      <w:r>
        <w:t>Helseinnovasjonssenteret i Kristiansund arbeider for økt bruk og innfasing av teknologi og tj</w:t>
      </w:r>
      <w:r>
        <w:t>e</w:t>
      </w:r>
      <w:r>
        <w:t>nesteinnovasjon i helse- og omsorgssektoren, samt koordinering og videreutvikling av interko</w:t>
      </w:r>
      <w:r>
        <w:t>m</w:t>
      </w:r>
      <w:r>
        <w:lastRenderedPageBreak/>
        <w:t>munale samarbeid med bakgrunn i fagområdene forskning og innovasjon, helse som næring, ve</w:t>
      </w:r>
      <w:r>
        <w:t>l</w:t>
      </w:r>
      <w:r>
        <w:t>ferdsteknologi og respon</w:t>
      </w:r>
      <w:r>
        <w:t>s</w:t>
      </w:r>
      <w:r>
        <w:t>tjenester. Senterets styringsgruppe er bredt sammensatt med representanter fra kommuner, helseforet</w:t>
      </w:r>
      <w:r>
        <w:t>a</w:t>
      </w:r>
      <w:r>
        <w:t>ket, fylkeskommunen, Fagforbundet og næringsorganisasjoner. Senteret eies i dag av Orkidé – Nordmøre regionråd, som er et formalisert samarbeid mellom kommunene på Nordmøre.</w:t>
      </w:r>
    </w:p>
    <w:p w:rsidR="00D24D21" w:rsidRDefault="00D24D21">
      <w:pPr>
        <w:pStyle w:val="Ramme-slutt"/>
        <w:rPr>
          <w:sz w:val="26"/>
          <w:szCs w:val="26"/>
        </w:rPr>
      </w:pPr>
      <w:r>
        <w:rPr>
          <w:sz w:val="26"/>
          <w:szCs w:val="26"/>
        </w:rPr>
        <w:t>[Boks slutt]</w:t>
      </w:r>
    </w:p>
    <w:p w:rsidR="00D24D21" w:rsidRDefault="00D24D21" w:rsidP="00CE47F2">
      <w:r>
        <w:t>Når nye sykehusbygg skal planlegges, vil det være viktig å legge til rette for innovasjon og sa</w:t>
      </w:r>
      <w:r>
        <w:t>m</w:t>
      </w:r>
      <w:r>
        <w:t>handling. Dette kan gjøres både gjennom fysisk samlokalisering og gjennom utforming av byggene. Sykehusbygg HF, som eies av alle de fire helseregionene, skal sikre et nasjonalt kompetansemiljø for sykehusplanle</w:t>
      </w:r>
      <w:r>
        <w:t>g</w:t>
      </w:r>
      <w:r>
        <w:t>ging og -bygging på høyt internasjonalt nivå. Sykehusbygg HF har blant annet som formål å bidra til fra</w:t>
      </w:r>
      <w:r>
        <w:t>m</w:t>
      </w:r>
      <w:r>
        <w:t>tidsrettet utvikling av sykehusbyggingen i Norge gjennom læring, innovasjon, erfarings- og kompetans</w:t>
      </w:r>
      <w:r>
        <w:t>e</w:t>
      </w:r>
      <w:r>
        <w:t>overføring.</w:t>
      </w:r>
    </w:p>
    <w:p w:rsidR="00D24D21" w:rsidRDefault="00D24D21" w:rsidP="009C17C8">
      <w:pPr>
        <w:pStyle w:val="Overskrift3"/>
        <w:numPr>
          <w:ilvl w:val="2"/>
          <w:numId w:val="222"/>
        </w:numPr>
      </w:pPr>
      <w:r>
        <w:t>HelseOmsorg21</w:t>
      </w:r>
    </w:p>
    <w:p w:rsidR="00D24D21" w:rsidRDefault="00D24D21" w:rsidP="00CE47F2">
      <w:r>
        <w:t>Helse- og omsorgsdepartementet tok våren 2013 initiativ til at det skulle utarbeides en HelseO</w:t>
      </w:r>
      <w:r>
        <w:t>m</w:t>
      </w:r>
      <w:r>
        <w:t>sorg21-strategi.</w:t>
      </w:r>
      <w:r>
        <w:rPr>
          <w:vertAlign w:val="superscript"/>
        </w:rPr>
        <w:footnoteReference w:id="35"/>
      </w:r>
      <w:r>
        <w:t xml:space="preserve"> Strategien, som ble ferdigstilt i 2014, inneholder ti strategiske satsingsområder og en rekke forslag stilet til et bredt sett av aktører jf. boks 6.7. Hovedansvaret for oppfølgingen av HelseOmsorg21-strategien ligger på aktørene selv. For å følge opp strategien la regjeringen i n</w:t>
      </w:r>
      <w:r>
        <w:t>o</w:t>
      </w:r>
      <w:r>
        <w:t>vember 2015 fram en handlingsplan for oppfølging og sitt ansvar av strategien. Regjeringen har kommet langt i oppfølgingen av handlingsplanens tiltakspunkter, flere tiltak er gjennomført og andre tiltak er i prosess. Ett av de ti satsingsområdene er næringsutvikling, men også andre temaer er r</w:t>
      </w:r>
      <w:r>
        <w:t>e</w:t>
      </w:r>
      <w:r>
        <w:t>levante for utvikling av helsenæring.</w:t>
      </w:r>
    </w:p>
    <w:p w:rsidR="00D24D21" w:rsidRDefault="00D24D21" w:rsidP="00CE47F2">
      <w:r>
        <w:t>Helse- og omsorgsdepartementet etablerte i 2015 HelseOmsorg21-rådet, med et sekretariat i Fors</w:t>
      </w:r>
      <w:r>
        <w:t>k</w:t>
      </w:r>
      <w:r>
        <w:t>ningsrådet. Rådet skal bidra til en helhetlig oppfølging av HelseOmsorg21-strategien og være di</w:t>
      </w:r>
      <w:r>
        <w:t>a</w:t>
      </w:r>
      <w:r>
        <w:t>logarena og møteplass for aktørene som har en rolle innenfor forskning og innovasjon i helse og omsorg. Medlemmene i rådet er sentrale personer fra næringsliv, sykehus, universiteter og høysk</w:t>
      </w:r>
      <w:r>
        <w:t>o</w:t>
      </w:r>
      <w:r>
        <w:t>ler, offentlig forvaltning, kommunesektoren og bruke</w:t>
      </w:r>
      <w:r>
        <w:t>r</w:t>
      </w:r>
      <w:r>
        <w:t>organisasjoner. HelseOmsorg21-rådet har vært en viktig pådriver for politikkutvikling og gjennomføring innenfor strategiens satsingsområder, blant annet bedre bruk av helsedata, mer forskning i og for kommunene og helsenæring. Hels</w:t>
      </w:r>
      <w:r>
        <w:t>e</w:t>
      </w:r>
      <w:r>
        <w:t>Omsorg21-rådet er oppnevnt ut juni 2019. I oppnevningen av et nytt HelseOmsorg21-råd, vil r</w:t>
      </w:r>
      <w:r>
        <w:t>e</w:t>
      </w:r>
      <w:r>
        <w:t>gjeringen se på hvordan rådets rolle som str</w:t>
      </w:r>
      <w:r>
        <w:t>a</w:t>
      </w:r>
      <w:r>
        <w:t>tegisk dialogarena for helsenæringen kan videreutvikles.</w:t>
      </w:r>
    </w:p>
    <w:p w:rsidR="00D24D21" w:rsidRDefault="00D24D21" w:rsidP="00CE47F2">
      <w:pPr>
        <w:pStyle w:val="tittel-ramme"/>
      </w:pPr>
      <w:r>
        <w:t>HelseOmsorg21</w:t>
      </w:r>
    </w:p>
    <w:p w:rsidR="00D24D21" w:rsidRDefault="00E636F4" w:rsidP="00E636F4">
      <w:pPr>
        <w:pStyle w:val="Figur"/>
      </w:pPr>
      <w:r>
        <w:rPr>
          <w:noProof/>
        </w:rPr>
        <w:t>[:figur:figX-X.jpg]</w:t>
      </w:r>
    </w:p>
    <w:p w:rsidR="00D24D21" w:rsidRDefault="00D24D21" w:rsidP="00CE47F2">
      <w:pPr>
        <w:pStyle w:val="figur-tittel"/>
      </w:pPr>
      <w:r>
        <w:t>Målbildet for HelseOmsorg21</w:t>
      </w:r>
    </w:p>
    <w:p w:rsidR="00D24D21" w:rsidRDefault="00D24D21" w:rsidP="00CE47F2">
      <w:pPr>
        <w:pStyle w:val="Kilde"/>
      </w:pPr>
      <w:r>
        <w:t>HelseOmsorg21-strategien</w:t>
      </w:r>
    </w:p>
    <w:p w:rsidR="00D24D21" w:rsidRDefault="00D24D21" w:rsidP="00CE47F2">
      <w:r>
        <w:lastRenderedPageBreak/>
        <w:t>Målbildet er tredelt og strategien skal gjennom forskning og innovasjon bidra til:</w:t>
      </w:r>
    </w:p>
    <w:p w:rsidR="00D24D21" w:rsidRDefault="00D24D21" w:rsidP="00CE47F2">
      <w:pPr>
        <w:rPr>
          <w:rStyle w:val="kursiv"/>
          <w:sz w:val="21"/>
          <w:szCs w:val="21"/>
        </w:rPr>
      </w:pPr>
      <w:r>
        <w:rPr>
          <w:rStyle w:val="kursiv"/>
          <w:sz w:val="21"/>
          <w:szCs w:val="21"/>
        </w:rPr>
        <w:t>God folkehelse</w:t>
      </w:r>
      <w:r>
        <w:t xml:space="preserve"> – for befolkningen og for den enkelte, inkludert tjenester av høy kvalitet, pasientsi</w:t>
      </w:r>
      <w:r>
        <w:t>k</w:t>
      </w:r>
      <w:r>
        <w:t>kerhet, brukermedvirkning, kunnskapsbaserte tjenester, innovasjon og effektivitet, kompetent he</w:t>
      </w:r>
      <w:r>
        <w:t>l</w:t>
      </w:r>
      <w:r>
        <w:t>sepersonell og god organ</w:t>
      </w:r>
      <w:r>
        <w:t>i</w:t>
      </w:r>
      <w:r>
        <w:t>sering og ledelse.</w:t>
      </w:r>
    </w:p>
    <w:p w:rsidR="00D24D21" w:rsidRDefault="00D24D21" w:rsidP="00CE47F2">
      <w:pPr>
        <w:rPr>
          <w:rStyle w:val="kursiv"/>
          <w:sz w:val="21"/>
          <w:szCs w:val="21"/>
        </w:rPr>
      </w:pPr>
      <w:r>
        <w:rPr>
          <w:rStyle w:val="kursiv"/>
          <w:sz w:val="21"/>
          <w:szCs w:val="21"/>
        </w:rPr>
        <w:t>Grensesprengende forskning</w:t>
      </w:r>
      <w:r>
        <w:t xml:space="preserve"> – fremragende forskning av høy internasjonal kvalitet og betydning, FoU-miljøer i verdenstoppen, forskningens egenverdi – som kulturbærer og fundament for kun</w:t>
      </w:r>
      <w:r>
        <w:t>n</w:t>
      </w:r>
      <w:r>
        <w:t>skapsutvikling.</w:t>
      </w:r>
    </w:p>
    <w:p w:rsidR="00D24D21" w:rsidRDefault="00D24D21" w:rsidP="00CE47F2">
      <w:pPr>
        <w:rPr>
          <w:rStyle w:val="kursiv"/>
          <w:sz w:val="21"/>
          <w:szCs w:val="21"/>
        </w:rPr>
      </w:pPr>
      <w:r>
        <w:rPr>
          <w:rStyle w:val="kursiv"/>
          <w:sz w:val="21"/>
          <w:szCs w:val="21"/>
        </w:rPr>
        <w:t>Næringsutvikling og nasjonal økonomisk utvikling</w:t>
      </w:r>
      <w:r>
        <w:t xml:space="preserve"> – lønnsomt norsk næringsliv, internasjonalt konku</w:t>
      </w:r>
      <w:r>
        <w:t>r</w:t>
      </w:r>
      <w:r>
        <w:t>ransedyktig FoU og innovasjon, investeringer fra utlandet i både industri og FoU.</w:t>
      </w:r>
    </w:p>
    <w:p w:rsidR="00D24D21" w:rsidRDefault="00D24D21">
      <w:pPr>
        <w:pStyle w:val="Ramme-slutt"/>
        <w:rPr>
          <w:sz w:val="26"/>
          <w:szCs w:val="26"/>
        </w:rPr>
      </w:pPr>
      <w:r>
        <w:rPr>
          <w:sz w:val="26"/>
          <w:szCs w:val="26"/>
        </w:rPr>
        <w:t>[Boks slutt]</w:t>
      </w:r>
    </w:p>
    <w:p w:rsidR="00D24D21" w:rsidRDefault="00D24D21" w:rsidP="00CE47F2">
      <w:pPr>
        <w:pStyle w:val="Overskrift3"/>
      </w:pPr>
      <w:r>
        <w:t>Universitets- og høyskolesektoren</w:t>
      </w:r>
    </w:p>
    <w:p w:rsidR="00D24D21" w:rsidRDefault="00D24D21" w:rsidP="00CE47F2">
      <w:r>
        <w:t>Forskning og utvikling knyttet til medisin, helse og omsorg utføres også i stor skala på universiteter og høyskoler, ofte i tett samarbeid med helseforetakene. Helseforetak med universitetssykehu</w:t>
      </w:r>
      <w:r>
        <w:t>s</w:t>
      </w:r>
      <w:r>
        <w:t>funksjoner (universitetssykehusene) er pålagt et særskilt ansvar for forskning, men alle helseforetak er kunnskap</w:t>
      </w:r>
      <w:r>
        <w:t>s</w:t>
      </w:r>
      <w:r>
        <w:t>institusjoner og skal ha forskning som en integrert del av sin virksomhet. I tillegg har mange industrielle institutter de siste årene bygget opp kompetanse i helseforskning, for eksempel SINTEF (se boks 7.12) og NORCE. Til sammen utgjør disse relevante aktører i og for norsk he</w:t>
      </w:r>
      <w:r>
        <w:t>l</w:t>
      </w:r>
      <w:r>
        <w:t>senæring, og det er et potensial for bedre utnyttelse av dette samhandlingsrommet.</w:t>
      </w:r>
    </w:p>
    <w:p w:rsidR="00D24D21" w:rsidRDefault="00D24D21" w:rsidP="00CE47F2">
      <w:r>
        <w:t>Universitetenes og høyskolenes ansvar for forskning og innovasjon er nedfelt i universitets- og høgskoleloven. I tillegg til å tilby høyere utdanning på høyt internasjonalt nivå skal utdanningsi</w:t>
      </w:r>
      <w:r>
        <w:t>n</w:t>
      </w:r>
      <w:r>
        <w:t>stitusjonene utføre forskning og faglig og kunstnerisk utviklingsarbeid på høyt internasjonalt nivå, og sørge for at kunnskapen anvendes og fo</w:t>
      </w:r>
      <w:r>
        <w:t>r</w:t>
      </w:r>
      <w:r>
        <w:t>midles.</w:t>
      </w:r>
    </w:p>
    <w:p w:rsidR="00D24D21" w:rsidRDefault="00D24D21" w:rsidP="00CE47F2">
      <w:r>
        <w:t>Helse- og omsorgstjenestene og universitets- og høyskolesektoren er underlagt ulike rammer og retningslinjer. Dette kan ofte skape et inntrykk av at det er utfordrende for de to sektorene å sa</w:t>
      </w:r>
      <w:r>
        <w:t>m</w:t>
      </w:r>
      <w:r>
        <w:t>arbeide om forskning og inn</w:t>
      </w:r>
      <w:r>
        <w:t>o</w:t>
      </w:r>
      <w:r>
        <w:t>vasjon. I noen tilfeller har det vært forskjeller som kan skape et uklart bilde for tredjeparter i samarbeidet, for eksempel næringslivet. Det er gjennom de siste årene iverksatt flere tiltak både på nasjonalt og regionalt nivå, som har bidratt til å redusere forskjellene og legge bedre til rette for sa</w:t>
      </w:r>
      <w:r>
        <w:t>m</w:t>
      </w:r>
      <w:r>
        <w:t>arbeid og samhandling. Et utvalg ledet av Anne Husebekk, rektor ved Universitetet i Tromsø, har vært en sentral driver for dette arbeidet. Utvalget ble oppnevnt av Helse- og omsorgsdepartementet og Kunnskapsdepartementet i 2016 som et ledd i oppfølgingen av He</w:t>
      </w:r>
      <w:r>
        <w:t>l</w:t>
      </w:r>
      <w:r>
        <w:t>seOmsorg21-strategien. Utvalget skulle identifisere ba</w:t>
      </w:r>
      <w:r>
        <w:t>r</w:t>
      </w:r>
      <w:r>
        <w:t>rierer for samarbeid mellom universiteter og helseforetak, særlig om helseforskning, og foreslå konkrete løsninger. Rapporten pekte på barrierer knyttet til eierstruktur og samarbeidsarenaer, arealer for forskning og utdanning, forskningsfina</w:t>
      </w:r>
      <w:r>
        <w:t>n</w:t>
      </w:r>
      <w:r>
        <w:t>siering, administrative rutiner og regelverk, forskningsinfrastruktur og utdanning.</w:t>
      </w:r>
      <w:r>
        <w:rPr>
          <w:vertAlign w:val="superscript"/>
        </w:rPr>
        <w:footnoteReference w:id="36"/>
      </w:r>
      <w:r>
        <w:t xml:space="preserve"> Utvalget anb</w:t>
      </w:r>
      <w:r>
        <w:t>e</w:t>
      </w:r>
      <w:r>
        <w:t>falte ulike tiltak som gjelder harmonisering av retningslinjer og rutiner for forskning og fellesfun</w:t>
      </w:r>
      <w:r>
        <w:t>k</w:t>
      </w:r>
      <w:r>
        <w:t>sjoner på tvers.</w:t>
      </w:r>
    </w:p>
    <w:p w:rsidR="00D24D21" w:rsidRDefault="00D24D21" w:rsidP="00CE47F2">
      <w:r>
        <w:lastRenderedPageBreak/>
        <w:t>Tiltakene har blitt fulgt opp på flere nivåer. Blant annet fikk sektorene i 2017 likelydende oppdrag fra sine eie</w:t>
      </w:r>
      <w:r>
        <w:t>r</w:t>
      </w:r>
      <w:r>
        <w:t>departementer om å vurdere mulighetene for harmonisering av rutiner og retningslinjer på tvers av sektorene, regionalt og nasjonalt. Der det er hensiktsmessig, burde etablering av felle</w:t>
      </w:r>
      <w:r>
        <w:t>s</w:t>
      </w:r>
      <w:r>
        <w:t>funksjoner vurderes. På oppdrag fra Helse- og omsorgsdepartementet har de regionale helseforet</w:t>
      </w:r>
      <w:r>
        <w:t>a</w:t>
      </w:r>
      <w:r>
        <w:t>kene i 2018 utredet og pilotert den samme budsje</w:t>
      </w:r>
      <w:r>
        <w:t>t</w:t>
      </w:r>
      <w:r>
        <w:t>teringsmodellen for eksternfinansierte prosjekter som universitetene. Bruk av samme budsjettmodell vil gjøre det enklere for aktørene å samarbeide om forskningsprosjekter i framt</w:t>
      </w:r>
      <w:r>
        <w:t>i</w:t>
      </w:r>
      <w:r>
        <w:t>den.</w:t>
      </w:r>
    </w:p>
    <w:p w:rsidR="00D24D21" w:rsidRDefault="00D24D21" w:rsidP="00CE47F2">
      <w:r>
        <w:t>Et annet viktig tiltak var å etablere et forum for samordning mellom universiteter med medisinu</w:t>
      </w:r>
      <w:r>
        <w:t>t</w:t>
      </w:r>
      <w:r>
        <w:t>danning og he</w:t>
      </w:r>
      <w:r>
        <w:t>l</w:t>
      </w:r>
      <w:r>
        <w:t>seforetak, for å ivareta dialogen mellom sektorene på nasjonalt nivå. Forumet ble etablert i 2017, med represe</w:t>
      </w:r>
      <w:r>
        <w:t>n</w:t>
      </w:r>
      <w:r>
        <w:t>tanter på toppledernivå. Som et resultat av arbeidet med rapport og møtene i forumet er mange uklarheter i sektorsamarbeidet ryddet av veien. Forumet er derfor a</w:t>
      </w:r>
      <w:r>
        <w:t>v</w:t>
      </w:r>
      <w:r>
        <w:t>viklet i sin nåværende form, men aktørene vil fortsette arbeidet med å legge til rette for samarbeid om helseforskning, innov</w:t>
      </w:r>
      <w:r>
        <w:t>a</w:t>
      </w:r>
      <w:r>
        <w:t>sjon og utdanning.</w:t>
      </w:r>
    </w:p>
    <w:p w:rsidR="00D24D21" w:rsidRDefault="00D24D21" w:rsidP="00CE47F2">
      <w:r>
        <w:t>Ett annet eksempel på samarbeidsarena er Nasjonal samarbeidsgruppe for helseforskning (NSG). Dette er et strategisk rådgivende organ for som blant annet har initiert seks nasjonale forskning</w:t>
      </w:r>
      <w:r>
        <w:t>s</w:t>
      </w:r>
      <w:r>
        <w:t>nettverk. Helse- og omsorgsd</w:t>
      </w:r>
      <w:r>
        <w:t>e</w:t>
      </w:r>
      <w:r>
        <w:t>partementet og Kunnskapsdepartementet er observatører i NSG.</w:t>
      </w:r>
    </w:p>
    <w:p w:rsidR="00D24D21" w:rsidRDefault="00D24D21" w:rsidP="00CE47F2">
      <w:r>
        <w:t>I forbindelse med sykehusreformen i 2001 ble det etablert regionale samarbeidsorgan med unive</w:t>
      </w:r>
      <w:r>
        <w:t>r</w:t>
      </w:r>
      <w:r>
        <w:t>siteter og høyskoler i hver region. De regionale samarbeidsorganene skal behandle saker om fors</w:t>
      </w:r>
      <w:r>
        <w:t>k</w:t>
      </w:r>
      <w:r>
        <w:t>ning, innovasjon og utdanning og styrke forholdet mellom disse. En viktig oppgave for sama</w:t>
      </w:r>
      <w:r>
        <w:t>r</w:t>
      </w:r>
      <w:r>
        <w:t>beidsorganene er å avgi en innstilling til styret i det regionale helseforetaket om tildeling av det øremerkede tilskuddet til forskning i helseforetakene. Selv om mye kan gjøres på nasjonalt nivå, har hver region sine særtrekk og styrker som det lokale samarbeidet og samhandlingen bør ta utgang</w:t>
      </w:r>
      <w:r>
        <w:t>s</w:t>
      </w:r>
      <w:r>
        <w:t>punkt i. Næringslivet er ikke representert i disse organene og kan heller ikke søke på forskning</w:t>
      </w:r>
      <w:r>
        <w:t>s</w:t>
      </w:r>
      <w:r>
        <w:t>midlene, da disse er forbeholdt søkere i helseforetak. Samtidig er det fullt mulig for aktører i n</w:t>
      </w:r>
      <w:r>
        <w:t>æ</w:t>
      </w:r>
      <w:r>
        <w:t>ringslivet, institutt- og universitets- og høyskolesektoren å delta i forsknings- og innovasjonspr</w:t>
      </w:r>
      <w:r>
        <w:t>o</w:t>
      </w:r>
      <w:r>
        <w:t>sjekter finansiert av de regionale helseforetakene foru</w:t>
      </w:r>
      <w:r>
        <w:t>t</w:t>
      </w:r>
      <w:r>
        <w:t>satt at disse er forankret i helseforetakene.</w:t>
      </w:r>
    </w:p>
    <w:p w:rsidR="00D24D21" w:rsidRDefault="00D24D21" w:rsidP="00CE47F2">
      <w:pPr>
        <w:pStyle w:val="Overskrift1"/>
      </w:pPr>
      <w:r>
        <w:t>En næringspolitikk for verdiskaping og vekst</w:t>
      </w:r>
    </w:p>
    <w:p w:rsidR="00D24D21" w:rsidRDefault="00D24D21" w:rsidP="00CE47F2">
      <w:pPr>
        <w:pStyle w:val="Overskrift2"/>
      </w:pPr>
      <w:r>
        <w:t>Regjeringens politikk</w:t>
      </w:r>
    </w:p>
    <w:p w:rsidR="00D24D21" w:rsidRDefault="00D24D21" w:rsidP="00CE47F2">
      <w:r>
        <w:t>Helsenæringen er en kunnskapsintensiv og innovativ næring. I næringen er det mange bedrifter med ambisjoner om å nå både nasjonale og globale markeder. Da er det viktig med gode vilkår for å drive næringsvirksomhet generelt, og for forskning, utvikling, innovasjon og vekst spesielt. Tilgang til internasj</w:t>
      </w:r>
      <w:r>
        <w:t>o</w:t>
      </w:r>
      <w:r>
        <w:t>nale markeder og næringslivets evne til å utnytte global kunnskap er avgjørende. Dette er tema som drøftes nærmere i dette kapitlet.</w:t>
      </w:r>
    </w:p>
    <w:p w:rsidR="00D24D21" w:rsidRDefault="00D24D21" w:rsidP="00CE47F2">
      <w:r>
        <w:t>Regjeringen fører en næringspolitikk som legger til rette for vekst og utvikling i næringslivet, også i helsenæringen. Gode vilkår for å drive næringsvirksomhet sikrer at arbeidskraft og kapital går dit hvor avkastningen er størst. Dette gir effektiv bruk av samfunnets ressurser og høy verdiskaping.</w:t>
      </w:r>
    </w:p>
    <w:p w:rsidR="00D24D21" w:rsidRDefault="00D24D21" w:rsidP="00CE47F2">
      <w:r>
        <w:t>Forskning og innovasjon legger til rette for fornyelse og omstilling til et mer produktivt næringsliv. Siden 2013 har regjeringen styrket de landsdekkende, næringsrettede ordningene for forskning og inn</w:t>
      </w:r>
      <w:r>
        <w:t>o</w:t>
      </w:r>
      <w:r>
        <w:t xml:space="preserve">vasjon, og helsenæringen bruker disse ordningene aktivt. Regjeringen har en langtidsplan for </w:t>
      </w:r>
      <w:r>
        <w:lastRenderedPageBreak/>
        <w:t>forskning og høyere utdanning, og satsingene i langtidsplanen vil være viktige for videre vekst og utvikling i helse</w:t>
      </w:r>
      <w:r>
        <w:t>n</w:t>
      </w:r>
      <w:r>
        <w:t>æringen.</w:t>
      </w:r>
    </w:p>
    <w:p w:rsidR="00D24D21" w:rsidRDefault="00D24D21" w:rsidP="00CE47F2">
      <w:r>
        <w:t>Regjeringen arbeider for gode betingelser for handel og markedsadgang og godt fungerende kap</w:t>
      </w:r>
      <w:r>
        <w:t>i</w:t>
      </w:r>
      <w:r>
        <w:t>talmarkeder. Helsenæringen er en global næring der vekstpotensialet i mange tilfeller avhenger av tilgang til utenlandske markeder. Tilstrekkelig tilgang til kapital i de ulike utviklingsfasene for oppstartsbedrifter er avgjørende for deres vekst. Kapitalmarkeder påvirker næringslivets omsti</w:t>
      </w:r>
      <w:r>
        <w:t>l</w:t>
      </w:r>
      <w:r>
        <w:t>lingsevne og konkurrans</w:t>
      </w:r>
      <w:r>
        <w:t>e</w:t>
      </w:r>
      <w:r>
        <w:t>kraft.</w:t>
      </w:r>
    </w:p>
    <w:p w:rsidR="00D24D21" w:rsidRDefault="00D24D21" w:rsidP="00CE47F2">
      <w:r>
        <w:t>Regjeringen mener næringspolitikken er godt innrettet for å fremme vekst og utvikling i helse</w:t>
      </w:r>
      <w:r>
        <w:t>n</w:t>
      </w:r>
      <w:r>
        <w:t>æringen, men ser behov for utredninger og tiltak på enkelte områder. For å legge til rette for videre pos</w:t>
      </w:r>
      <w:r>
        <w:t>i</w:t>
      </w:r>
      <w:r>
        <w:t>tiv utvikling i helsenæringen, vil regjeringen:</w:t>
      </w:r>
    </w:p>
    <w:p w:rsidR="00D24D21" w:rsidRDefault="00D24D21" w:rsidP="00CE47F2">
      <w:pPr>
        <w:pStyle w:val="Liste"/>
      </w:pPr>
      <w:r>
        <w:t>vurdere Kapitaltilgangsutvalgets utredning og anbefalinger, herunder endringer i beskatning av ansatteopsjoner i små, nyetablerte selskaper og evaluering av møteplasser som kobler entreprenører og investorer</w:t>
      </w:r>
    </w:p>
    <w:p w:rsidR="00D24D21" w:rsidRDefault="00D24D21" w:rsidP="00CE47F2">
      <w:pPr>
        <w:pStyle w:val="Liste"/>
      </w:pPr>
      <w:r>
        <w:t>utrede mulighetene for å utnytte eventuell restkapasitet i eksisterende laborat</w:t>
      </w:r>
      <w:r>
        <w:t>o</w:t>
      </w:r>
      <w:r>
        <w:t>rier/infrastruktur for testing og pilotering ved universiteter, høyskoler og sykehus ved å gjøre den tilgjengelig for næringslivet, og vurdere eventuelle insentiver for å få dette til</w:t>
      </w:r>
    </w:p>
    <w:p w:rsidR="00D24D21" w:rsidRDefault="00D24D21" w:rsidP="00CE47F2">
      <w:pPr>
        <w:pStyle w:val="Liste"/>
      </w:pPr>
      <w:r>
        <w:t>legge fram en vurdering av instituttsektorens rolle i forsknings- og innovasjonssystemet og av hvorvidt sektoren er godt tilpasset framtidige behov</w:t>
      </w:r>
    </w:p>
    <w:p w:rsidR="00D24D21" w:rsidRDefault="00D24D21" w:rsidP="00CE47F2">
      <w:pPr>
        <w:pStyle w:val="Liste"/>
      </w:pPr>
      <w:r>
        <w:t>kartlegge potensialet for økt samhandling med helsenæringen i relevante deler av institut</w:t>
      </w:r>
      <w:r>
        <w:t>t</w:t>
      </w:r>
      <w:r>
        <w:t>sektoren</w:t>
      </w:r>
    </w:p>
    <w:p w:rsidR="00D24D21" w:rsidRDefault="00D24D21" w:rsidP="00CE47F2">
      <w:pPr>
        <w:pStyle w:val="Liste"/>
      </w:pPr>
      <w:r>
        <w:t>tydeliggjøre forventninger om at Innovasjon Norge i sine vurderinger av kompetanse og ressurser ved utekontorene legger vekt på behovene til helsenæringen og andre framvo</w:t>
      </w:r>
      <w:r>
        <w:t>k</w:t>
      </w:r>
      <w:r>
        <w:t>sende næringer som kan ha særlig nytte av bistand til innpass på internasjonale markeder</w:t>
      </w:r>
    </w:p>
    <w:p w:rsidR="00D24D21" w:rsidRDefault="00D24D21" w:rsidP="00CE47F2">
      <w:pPr>
        <w:pStyle w:val="Liste"/>
      </w:pPr>
      <w:r>
        <w:t>utrede om staten bør ta en koordinerende rolle i felles internasjonal profilering for enkel</w:t>
      </w:r>
      <w:r>
        <w:t>t</w:t>
      </w:r>
      <w:r>
        <w:t>næringer og forskningsmiljøer</w:t>
      </w:r>
    </w:p>
    <w:p w:rsidR="00D24D21" w:rsidRDefault="00D24D21" w:rsidP="00CE47F2">
      <w:pPr>
        <w:pStyle w:val="Liste"/>
      </w:pPr>
      <w:r>
        <w:t>videreføre arbeidet med å øke norsk deltakelse i EU-programmene og legge til rette for at norske se</w:t>
      </w:r>
      <w:r>
        <w:t>l</w:t>
      </w:r>
      <w:r>
        <w:t>skaper kan delta i innovative anskaffelser i andre europeiske land</w:t>
      </w:r>
    </w:p>
    <w:p w:rsidR="00D24D21" w:rsidRDefault="00D24D21" w:rsidP="00CE47F2">
      <w:pPr>
        <w:pStyle w:val="Liste"/>
      </w:pPr>
      <w:r>
        <w:t>gjøre en helhetlig gjennomgang av det næringsrettede virkemiddelapparatet. Gjenno</w:t>
      </w:r>
      <w:r>
        <w:t>m</w:t>
      </w:r>
      <w:r>
        <w:t>gangen skal sikre at virkemiddelapparatet er effektivt og brukervennlig for næringslivet, herunder helsenæringen</w:t>
      </w:r>
    </w:p>
    <w:p w:rsidR="00D24D21" w:rsidRDefault="00D24D21" w:rsidP="00CE47F2">
      <w:pPr>
        <w:pStyle w:val="Liste"/>
      </w:pPr>
      <w:r>
        <w:t>videreføre satsingen på næringsrelevant forskning og innovasjon. Vi prioriterer de n</w:t>
      </w:r>
      <w:r>
        <w:t>æ</w:t>
      </w:r>
      <w:r>
        <w:t>ringspolitiske vi</w:t>
      </w:r>
      <w:r>
        <w:t>r</w:t>
      </w:r>
      <w:r>
        <w:t>kemidlene som har høyest innovasjonsgrad og effektivitet, og viderefører satsingen på de brede land</w:t>
      </w:r>
      <w:r>
        <w:t>s</w:t>
      </w:r>
      <w:r>
        <w:t>dekkende ordningene</w:t>
      </w:r>
    </w:p>
    <w:p w:rsidR="00D24D21" w:rsidRDefault="00D24D21" w:rsidP="00CE47F2">
      <w:pPr>
        <w:pStyle w:val="Overskrift2"/>
      </w:pPr>
      <w:r>
        <w:t>En næringspolitikk for styrket konkurransekraft</w:t>
      </w:r>
    </w:p>
    <w:p w:rsidR="00D24D21" w:rsidRDefault="00D24D21" w:rsidP="00CE47F2">
      <w:r>
        <w:t>Regjeringen arbeider for gode vilkår for å drive næringsvirksomhet i Norge. Næringspolitikken skal legge til rette for størst mulig samlet verdiskaping i norsk økonomi, innenfor bærekraftige rammer, jf. omtale i kapittel 5. God næringspolitikk er også god politikk for helsenæringen.</w:t>
      </w:r>
    </w:p>
    <w:p w:rsidR="00D24D21" w:rsidRDefault="00D24D21" w:rsidP="00CE47F2">
      <w:r>
        <w:t>Norsk næringsliv er effektivt, produktivt og omstillingsdyktig, det vil si at næringslivet samlet sett har god konkurra</w:t>
      </w:r>
      <w:r>
        <w:t>n</w:t>
      </w:r>
      <w:r>
        <w:t>sekraft. Konkurransekraft handler om hvor godt vi bruker ressursene våre, hvor nyskapende vi er, og hva vi tåler av endringer over tid. Dette setter rammer for framtidig verdisk</w:t>
      </w:r>
      <w:r>
        <w:t>a</w:t>
      </w:r>
      <w:r>
        <w:t>ping.</w:t>
      </w:r>
    </w:p>
    <w:p w:rsidR="00D24D21" w:rsidRDefault="00D24D21" w:rsidP="00CE47F2">
      <w:r>
        <w:t xml:space="preserve">En rekke politikkområder er av betydning for at bedrifter innenfor helsenæringen skal utvikle seg og drive lønnsom virksomhet. Tilgang til kapital og kompetent arbeidskraft er viktig, og det samme er </w:t>
      </w:r>
      <w:r>
        <w:lastRenderedPageBreak/>
        <w:t>r</w:t>
      </w:r>
      <w:r>
        <w:t>e</w:t>
      </w:r>
      <w:r>
        <w:t>gelverk for etablering og drift av næringsvirksomhet og konkurransepolitikk. Næringen drar nytte av forenklinger og digitalisering i offentlig sektor. Næringslivets rammebetingelser bestemmes også av i</w:t>
      </w:r>
      <w:r>
        <w:t>n</w:t>
      </w:r>
      <w:r>
        <w:t>ternasjonale reguleringer og avtaler, og det internasjonale arbeidet er derfor vesentlig. For helsenæringen er dessuten reguleringen av helse- og omsorgstj</w:t>
      </w:r>
      <w:r>
        <w:t>e</w:t>
      </w:r>
      <w:r>
        <w:t>nesten av stor betydning.</w:t>
      </w:r>
    </w:p>
    <w:p w:rsidR="00D24D21" w:rsidRDefault="00D24D21" w:rsidP="00CE47F2">
      <w:r>
        <w:t>Regjeringen vil fortsette å arbeide for gode og forutsigbare rammebetingelser for næringslivet, med et enklere skattesystem og skattelettelser som næringslivet har fordeler av. Videre er regjeringen opptatt av en bedre infr</w:t>
      </w:r>
      <w:r>
        <w:t>a</w:t>
      </w:r>
      <w:r>
        <w:t>struktur og en kompetent arbeidsstyrke, samt å legge til rette for økt handel og investeringer til og fra Norge. R</w:t>
      </w:r>
      <w:r>
        <w:t>e</w:t>
      </w:r>
      <w:r>
        <w:t>gjeringen vil fortsette å redusere næringslivets kostnader ved å forenkle rapportering, lover og regler.</w:t>
      </w:r>
    </w:p>
    <w:p w:rsidR="00D24D21" w:rsidRDefault="00D24D21" w:rsidP="00CE47F2">
      <w:r>
        <w:t>Krav om sammensetning av styret i norske aksjeselskap er beskrevet som en utfordring for helse</w:t>
      </w:r>
      <w:r>
        <w:t>n</w:t>
      </w:r>
      <w:r>
        <w:t>æringen fordi mye av arbeidet skjer globalt. Disse kravene er nå i endring, jf. boks 7.1.</w:t>
      </w:r>
    </w:p>
    <w:p w:rsidR="00D24D21" w:rsidRDefault="00D24D21" w:rsidP="00CE47F2">
      <w:pPr>
        <w:pStyle w:val="tittel-ramme"/>
      </w:pPr>
      <w:r>
        <w:t>Krav om sammensetningen av styret i norske aksjeselskaper</w:t>
      </w:r>
    </w:p>
    <w:p w:rsidR="00D24D21" w:rsidRDefault="00D24D21" w:rsidP="00CE47F2">
      <w:r>
        <w:t>Dagens krav om sammensetting av styrer i norske aksjeselskap innebærer at daglig leder og minst halvparten av styrets medlemmer må være statsborgere av, og bosatt i, et EØS-land. EFTAs ove</w:t>
      </w:r>
      <w:r>
        <w:t>r</w:t>
      </w:r>
      <w:r>
        <w:t>våkningso</w:t>
      </w:r>
      <w:r>
        <w:t>r</w:t>
      </w:r>
      <w:r>
        <w:t>gan (ESA) har påpekt at dagens regler ikke godt nok gir EØS-borgere rett til å etablere seg i en annen EØS-stat.</w:t>
      </w:r>
    </w:p>
    <w:p w:rsidR="00D24D21" w:rsidRDefault="00D24D21" w:rsidP="00CE47F2">
      <w:r>
        <w:t>Dagens regler åpner for at det kan gis dispensasjon fra kravet. Slike dispensasjoner gis i betydelig omfang, men normalt kun for enten daglig leder eller for et flertall av medlemmer i styret. ESA viser til at en plikt til å innhente tillatelse for å drive virksomhet kan virke som et etableringshinder i staten som krever tillatelsen.</w:t>
      </w:r>
    </w:p>
    <w:p w:rsidR="00D24D21" w:rsidRDefault="00D24D21" w:rsidP="00CE47F2">
      <w:r>
        <w:t>Synspunktene fra ESA underbygger at det er behov for å revidere dagens regler om styresamme</w:t>
      </w:r>
      <w:r>
        <w:t>n</w:t>
      </w:r>
      <w:r>
        <w:t>setning innenfor EØS-avtalens handlingsrom. Nærings- og fiskeridepartementet vil med det første sende på høring forslag om endringer som bedre ivaretar de nevnte hensyn om norske selskapers tilknytning til Norge og samtidig overholder EØS-avtalens regler om selskapers etableringsrett.</w:t>
      </w:r>
    </w:p>
    <w:p w:rsidR="00D24D21" w:rsidRDefault="00D24D21">
      <w:pPr>
        <w:pStyle w:val="Ramme-slutt"/>
        <w:rPr>
          <w:sz w:val="26"/>
          <w:szCs w:val="26"/>
        </w:rPr>
      </w:pPr>
      <w:r>
        <w:rPr>
          <w:sz w:val="26"/>
          <w:szCs w:val="26"/>
        </w:rPr>
        <w:t>[Boks slutt]</w:t>
      </w:r>
    </w:p>
    <w:p w:rsidR="00D24D21" w:rsidRDefault="00D24D21" w:rsidP="00CE47F2">
      <w:pPr>
        <w:pStyle w:val="Overskrift2"/>
      </w:pPr>
      <w:r>
        <w:t>Forskning og innovasjon</w:t>
      </w:r>
    </w:p>
    <w:p w:rsidR="00D24D21" w:rsidRDefault="00D24D21" w:rsidP="00CE47F2">
      <w:r>
        <w:t>Forskning og innovasjon er sentrale kilder til verdiskaping og utvikling av velferdssamfunnet. En stor del av verdiskapingen kommer av at mennesker bruker ressursene på nye og smartere måter. I tillegg til å gi vekst og omstilling i privat næringsliv, er innovasjon i offentlig sektor generelt, og i helse- og omsorg</w:t>
      </w:r>
      <w:r>
        <w:t>s</w:t>
      </w:r>
      <w:r>
        <w:t>sektoren spesielt, viktig for å møte utfordringene den norske velferdsstaten står overfor i tiden framover.</w:t>
      </w:r>
    </w:p>
    <w:p w:rsidR="00D24D21" w:rsidRDefault="00D24D21" w:rsidP="00CE47F2">
      <w:r>
        <w:t>Forskning av høy kvalitet og relevans er viktig for utvikling av kunnskapsbaserte løsninger innenfor helse og omsorg. Sterke forskningsmiljøer i næringen, i universitets- og høyskolesektoren og i helse- og omsorgssektoren tiltrekker seg talenter og gjør dem attraktive for samarbeid med næringsliv nasjonalt og internasjonalt. Norge trenger næringer med høy produktivitet for å kunne opprettholde velferdsnivået.</w:t>
      </w:r>
    </w:p>
    <w:p w:rsidR="00D24D21" w:rsidRDefault="00D24D21" w:rsidP="00CE47F2">
      <w:r>
        <w:lastRenderedPageBreak/>
        <w:t>Norsk økonomi er i omstilling. Regjeringen satser på forskning og innovasjon for å fremme forn</w:t>
      </w:r>
      <w:r>
        <w:t>y</w:t>
      </w:r>
      <w:r>
        <w:t>else både i o</w:t>
      </w:r>
      <w:r>
        <w:t>f</w:t>
      </w:r>
      <w:r>
        <w:t>fentlig og privat sektor. I 2017 ble det bevilget 35,6 mrd. kroner over statsbudsjettet til forskning og utvikling.</w:t>
      </w:r>
      <w:r>
        <w:rPr>
          <w:vertAlign w:val="superscript"/>
        </w:rPr>
        <w:footnoteReference w:id="37"/>
      </w:r>
    </w:p>
    <w:p w:rsidR="00D24D21" w:rsidRDefault="00D24D21" w:rsidP="00CE47F2">
      <w:r>
        <w:t>Regjeringen la i forbindelse med statsbudsjettet for 2019 fram en revidert langtidsplan for forskning og høyere utdanning. I den foreslår regjeringen å trappe opp satsing på teknologi, å fornye og o</w:t>
      </w:r>
      <w:r>
        <w:t>m</w:t>
      </w:r>
      <w:r>
        <w:t>stille næringslivet og å heve kvaliteten i høyere utdanning. Langtidsplanen har både et mål om å styrke konkurransekraften og innovasjonsevnen i landet, og et mål om å møte store samfunnsu</w:t>
      </w:r>
      <w:r>
        <w:t>t</w:t>
      </w:r>
      <w:r>
        <w:t>fordringer. Blant de langsiktige prioriteringene i planen står fornyelse av offentlig sektor og bedre offentlige tjenester sentralt.</w:t>
      </w:r>
    </w:p>
    <w:p w:rsidR="00D24D21" w:rsidRDefault="00D24D21" w:rsidP="00CE47F2">
      <w:pPr>
        <w:pStyle w:val="tittel-ramme"/>
      </w:pPr>
      <w:r>
        <w:t>Langtidsplanen for forskning og høyere utdanning</w:t>
      </w:r>
    </w:p>
    <w:p w:rsidR="00D24D21" w:rsidRDefault="00D24D21" w:rsidP="00CE47F2">
      <w:r>
        <w:t>Den første tiårige langtidsplanen for forskning og høyere utdanning kom i 2014. Planen revideres hvert fjerde år for å ta hensyn til politiske og samfunnsmessige endringer. En revidert langtidsplan for perioden 2019–2028 ble lagt fram samtidig som forslag til statsbudsjett høsten 2018.</w:t>
      </w:r>
    </w:p>
    <w:p w:rsidR="00D24D21" w:rsidRDefault="00D24D21" w:rsidP="00CE47F2">
      <w:r>
        <w:t>Langtidsplanens tre overordnede mål ligger fast: Å styrke Norges konkurransekraft og innov</w:t>
      </w:r>
      <w:r>
        <w:t>a</w:t>
      </w:r>
      <w:r>
        <w:t>sjonsevne, møte store samfunnsutfordringer og utvikle fremragende fagmiljøer.</w:t>
      </w:r>
    </w:p>
    <w:p w:rsidR="00D24D21" w:rsidRDefault="00D24D21" w:rsidP="00CE47F2">
      <w:r>
        <w:t>Videre har planen følgende fem langsiktige prioriteringer:</w:t>
      </w:r>
    </w:p>
    <w:p w:rsidR="00D24D21" w:rsidRDefault="00D24D21" w:rsidP="00CE47F2">
      <w:pPr>
        <w:pStyle w:val="Liste"/>
      </w:pPr>
      <w:r>
        <w:t>Hav</w:t>
      </w:r>
    </w:p>
    <w:p w:rsidR="00D24D21" w:rsidRDefault="00D24D21" w:rsidP="00CE47F2">
      <w:pPr>
        <w:pStyle w:val="Liste"/>
      </w:pPr>
      <w:r>
        <w:t>Klima, miljø og miljøvennlig energi</w:t>
      </w:r>
    </w:p>
    <w:p w:rsidR="00D24D21" w:rsidRDefault="00D24D21" w:rsidP="00CE47F2">
      <w:pPr>
        <w:pStyle w:val="Liste"/>
      </w:pPr>
      <w:r>
        <w:t>Fornyelse i offentlig sektor og bedre offentlige tjenester</w:t>
      </w:r>
    </w:p>
    <w:p w:rsidR="00D24D21" w:rsidRDefault="00D24D21" w:rsidP="00CE47F2">
      <w:pPr>
        <w:pStyle w:val="Liste"/>
      </w:pPr>
      <w:r>
        <w:t>Muliggjørende og industrielle teknologier</w:t>
      </w:r>
    </w:p>
    <w:p w:rsidR="00D24D21" w:rsidRDefault="00D24D21" w:rsidP="00CE47F2">
      <w:pPr>
        <w:pStyle w:val="Liste"/>
      </w:pPr>
      <w:r>
        <w:t>Samfunnssikkerhet og samhørighet i en globalisert verden</w:t>
      </w:r>
    </w:p>
    <w:p w:rsidR="00D24D21" w:rsidRDefault="00D24D21">
      <w:pPr>
        <w:pStyle w:val="Ramme-slutt"/>
        <w:rPr>
          <w:sz w:val="26"/>
          <w:szCs w:val="26"/>
        </w:rPr>
      </w:pPr>
      <w:r>
        <w:rPr>
          <w:sz w:val="26"/>
          <w:szCs w:val="26"/>
        </w:rPr>
        <w:t>[Boks slutt]</w:t>
      </w:r>
    </w:p>
    <w:p w:rsidR="00D24D21" w:rsidRDefault="00D24D21" w:rsidP="00CE47F2">
      <w:r>
        <w:t>Muliggjørende og industrielle teknologier er et satsingsområde i langtidsplanen. Muliggjørende teknologier er grunnleggende teknologier som brukes til utvikling av nye løsninger, produkter, prosesser og tjenester innenfor mange ulike anvendelsesområder, jf. omtale i kapittel 3. Norges satsing på muliggj</w:t>
      </w:r>
      <w:r>
        <w:t>ø</w:t>
      </w:r>
      <w:r>
        <w:t>rende og industrielle teknologier omfatter IKT, bioteknologi, nanoteknologi og avanserte produksjon</w:t>
      </w:r>
      <w:r>
        <w:t>s</w:t>
      </w:r>
      <w:r>
        <w:t>prosesser.</w:t>
      </w:r>
    </w:p>
    <w:p w:rsidR="00D24D21" w:rsidRDefault="00D24D21" w:rsidP="00CE47F2">
      <w:r>
        <w:t>Muliggjørende teknologier er sentrale for helsenæringen. Dette gjelder bioteknologi, men også andre teknologiområder har stor betydning for utvikling av innovasjoner i helsesektoren. En del teknol</w:t>
      </w:r>
      <w:r>
        <w:t>o</w:t>
      </w:r>
      <w:r>
        <w:t>gier kan opprinnelig være utviklet for andre formål, men får nye anvendelser innenfor helse og omsorg. Et eksempel innenfor nanoteknologi er utviklingen av en nanopartikkel av silisium. Part</w:t>
      </w:r>
      <w:r>
        <w:t>i</w:t>
      </w:r>
      <w:r>
        <w:t>klene kan transportere og målrettet levere legemidler i kroppen og på den måten få legemidlet til å fungere best mulig. Denne teknologien ble opprinnelig utviklet for solceller. Innenfor IKT utvikles teknologiplattformer som foren</w:t>
      </w:r>
      <w:r>
        <w:t>k</w:t>
      </w:r>
      <w:r>
        <w:t>ler og binder sammen arbeidsprosesser, timeavtaler og flyt når pasientene kommer og går mellom ulike deler av et sykehus.</w:t>
      </w:r>
    </w:p>
    <w:p w:rsidR="00D24D21" w:rsidRDefault="00D24D21" w:rsidP="00CE47F2">
      <w:r>
        <w:lastRenderedPageBreak/>
        <w:t>Digitaliseringen i helse- og omsorgssektoren går raskt. Stordata blir samlet inn for eksempel ved monitorering av pasienter over tid. Kunstig intelligens og dyp læring tas i bruk i diagnostikk, med</w:t>
      </w:r>
      <w:r>
        <w:t>i</w:t>
      </w:r>
      <w:r>
        <w:t>sinsk bi</w:t>
      </w:r>
      <w:r>
        <w:t>l</w:t>
      </w:r>
      <w:r>
        <w:t>debehandling og på flere andre områder. Autonome systemer er allerede i bruk på norske sykehus, m</w:t>
      </w:r>
      <w:r>
        <w:t>u</w:t>
      </w:r>
      <w:r>
        <w:t>liggjort blant annet gjennom utvikling av ny sensorteknologi. Utviklingen av digital teknologi kombinert med gode helsedata gjør det mulig å realisere ambisjonene om en mer effektiv helsesektor. Dette repr</w:t>
      </w:r>
      <w:r>
        <w:t>e</w:t>
      </w:r>
      <w:r>
        <w:t>senterer samtidig muligheter for næringsutvikling.</w:t>
      </w:r>
    </w:p>
    <w:p w:rsidR="00D24D21" w:rsidRDefault="00D24D21" w:rsidP="00CE47F2">
      <w:r>
        <w:t xml:space="preserve">I oppfølging av Meld. St. 27 (2016–2017) </w:t>
      </w:r>
      <w:r>
        <w:rPr>
          <w:rStyle w:val="kursiv"/>
          <w:sz w:val="21"/>
          <w:szCs w:val="21"/>
        </w:rPr>
        <w:t>Industrien – grønnere, smartere og mer nyskapende</w:t>
      </w:r>
      <w:r>
        <w:t xml:space="preserve"> som kom våren 2017 ble arbeidet med en Digital21-prosess for økt digitalisering i næringslivet satt i gang. Formålet var å etablere en helhetlig og samlende strategi på tvers av næring og bransjer. Anbef</w:t>
      </w:r>
      <w:r>
        <w:t>a</w:t>
      </w:r>
      <w:r>
        <w:t xml:space="preserve">lingene i </w:t>
      </w:r>
      <w:r>
        <w:rPr>
          <w:rStyle w:val="kursiv"/>
          <w:sz w:val="21"/>
          <w:szCs w:val="21"/>
        </w:rPr>
        <w:t>Digital21</w:t>
      </w:r>
      <w:r>
        <w:t xml:space="preserve"> er oppsummert i en rapport som høsten 2018 ble overrakt regjeringen. Rapporten omfatter en rekke konkrete tiltak, hvorav flere vil ha relevans for helsenæringen. Regjeringen har oppfølging av forslagene i rapporten til vurdering.</w:t>
      </w:r>
    </w:p>
    <w:p w:rsidR="00D24D21" w:rsidRDefault="00D24D21" w:rsidP="00CE47F2">
      <w:r>
        <w:t>Siden 2013 har regjeringen styrket de landsdekkende, næringsrettede ordningene for forskning og innovasjon kraftig. Disse bevilgningene skal bidra til størst mulig verdiskaping i norsk økonomi innenfor bærekraftige ra</w:t>
      </w:r>
      <w:r>
        <w:t>m</w:t>
      </w:r>
      <w:r>
        <w:t>mer.</w:t>
      </w:r>
    </w:p>
    <w:p w:rsidR="00D24D21" w:rsidRDefault="00D24D21" w:rsidP="00CE47F2">
      <w:r>
        <w:t>Forsknings- og innovasjonsaktivitet utføres fordi det kan gi opphav til nye varer, tjenester og nye arbeids- og produksjonsmetoder som kan gi økt lønnsomhet. Formålet med de næringsrettede vi</w:t>
      </w:r>
      <w:r>
        <w:t>r</w:t>
      </w:r>
      <w:r>
        <w:t>kemidlene er å utløse sa</w:t>
      </w:r>
      <w:r>
        <w:t>m</w:t>
      </w:r>
      <w:r>
        <w:t>funns- og bedriftsøkonomisk lønnsomme prosjekter som ellers ikke ville blitt igangsatt. Slik har virkemidlene som formål å bidra til en bedre utnyttelse av samfunnsressu</w:t>
      </w:r>
      <w:r>
        <w:t>r</w:t>
      </w:r>
      <w:r>
        <w:t>sene enn det som hadde vært tilfelle dersom virkemidlet ikke var blitt brukt.</w:t>
      </w:r>
    </w:p>
    <w:p w:rsidR="00D24D21" w:rsidRDefault="00D24D21" w:rsidP="00CE47F2">
      <w:r>
        <w:t>Regjeringen har over tid i økende grad satset på brede forsknings- og innovasjonsprogrammer der konkurransen om midlene er stor. Konkurranse om midlene har til hensikt å sikre at det er prosje</w:t>
      </w:r>
      <w:r>
        <w:t>k</w:t>
      </w:r>
      <w:r>
        <w:t>tene med best kvalitet og størst potensial som får støtte. Flere av ordningene skal bygge opp under de initiativene som kommer fra næringslivet selv og stimulere næringslivet til å øke sin egen fors</w:t>
      </w:r>
      <w:r>
        <w:t>k</w:t>
      </w:r>
      <w:r>
        <w:t>nings- og inn</w:t>
      </w:r>
      <w:r>
        <w:t>o</w:t>
      </w:r>
      <w:r>
        <w:t>vasjonsinnsats. Virkemidlene for forskning og innovasjon i næringslivet bidrar til forsknings- og utviklingsaktiviteter, infrastruktur, tilførsel av kapital, oppby</w:t>
      </w:r>
      <w:r>
        <w:t>g</w:t>
      </w:r>
      <w:r>
        <w:t>ging av ny kunnskap og kompetanse, teknolog</w:t>
      </w:r>
      <w:r>
        <w:t>i</w:t>
      </w:r>
      <w:r>
        <w:t>utvikling og internasjonalisering.</w:t>
      </w:r>
    </w:p>
    <w:p w:rsidR="00D24D21" w:rsidRDefault="00D24D21" w:rsidP="00CE47F2">
      <w:r>
        <w:t>De næringsrettede forsknings- og innovasjonsvirkemidlene er i all hovedsak åpne for helsenæringen. Samlet sett bruker helsenæringen mange av virkemidlene aktivt og har gode prosjekter som når igjennom i konkurransen om midlene. Dette tyder på høy kvalitet og høy innovasjonsevne. De siste ti årene har den samlede offentlige støtten til helserelatert FoU økt, men for en del ordninger har det vært en utflating de siste årene. Samlet sett vurderes n</w:t>
      </w:r>
      <w:r>
        <w:t>æ</w:t>
      </w:r>
      <w:r>
        <w:t>ringens deltakelse i ulike virkemidler og ordninger som god, ut fra næringens størrelse og modenhet.</w:t>
      </w:r>
    </w:p>
    <w:p w:rsidR="00D24D21" w:rsidRDefault="00D24D21" w:rsidP="00CE47F2">
      <w:r>
        <w:t>Deler av helsenæringen består av unge foretak i vekst. Det er store variasjoner mellom de ulike delene av næringen i modenhet, kapasitet, kvalitet i prosjekter og nytte av ulike ordninger for o</w:t>
      </w:r>
      <w:r>
        <w:t>f</w:t>
      </w:r>
      <w:r>
        <w:t>fentlig støtte til forskning og innov</w:t>
      </w:r>
      <w:r>
        <w:t>a</w:t>
      </w:r>
      <w:r>
        <w:t>sjon. Over de siste årene har Norges forskningsråd tilrettelagt for økt deltakelse for helsenæringen i enkelte pr</w:t>
      </w:r>
      <w:r>
        <w:t>o</w:t>
      </w:r>
      <w:r>
        <w:t>grammer og ordninger, når dette har vært vurdert som hensiktsmessig for å utvikle prosjekter med et stort vekstpotensial. For eksempel ble en såkalt o</w:t>
      </w:r>
      <w:r>
        <w:t>p</w:t>
      </w:r>
      <w:r>
        <w:t>timaliseringsordning brukt i Biotek2021, og gjennom denne ble det gitt støtte til prosjekter i stadiet før kommersialiseringsfasen (se omtale i boks 7.3). Denne traff et behov for å bidra til økt ko</w:t>
      </w:r>
      <w:r>
        <w:t>m</w:t>
      </w:r>
      <w:r>
        <w:t>mersialisering av forskning innenfor medisinsk bioteknologi. Andre eksempler er IKT Fyrtårnor</w:t>
      </w:r>
      <w:r>
        <w:t>d</w:t>
      </w:r>
      <w:r>
        <w:lastRenderedPageBreak/>
        <w:t>ningen (se omtale i boks 7.3) og en særskilt BIA-X utlysning rettet mot produksjonsteknologi for helsenæringen i 2017 (se omtale i boks 7.4).</w:t>
      </w:r>
    </w:p>
    <w:p w:rsidR="00D24D21" w:rsidRDefault="00D24D21" w:rsidP="00CE47F2">
      <w:pPr>
        <w:pStyle w:val="tittel-ramme"/>
      </w:pPr>
      <w:r>
        <w:t>Norges forskningsråds store programmer for muliggjørende og indus</w:t>
      </w:r>
      <w:r>
        <w:t>t</w:t>
      </w:r>
      <w:r>
        <w:t>rielle teknologier</w:t>
      </w:r>
    </w:p>
    <w:p w:rsidR="00D24D21" w:rsidRDefault="00E636F4" w:rsidP="00E636F4">
      <w:pPr>
        <w:pStyle w:val="Figur"/>
      </w:pPr>
      <w:r>
        <w:rPr>
          <w:noProof/>
        </w:rPr>
        <w:t>[:figur:figX-X.jpg]</w:t>
      </w:r>
    </w:p>
    <w:p w:rsidR="00D24D21" w:rsidRDefault="00D24D21" w:rsidP="00CE47F2">
      <w:pPr>
        <w:pStyle w:val="figur-tittel"/>
      </w:pPr>
      <w:r>
        <w:t>Prosjekter merket med «helse» i de store teknologiprogrammene, mill. kroner</w:t>
      </w:r>
    </w:p>
    <w:p w:rsidR="00D24D21" w:rsidRDefault="00D24D21" w:rsidP="00CE47F2">
      <w:pPr>
        <w:pStyle w:val="Kilde"/>
      </w:pPr>
      <w:r>
        <w:t>Norges forskningsråd</w:t>
      </w:r>
    </w:p>
    <w:p w:rsidR="00D24D21" w:rsidRDefault="00D24D21" w:rsidP="00CE47F2">
      <w:r>
        <w:t>Norges forskningsråds tre store programmer for muliggjørende teknologier er Biotek2021, Nano2021 og IKTPLUSS.</w:t>
      </w:r>
    </w:p>
    <w:p w:rsidR="00D24D21" w:rsidRDefault="00D24D21" w:rsidP="00CE47F2">
      <w:r>
        <w:t xml:space="preserve"> Programmene har betydelige andeler av sin portefølje innenfor helse. Figur 7.1 viser utvikling over tid for prosjekter merket med «helse»</w:t>
      </w:r>
      <w:r>
        <w:rPr>
          <w:rStyle w:val="skrift-hevet"/>
          <w:sz w:val="21"/>
          <w:szCs w:val="21"/>
        </w:rPr>
        <w:t>1</w:t>
      </w:r>
      <w:r>
        <w:t>. Når et program opprettes, vil utbetalingene være lavest de første årene og øke etter hvert som flere og flere utlysninger gjennomføres, samtidig som porteføljen av pr</w:t>
      </w:r>
      <w:r>
        <w:t>o</w:t>
      </w:r>
      <w:r>
        <w:t>sjekter vokser. Utviklingen gjenspeiler derfor aktiviteten i programmene.</w:t>
      </w:r>
    </w:p>
    <w:p w:rsidR="00D24D21" w:rsidRDefault="00D24D21" w:rsidP="00CE47F2">
      <w:r>
        <w:t>Prosjekter der næringslivet står som prosjekteier innenfor bioteknologi og IKT, faller inn under BIA (se boks 7.4). Biotek2021 og IKTPLUSS støtter i hovedsak næringsrettet forskning og innovasjon i universitets- og høysk</w:t>
      </w:r>
      <w:r>
        <w:t>o</w:t>
      </w:r>
      <w:r>
        <w:t>lesektoren (UoH) og instituttsektoren.</w:t>
      </w:r>
    </w:p>
    <w:p w:rsidR="00D24D21" w:rsidRDefault="00D24D21" w:rsidP="00CE47F2">
      <w:r>
        <w:t xml:space="preserve">Biotek2021 har som hovedformål å fremme utvikling og anvendelse av bioteknologi som bidrar til innovasjon knyttet til store samfunnsutfordringer. Programmet bidro med 233 mill. kroner av Forskningsrådets totale innsats innenfor bioteknologi i 2017, hvorav litt under halvparten </w:t>
      </w:r>
      <w:r>
        <w:rPr>
          <w:spacing w:val="-4"/>
        </w:rPr>
        <w:t>av midlene gikk til prosjekter merket med «helse».</w:t>
      </w:r>
      <w:r>
        <w:t xml:space="preserve"> Av disse utgjorde om lag 60 pst. såkalte «optimalisering</w:t>
      </w:r>
      <w:r>
        <w:t>s</w:t>
      </w:r>
      <w:r>
        <w:t>midler», altså prosjekter i stadiet før kommersialiseringsfasen. Optimalis</w:t>
      </w:r>
      <w:r>
        <w:t>e</w:t>
      </w:r>
      <w:r>
        <w:t>ringsmidlene gir støtte til anvendt forskning og andre pre-kommersielle aktiviteter som er viktige for at resultater og konsepter fra grunnleggende forskning kan utvikles mot en framtidig kommersiell anvendelse.</w:t>
      </w:r>
    </w:p>
    <w:p w:rsidR="00D24D21" w:rsidRDefault="00D24D21" w:rsidP="00CE47F2">
      <w:r>
        <w:t>IKTPLUSS er Forskningsrådets store satsing på IKT-forskning og -innovasjon og utlyser midler i samarbeid med andre programmer (deriblant BIA) og som eget program. I 2017 gikk nær 40 pst. (om lag 65 mill. kroner) av IKTPLUSS-midler til helserelaterte prosjekter, hvorav 45 pst. gikk til Fy</w:t>
      </w:r>
      <w:r>
        <w:t>r</w:t>
      </w:r>
      <w:r>
        <w:t>tårnsprosje</w:t>
      </w:r>
      <w:r>
        <w:t>k</w:t>
      </w:r>
      <w:r>
        <w:t>ter, jf. nærmere omtale nedenfor.</w:t>
      </w:r>
    </w:p>
    <w:p w:rsidR="00D24D21" w:rsidRDefault="00D24D21" w:rsidP="00CE47F2">
      <w:r>
        <w:t>I Forskningsrådets IKT-satsing er helse, omsorg og velferd prioriterte områder. Det ble i 2015 derfor etablert en såkalt «Fyrtårnsordning» innenfor IKT hvor flere aktører fra universitets- og høysk</w:t>
      </w:r>
      <w:r>
        <w:t>o</w:t>
      </w:r>
      <w:r>
        <w:t>lesektoren, næringsliv og offentlig sektor gikk sammen i en målrettet innsats for å møte ulike sa</w:t>
      </w:r>
      <w:r>
        <w:t>m</w:t>
      </w:r>
      <w:r>
        <w:t>funnsutfordringer. Tre fyrtårnsprosjekter innenfor e-helse på totalt 170 mill. kroner utgjør en stor del av den helserelaterte port</w:t>
      </w:r>
      <w:r>
        <w:t>e</w:t>
      </w:r>
      <w:r>
        <w:t>føljen i IKTPLUSS. Også programmene BIA og HELSEVEL</w:t>
      </w:r>
      <w:r>
        <w:rPr>
          <w:rStyle w:val="skrift-hevet"/>
          <w:spacing w:val="-2"/>
          <w:sz w:val="21"/>
          <w:szCs w:val="21"/>
        </w:rPr>
        <w:t>2</w:t>
      </w:r>
      <w:r>
        <w:t xml:space="preserve"> bidrar med midler i ordningen.</w:t>
      </w:r>
    </w:p>
    <w:p w:rsidR="00D24D21" w:rsidRDefault="00D24D21" w:rsidP="00CE47F2">
      <w:r>
        <w:t>Nano2021 er et stort program for nanoteknologi, mikroteknologi og avanserte materialer. Formålet er å utvikle kunnskap og innovasjoner som møter samfunnets utfordringer og behov. I tillegg til næringsrettet forskning og innovasjon i universitet-, høyskole- og instituttsektoren finansierer Nano2021 også innovasjonsprosjekter i n</w:t>
      </w:r>
      <w:r>
        <w:t>æ</w:t>
      </w:r>
      <w:r>
        <w:t>ringslivet. I 2017 utgjorde helserelaterte prosjekter om lag 27 pst. av programmets portefølje.</w:t>
      </w:r>
    </w:p>
    <w:p w:rsidR="00D24D21" w:rsidRDefault="00D24D21" w:rsidP="00CE47F2">
      <w:pPr>
        <w:pStyle w:val="ramme-noter"/>
        <w:rPr>
          <w:rStyle w:val="skrift-hevet"/>
        </w:rPr>
      </w:pPr>
      <w:r>
        <w:rPr>
          <w:rStyle w:val="skrift-hevet"/>
          <w:sz w:val="17"/>
          <w:szCs w:val="17"/>
        </w:rPr>
        <w:lastRenderedPageBreak/>
        <w:t>1</w:t>
      </w:r>
      <w:r>
        <w:tab/>
        <w:t>Figuren viser forbrukt budsjett merket med «Bedre helse og helsetjenester» i Norges forskningsråds merkesystem for alle typer prosjekter unntatt arrangementsstøtte.</w:t>
      </w:r>
    </w:p>
    <w:p w:rsidR="00D24D21" w:rsidRDefault="00D24D21" w:rsidP="00CE47F2">
      <w:pPr>
        <w:pStyle w:val="ramme-noter"/>
      </w:pPr>
      <w:r>
        <w:rPr>
          <w:rStyle w:val="skrift-hevet"/>
          <w:sz w:val="17"/>
          <w:szCs w:val="17"/>
        </w:rPr>
        <w:t>2</w:t>
      </w:r>
      <w:r>
        <w:tab/>
        <w:t>HELSEVEL er et tjenesteforskningsprogram som skal bidra til at forskning og innovasjon gir økt kvalitet, komp</w:t>
      </w:r>
      <w:r>
        <w:t>e</w:t>
      </w:r>
      <w:r>
        <w:t>tanse og effe</w:t>
      </w:r>
      <w:r>
        <w:t>k</w:t>
      </w:r>
      <w:r>
        <w:t>tivitet i helse-, omsorgs- og velferdstjenestene.</w:t>
      </w:r>
    </w:p>
    <w:p w:rsidR="00D24D21" w:rsidRDefault="00D24D21">
      <w:pPr>
        <w:pStyle w:val="Ramme-slutt"/>
        <w:rPr>
          <w:sz w:val="26"/>
          <w:szCs w:val="26"/>
        </w:rPr>
      </w:pPr>
      <w:r>
        <w:rPr>
          <w:sz w:val="26"/>
          <w:szCs w:val="26"/>
        </w:rPr>
        <w:t>[Boks slutt]</w:t>
      </w:r>
    </w:p>
    <w:p w:rsidR="00D24D21" w:rsidRDefault="00D24D21" w:rsidP="00CE47F2">
      <w:pPr>
        <w:pStyle w:val="tittel-ramme"/>
      </w:pPr>
      <w:r>
        <w:t>Helsenæringens bruk av ordninger for forskning og innovasjon</w:t>
      </w:r>
    </w:p>
    <w:p w:rsidR="00D24D21" w:rsidRDefault="00D24D21" w:rsidP="00CE47F2">
      <w:pPr>
        <w:pStyle w:val="avsnitt-undertittel"/>
      </w:pPr>
      <w:r>
        <w:t>Skattefunn</w:t>
      </w:r>
    </w:p>
    <w:p w:rsidR="00D24D21" w:rsidRDefault="00D24D21" w:rsidP="00CE47F2">
      <w:pPr>
        <w:rPr>
          <w:rStyle w:val="kursiv"/>
          <w:spacing w:val="-4"/>
          <w:sz w:val="21"/>
          <w:szCs w:val="21"/>
        </w:rPr>
      </w:pPr>
      <w:r>
        <w:t>Skattefunn gir skattefradrag til bedrifter som driver med forskning og utvikling. I ordningen har godkjente helserelevante søknader økt siden 2010, men andelen av de samlede søknadene som er helserelevante har vært stabil eller litt synkende de siste årene.</w:t>
      </w:r>
      <w:r>
        <w:rPr>
          <w:rStyle w:val="skrift-hevet"/>
          <w:spacing w:val="-4"/>
          <w:sz w:val="21"/>
          <w:szCs w:val="21"/>
        </w:rPr>
        <w:t>1</w:t>
      </w:r>
      <w:r>
        <w:t xml:space="preserve"> Figur 7.2 viser utviklingen over tid for godkjente helsesøknader i Skattefunn.</w:t>
      </w:r>
    </w:p>
    <w:p w:rsidR="00D24D21" w:rsidRDefault="00D24D21" w:rsidP="00CE47F2">
      <w:r>
        <w:t>Økningen siden 2010 er ikke unik for helsenæringen, og følger en generell økning i Skattefunn der volumet er mer enn tredoblet fra 2010 til 2018. Helse er det fjerde største området i Skattefunn etter petroleum, IKT og m</w:t>
      </w:r>
      <w:r>
        <w:t>a</w:t>
      </w:r>
      <w:r>
        <w:t>rin/sjømat. I 2018 var det 582 aktive prosjekter innenfor helse av totalt 7 440 aktive Skattefunn-prosjekter. Bu</w:t>
      </w:r>
      <w:r>
        <w:t>d</w:t>
      </w:r>
      <w:r>
        <w:t>sjetterte skattefradrag for prosjekter i helsekategorien utgjør nesten 550 mill. kroner for 2018. Faktiske skattefradrag vil vanligvis være ca. 80 pst. av budsjetterte ska</w:t>
      </w:r>
      <w:r>
        <w:t>t</w:t>
      </w:r>
      <w:r>
        <w:t>tefradrag.</w:t>
      </w:r>
    </w:p>
    <w:p w:rsidR="00D24D21" w:rsidRDefault="00E636F4" w:rsidP="00E636F4">
      <w:pPr>
        <w:pStyle w:val="Figur"/>
      </w:pPr>
      <w:r>
        <w:rPr>
          <w:noProof/>
        </w:rPr>
        <w:t>[:figur:figX-X.jpg]</w:t>
      </w:r>
    </w:p>
    <w:p w:rsidR="00D24D21" w:rsidRDefault="00D24D21" w:rsidP="00CE47F2">
      <w:pPr>
        <w:pStyle w:val="figur-tittel"/>
      </w:pPr>
      <w:r>
        <w:t>Godkjente søknader merket «helse» i Skattefunn, mill. kroner</w:t>
      </w:r>
    </w:p>
    <w:p w:rsidR="00D24D21" w:rsidRDefault="00D24D21" w:rsidP="00CE47F2">
      <w:pPr>
        <w:pStyle w:val="Kilde"/>
      </w:pPr>
      <w:r>
        <w:t>Norges forskningsråd</w:t>
      </w:r>
    </w:p>
    <w:p w:rsidR="00D24D21" w:rsidRDefault="00D24D21" w:rsidP="00CE47F2">
      <w:pPr>
        <w:pStyle w:val="avsnitt-undertittel"/>
      </w:pPr>
      <w:r>
        <w:t>BIA (Brukerstyrt innovasjonsarena)</w:t>
      </w:r>
    </w:p>
    <w:p w:rsidR="00D24D21" w:rsidRDefault="00D24D21" w:rsidP="00CE47F2">
      <w:r>
        <w:t>BIA er Norges forskningsråds største program for næringslivet og en åpen konkurransearena for bransjer og tema som ikke omfattes av andre programmer. Prosjekter får støtte etter vurdering med hovedvekt på innovasjonsgrad, potensialet for verdiskaping, prosjektets forskningsinnhold og kv</w:t>
      </w:r>
      <w:r>
        <w:t>a</w:t>
      </w:r>
      <w:r>
        <w:t>litet, i tillegg til s</w:t>
      </w:r>
      <w:r>
        <w:t>ø</w:t>
      </w:r>
      <w:r>
        <w:t>kerkonsortiets evne til å gjennomføre det. Helserelaterte prosjekter gjør det godt i konkurransen med andre bransjer som omfattes av ordningen. Helseprosjekter i BIAs totale port</w:t>
      </w:r>
      <w:r>
        <w:t>e</w:t>
      </w:r>
      <w:r>
        <w:t>følje utgjør om lag 20–25 pst. fra år til år. I 2018 tilsvarte dette om lag 115 mill. kroner. Figur 7.3 viser utviklingen i prosjekter me</w:t>
      </w:r>
      <w:r>
        <w:t>r</w:t>
      </w:r>
      <w:r>
        <w:t>ket med «helse» i BIA over tid.</w:t>
      </w:r>
      <w:r>
        <w:rPr>
          <w:rStyle w:val="skrift-hevet"/>
          <w:sz w:val="21"/>
          <w:szCs w:val="21"/>
        </w:rPr>
        <w:t>2</w:t>
      </w:r>
      <w:r>
        <w:t xml:space="preserve"> I 2017 bestod helseporteføljen av om lag 50 pst. prosjekter innenfor legemi</w:t>
      </w:r>
      <w:r>
        <w:t>d</w:t>
      </w:r>
      <w:r>
        <w:t>delutvikling og om lag 25 pst. innenfor diagnostikk og medisinsk utstyr.</w:t>
      </w:r>
    </w:p>
    <w:p w:rsidR="00D24D21" w:rsidRDefault="00E636F4" w:rsidP="00E636F4">
      <w:pPr>
        <w:pStyle w:val="Figur"/>
      </w:pPr>
      <w:r>
        <w:rPr>
          <w:noProof/>
        </w:rPr>
        <w:t>[:figur:figX-X.jpg]</w:t>
      </w:r>
    </w:p>
    <w:p w:rsidR="00D24D21" w:rsidRDefault="00D24D21" w:rsidP="00CE47F2">
      <w:pPr>
        <w:pStyle w:val="figur-tittel"/>
      </w:pPr>
      <w:r>
        <w:t>Prosjekter merket med «helse» i BIA, mill. kroner</w:t>
      </w:r>
    </w:p>
    <w:p w:rsidR="00D24D21" w:rsidRDefault="00D24D21" w:rsidP="00CE47F2">
      <w:pPr>
        <w:pStyle w:val="Kilde"/>
      </w:pPr>
      <w:r>
        <w:t>Norges forskningsråd</w:t>
      </w:r>
    </w:p>
    <w:p w:rsidR="00D24D21" w:rsidRDefault="00D24D21" w:rsidP="00CE47F2"/>
    <w:p w:rsidR="00D24D21" w:rsidRDefault="00D24D21" w:rsidP="00CE47F2">
      <w:r>
        <w:t>Innenfor rammene av BIA er det etablert en prøveordning med en tidsavgrenset, rettet innsats omtalt som «BIA-X» som blant annet skal understøtte samarbeid for kompetanseoppbygging og næring</w:t>
      </w:r>
      <w:r>
        <w:t>s</w:t>
      </w:r>
      <w:r>
        <w:lastRenderedPageBreak/>
        <w:t>livets omsti</w:t>
      </w:r>
      <w:r>
        <w:t>l</w:t>
      </w:r>
      <w:r>
        <w:t>lingsevne. For 2017 omfattet utlysingen prosjekter rettet mot produksjonsteknologi innenfor helse, kalt «BIA Helse Produksjonsteknologi». Den totale utlysingsrammen var på 45 mill. kroner og omfattet både forprosjekter og hovedprosjekter. Av 11 forprosjekter fikk tre støtte. Disse har fokus på produksjon av legemidler og medisinsk utstyr.</w:t>
      </w:r>
    </w:p>
    <w:p w:rsidR="00D24D21" w:rsidRDefault="00D24D21" w:rsidP="00CE47F2">
      <w:pPr>
        <w:pStyle w:val="avsnitt-undertittel"/>
      </w:pPr>
      <w:r>
        <w:t>Nærings ph.d</w:t>
      </w:r>
    </w:p>
    <w:p w:rsidR="00D24D21" w:rsidRDefault="00D24D21" w:rsidP="00CE47F2">
      <w:r>
        <w:t>Nærings ph.d. er en ordinær doktorgradsutdanning som gjennomføres mens kandidaten er ansatt i en bedrift. Forskningen skal ha relevans for bedriften og bidra til å løfte forskningskompetansen i n</w:t>
      </w:r>
      <w:r>
        <w:t>æ</w:t>
      </w:r>
      <w:r>
        <w:t>ringslivet – særlig i små og mellomstore bedrifter. Ordningen finansierer 40–50 nye prosjekter i året. Ved utgangen av 2018 har om lag 400 kandidater vært i denne doktorgradsutdanningen siden op</w:t>
      </w:r>
      <w:r>
        <w:t>p</w:t>
      </w:r>
      <w:r>
        <w:t>starten i 2009. Andel helserelaterte prosjekter har siden 2013 ligget på 15–18 pst. Det må tas i b</w:t>
      </w:r>
      <w:r>
        <w:t>e</w:t>
      </w:r>
      <w:r>
        <w:t>traktning at mange a</w:t>
      </w:r>
      <w:r>
        <w:t>n</w:t>
      </w:r>
      <w:r>
        <w:t>satte i helsenæringen allerede har utdanning på doktorgradsnivå.</w:t>
      </w:r>
    </w:p>
    <w:p w:rsidR="00D24D21" w:rsidRDefault="00D24D21" w:rsidP="00CE47F2">
      <w:pPr>
        <w:pStyle w:val="avsnitt-undertittel"/>
      </w:pPr>
      <w:r>
        <w:t>Etablerertilskudd</w:t>
      </w:r>
    </w:p>
    <w:p w:rsidR="00D24D21" w:rsidRDefault="00D24D21" w:rsidP="00CE47F2">
      <w:r>
        <w:t>Etablerertilskudd er en finansieringstjeneste i Innovasjon Norge for nystartede innovative selskaper med et antatt betydelig verdiskapingspotensial og høye vekstambisjoner. Tilskuddet skal bidra til gjennomf</w:t>
      </w:r>
      <w:r>
        <w:t>ø</w:t>
      </w:r>
      <w:r>
        <w:t>ring av nødvendige aktiviteter for testing av forretningsidé og marked i en oppstartsfase.</w:t>
      </w:r>
    </w:p>
    <w:p w:rsidR="00D24D21" w:rsidRDefault="00D24D21" w:rsidP="00CE47F2">
      <w:r>
        <w:t>Antall etablerertilskudd som gis vil blant annet variere med bevilgningen til ordningen og størrelsen på hvert enkelt tilsagn. I 2018 ble det gitt 67 etablerertilskudd til helseetablerere på til sammen 35,7 mill. kroner. Over tid har man sett en svak positiv trend i andelen av etablerertilskuddene som gis innenfor helsenæringen.</w:t>
      </w:r>
    </w:p>
    <w:p w:rsidR="00D24D21" w:rsidRDefault="00D24D21" w:rsidP="00CE47F2">
      <w:r>
        <w:t>Innovasjonskontrakter og innovasjonspartnerskap er omtalt i kapittel 8 og FORNY2020 i kapittel 9.</w:t>
      </w:r>
    </w:p>
    <w:p w:rsidR="00D24D21" w:rsidRDefault="00D24D21" w:rsidP="00CE47F2">
      <w:pPr>
        <w:pStyle w:val="ramme-noter"/>
      </w:pPr>
      <w:r>
        <w:rPr>
          <w:rStyle w:val="skrift-hevet"/>
          <w:sz w:val="17"/>
          <w:szCs w:val="17"/>
        </w:rPr>
        <w:t>1</w:t>
      </w:r>
      <w:r>
        <w:tab/>
        <w:t xml:space="preserve">Godkjente søknader i Skattefunn blir kategorisert i næringer og bransjer ut ifra et eget merkesystem. Det tas derfor forbehold om at helseporteføljen i Skattefunn kan inneholde prosjekter som i andre sammenhenger ikke ville vært kategorisert som helse. </w:t>
      </w:r>
    </w:p>
    <w:p w:rsidR="00D24D21" w:rsidRDefault="00D24D21" w:rsidP="00CE47F2">
      <w:pPr>
        <w:pStyle w:val="ramme-noter"/>
      </w:pPr>
      <w:r>
        <w:rPr>
          <w:rStyle w:val="skrift-hevet"/>
          <w:sz w:val="17"/>
          <w:szCs w:val="17"/>
        </w:rPr>
        <w:t>2</w:t>
      </w:r>
      <w:r>
        <w:tab/>
        <w:t>Figuren viser forbrukt budsjett merket med «Bedre helse og helsetjenester» i Norges forskningsråds merkesystem.</w:t>
      </w:r>
    </w:p>
    <w:p w:rsidR="00D24D21" w:rsidRDefault="00D24D21">
      <w:pPr>
        <w:pStyle w:val="Ramme-slutt"/>
        <w:rPr>
          <w:sz w:val="26"/>
          <w:szCs w:val="26"/>
        </w:rPr>
      </w:pPr>
      <w:r>
        <w:rPr>
          <w:sz w:val="26"/>
          <w:szCs w:val="26"/>
        </w:rPr>
        <w:t>[Boks slutt]</w:t>
      </w:r>
    </w:p>
    <w:p w:rsidR="00D24D21" w:rsidRDefault="00D24D21" w:rsidP="00CE47F2">
      <w:r>
        <w:t>Innovasjon Norge, Norges forskningsråd og Siva er tre av hovedaktørene i regjeringens næring</w:t>
      </w:r>
      <w:r>
        <w:t>s</w:t>
      </w:r>
      <w:r>
        <w:t>rettede virkemiddelapparat, se nærmere omtale i boks 7.5. Hver for seg og sammen gir de et bet</w:t>
      </w:r>
      <w:r>
        <w:t>y</w:t>
      </w:r>
      <w:r>
        <w:t>delig bidrag til innovasjonsevne, internasjonalisering og verdiskaping i norsk næringsliv. Virk</w:t>
      </w:r>
      <w:r>
        <w:t>e</w:t>
      </w:r>
      <w:r>
        <w:t>middelaktørene forholder seg aktivt til utviklingstrekk, utfordringer og muligheter som har bety</w:t>
      </w:r>
      <w:r>
        <w:t>d</w:t>
      </w:r>
      <w:r>
        <w:t>ning for norsk næringslivs utvi</w:t>
      </w:r>
      <w:r>
        <w:t>k</w:t>
      </w:r>
      <w:r>
        <w:t>ling. Virkemiddelaktørene må over tid spille sammen på nye måter for å bygge opp under konkurrans</w:t>
      </w:r>
      <w:r>
        <w:t>e</w:t>
      </w:r>
      <w:r>
        <w:t>kraften i næringslivet og verdiskapingsevnen i økonomien. Dette kan realiseres på ulike vis, fra et mer strategisk samarbeid til et operativt samarbeid. Det kan handle om alt fra å utveksle informasjon til å koordinere innsats gjennom fellesutlysninger og andre tiltak når det er behov for det. Også deres samspill med de øvrige delene av det norske innovasjonssy</w:t>
      </w:r>
      <w:r>
        <w:t>s</w:t>
      </w:r>
      <w:r>
        <w:t>temet som universiteter og institutter er viktig for å nå målene.</w:t>
      </w:r>
    </w:p>
    <w:p w:rsidR="00D24D21" w:rsidRDefault="00D24D21" w:rsidP="00CE47F2">
      <w:pPr>
        <w:pStyle w:val="tittel-ramme"/>
      </w:pPr>
      <w:r>
        <w:t>Norges forskningsråd, Innovasjon Norge og Siva</w:t>
      </w:r>
    </w:p>
    <w:p w:rsidR="00D24D21" w:rsidRDefault="00D24D21" w:rsidP="00CE47F2">
      <w:pPr>
        <w:rPr>
          <w:rStyle w:val="kursiv"/>
          <w:sz w:val="21"/>
          <w:szCs w:val="21"/>
        </w:rPr>
      </w:pPr>
      <w:r>
        <w:rPr>
          <w:rStyle w:val="kursiv"/>
          <w:sz w:val="21"/>
          <w:szCs w:val="21"/>
        </w:rPr>
        <w:t xml:space="preserve">Norges forskningsråd </w:t>
      </w:r>
      <w:r>
        <w:t>er et nasjonalt utøvende forskningsstrategisk organ. Forskningsrådet har ansvar for å øke kunnskapsgrunnlaget og bidra til å dekke samfunnets behov for forskning ved å fremme grunnle</w:t>
      </w:r>
      <w:r>
        <w:t>g</w:t>
      </w:r>
      <w:r>
        <w:t xml:space="preserve">gende og anvendt forskning og innovasjon. Norges forskningsråd fordeler årlig vel ti mrd. </w:t>
      </w:r>
      <w:r>
        <w:lastRenderedPageBreak/>
        <w:t>kroner i offen</w:t>
      </w:r>
      <w:r>
        <w:t>t</w:t>
      </w:r>
      <w:r>
        <w:t>lig støtte til forskning og utvikling. Norges forskningsråd brukte i 2017 til sammen 1,5 mrd. kroner på hels</w:t>
      </w:r>
      <w:r>
        <w:t>e</w:t>
      </w:r>
      <w:r>
        <w:t>forskning</w:t>
      </w:r>
      <w:r>
        <w:rPr>
          <w:rStyle w:val="skrift-hevet"/>
          <w:sz w:val="21"/>
          <w:szCs w:val="21"/>
        </w:rPr>
        <w:t>1</w:t>
      </w:r>
      <w:r>
        <w:t>, hvor om lag en tredel gikk til næringsrettet forskning og utvikling. I Skattefunn er det bu</w:t>
      </w:r>
      <w:r>
        <w:t>d</w:t>
      </w:r>
      <w:r>
        <w:t>sjetterte skattefradrag på nesten 550 mill. kroner i 2018. Forskningsrådet er således viktig for å st</w:t>
      </w:r>
      <w:r>
        <w:t>i</w:t>
      </w:r>
      <w:r>
        <w:t>mulere forskning og innovasjon i helsenæringen.</w:t>
      </w:r>
    </w:p>
    <w:p w:rsidR="00D24D21" w:rsidRDefault="00D24D21" w:rsidP="00CE47F2">
      <w:pPr>
        <w:rPr>
          <w:rStyle w:val="kursiv"/>
          <w:sz w:val="21"/>
          <w:szCs w:val="21"/>
        </w:rPr>
      </w:pPr>
      <w:r>
        <w:rPr>
          <w:rStyle w:val="kursiv"/>
          <w:sz w:val="21"/>
          <w:szCs w:val="21"/>
        </w:rPr>
        <w:t xml:space="preserve">Innovasjon Norge </w:t>
      </w:r>
      <w:r>
        <w:t>er statens og fylkeskommunenes virkemiddel for å realisere verdiskapende n</w:t>
      </w:r>
      <w:r>
        <w:t>æ</w:t>
      </w:r>
      <w:r>
        <w:t>ringsutvikling i hele landet. Hovedmålet med Innovasjon Norge er at selskapet skal utløse bedrifts- og samfunnsøkonomisk lønnsom næringsutvikling og ulike regioners næringsmessige muligheter. Innovasjon Norge støtter entreprenører, vekstbedrifter og klynger med tilskudd, lån og rådgi</w:t>
      </w:r>
      <w:r>
        <w:t>v</w:t>
      </w:r>
      <w:r>
        <w:t>ningstjenester. Innovasjon Norge tilbyr hovedsakelig se</w:t>
      </w:r>
      <w:r>
        <w:t>k</w:t>
      </w:r>
      <w:r>
        <w:t>tornøytrale finansieringsordninger (lån, garantier og tilskudd), og selskapet har ingen særordninger for helse</w:t>
      </w:r>
      <w:r>
        <w:t>n</w:t>
      </w:r>
      <w:r>
        <w:t>æringen. Innovasjon Norge ga i 2017 104,6 mill. kroner i tilskudd til risikoavlastning til bedrifter med helseprosjekter, og et lån</w:t>
      </w:r>
      <w:r>
        <w:t>e</w:t>
      </w:r>
      <w:r>
        <w:t>engasjement på 81,9 mill. kroner til helsenæringen.</w:t>
      </w:r>
    </w:p>
    <w:p w:rsidR="00D24D21" w:rsidRDefault="00D24D21" w:rsidP="00CE47F2">
      <w:pPr>
        <w:rPr>
          <w:rStyle w:val="kursiv"/>
          <w:sz w:val="21"/>
          <w:szCs w:val="21"/>
        </w:rPr>
      </w:pPr>
      <w:r>
        <w:rPr>
          <w:rStyle w:val="kursiv"/>
          <w:sz w:val="21"/>
          <w:szCs w:val="21"/>
        </w:rPr>
        <w:t>Siva (Selskapet for industrivekst SF)</w:t>
      </w:r>
      <w:r>
        <w:t xml:space="preserve"> tilrettelegger for nyskaping i norsk næringsliv gjennom å bygge, eie og utvikle fysisk og organisatorisk infrastruktur for innovasjon. Selskapets hovedmål er å utløse lønnsom næringsutvikling i bedrifter og regionale nærings- og kunnskapsmiljø. Gjennom sine e</w:t>
      </w:r>
      <w:r>
        <w:t>i</w:t>
      </w:r>
      <w:r>
        <w:t>endomsinvesteringer kan Siva bidra til utvikling, omstilling og vekst i næringslivet. Eiendom</w:t>
      </w:r>
      <w:r>
        <w:t>s</w:t>
      </w:r>
      <w:r>
        <w:t>virksomheten fok</w:t>
      </w:r>
      <w:r>
        <w:t>u</w:t>
      </w:r>
      <w:r>
        <w:t>serer også på utvikling av kunnskaps- og forskningsparker og tilrettelegging for innovasjonsaktivitet i flerbruksbygg. Siva er medeier i innovasjonsselskaper over hele landet og er operatør for næringshageprogrammet, inkubasjonsprogrammet og katapult-ordningen (se boks 7.16). Enkelte av inkubatorene som finansieres av Siva er rene helseinkubatorer slik som Aleap og Oslo Cancer Cluster Incubator. I tillegg har flere av de andre inkubatorene og flere næringshager teknologibedrifter med produkter som er rettet inn mot helsesektoren. Antallet bedrifter i denne kategorien har vært økende i perioden 2013–2017, både i inkubatorer og næringshager.</w:t>
      </w:r>
    </w:p>
    <w:p w:rsidR="00D24D21" w:rsidRDefault="00D24D21" w:rsidP="00CE47F2">
      <w:pPr>
        <w:pStyle w:val="ramme-noter"/>
      </w:pPr>
      <w:r>
        <w:rPr>
          <w:rStyle w:val="skrift-hevet"/>
          <w:sz w:val="17"/>
          <w:szCs w:val="17"/>
        </w:rPr>
        <w:t>1</w:t>
      </w:r>
      <w:r>
        <w:tab/>
        <w:t>Tallet er basert på forbrukt budsjett merket med «Bedre helse og helsetjenester» i Norges forskningsråds merkesy</w:t>
      </w:r>
      <w:r>
        <w:t>s</w:t>
      </w:r>
      <w:r>
        <w:t>tem.</w:t>
      </w:r>
    </w:p>
    <w:p w:rsidR="00D24D21" w:rsidRDefault="00D24D21">
      <w:pPr>
        <w:pStyle w:val="Ramme-slutt"/>
        <w:rPr>
          <w:sz w:val="26"/>
          <w:szCs w:val="26"/>
        </w:rPr>
      </w:pPr>
      <w:r>
        <w:rPr>
          <w:sz w:val="26"/>
          <w:szCs w:val="26"/>
        </w:rPr>
        <w:t>[Boks slutt]</w:t>
      </w:r>
    </w:p>
    <w:p w:rsidR="00D24D21" w:rsidRDefault="00D24D21" w:rsidP="00CE47F2">
      <w:r>
        <w:t>Det har de siste årene blitt gjennomført en rekke analyser, evalueringer og utvalgsarbeid som har ko</w:t>
      </w:r>
      <w:r>
        <w:t>m</w:t>
      </w:r>
      <w:r>
        <w:t>met med forslag til endringer i det næringsrettede virkemiddelapparatet. Disse arbeidene har i hovedsak tatt utgangspunkt i utvalgte formål eller virkemidler, og det mangler per i dag en helhetlig gjennomgang av det samlede virkemiddelapparatet. Hovedbildet er at mye fungerer bra, men det kan være rom for forbedringer når det gjelder grenseflater, samarbeid, arbeidsdeling, organisering, brukervennlighet, effekt</w:t>
      </w:r>
      <w:r>
        <w:t>i</w:t>
      </w:r>
      <w:r>
        <w:t>vitet og helhetlig innretning.</w:t>
      </w:r>
    </w:p>
    <w:p w:rsidR="00D24D21" w:rsidRDefault="00D24D21" w:rsidP="00CE47F2">
      <w:r>
        <w:t>Regjeringen har derfor satt i gang en helhetlig gjennomgang av det næringsrettede virkemiddela</w:t>
      </w:r>
      <w:r>
        <w:t>p</w:t>
      </w:r>
      <w:r>
        <w:t>paratet. Formålet med gjennomgangen er å sørge for at vi får mest mulig verdiskaping og lønnsomme arbeidsplasser innenfor bærekraftige rammer ut av midlene vi kanaliserer gjennom virkemiddela</w:t>
      </w:r>
      <w:r>
        <w:t>p</w:t>
      </w:r>
      <w:r>
        <w:t>paratet.</w:t>
      </w:r>
    </w:p>
    <w:p w:rsidR="00D24D21" w:rsidRDefault="00D24D21" w:rsidP="00CE47F2">
      <w:r>
        <w:t>Gjennomgangen skal omfatte bredden av næringsrettede virkemidler. Et godt og oversiktlig offentlig tilbud er viktig for hele næringslivet. I arbeidet vil man blant annet vurdere om grenseflatene i vi</w:t>
      </w:r>
      <w:r>
        <w:t>r</w:t>
      </w:r>
      <w:r>
        <w:t>kemiddelapparatet bør tydeliggjøres bedre og om aktørene bør bli bedre til å koordinere seg og samarbeide. Det skal også vurderes om ulike aktører og ordninger bør slås sammen eller avvikles. Det skal vurderes hvordan virkemiddelapparatet kan gjøres mer brukervennlig, og om det bør være en felles inngang til flere virkemiddelaktører. Også samspillet mellom virkemidler på lokalt, r</w:t>
      </w:r>
      <w:r>
        <w:t>e</w:t>
      </w:r>
      <w:r>
        <w:lastRenderedPageBreak/>
        <w:t>gionalt, nasjonalt og intern</w:t>
      </w:r>
      <w:r>
        <w:t>a</w:t>
      </w:r>
      <w:r>
        <w:t>sjonalt nivå er blant problemstillingene som skal vurderes. Eventuelle tiltak skal settes i verk fortløpende og s</w:t>
      </w:r>
      <w:r>
        <w:t>e</w:t>
      </w:r>
      <w:r>
        <w:t>nest innen 2021.</w:t>
      </w:r>
    </w:p>
    <w:p w:rsidR="00D24D21" w:rsidRDefault="00D24D21" w:rsidP="009C17C8">
      <w:pPr>
        <w:pStyle w:val="Overskrift3"/>
        <w:numPr>
          <w:ilvl w:val="2"/>
          <w:numId w:val="223"/>
        </w:numPr>
      </w:pPr>
      <w:r>
        <w:t>Internasjonalt samarbeid om forskning og innovasjon</w:t>
      </w:r>
    </w:p>
    <w:p w:rsidR="00D24D21" w:rsidRDefault="00D24D21" w:rsidP="00CE47F2">
      <w:r>
        <w:t>Norges omstillingsevne og konkurransekraft avhenger i stor grad av vår evne til å utnytte fors</w:t>
      </w:r>
      <w:r>
        <w:t>k</w:t>
      </w:r>
      <w:r>
        <w:t>ningsresultater og teknologi utviklet i andre land. Helsenæringen er avhengig av å være kjent med kunnskapsutviklingen på sentrale områder. Deltakelse i internasjonale forsknings- og innovasjon</w:t>
      </w:r>
      <w:r>
        <w:t>s</w:t>
      </w:r>
      <w:r>
        <w:t>prosjekter åpner for dette. Internasjonalt samarbeid om forskning og innovasjon kan også åpne dører for videre næringsliv</w:t>
      </w:r>
      <w:r>
        <w:t>s</w:t>
      </w:r>
      <w:r>
        <w:t>samarbeid og markedsintroduksjon.</w:t>
      </w:r>
    </w:p>
    <w:p w:rsidR="00D24D21" w:rsidRDefault="00D24D21" w:rsidP="00CE47F2">
      <w:r>
        <w:t>Nasjonale virkemidler for forskning og innovasjon bidrar til internasjonalt samarbeid og økt mob</w:t>
      </w:r>
      <w:r>
        <w:t>i</w:t>
      </w:r>
      <w:r>
        <w:t>litet. Norske bedrifter som har mottatt støtte til helserelevante prosjekter samarbeider i større grad med utenlandske partnere enn bedrifter som har mottatt støtte til prosjekter innenfor andre n</w:t>
      </w:r>
      <w:r>
        <w:t>æ</w:t>
      </w:r>
      <w:r>
        <w:t>ringer.</w:t>
      </w:r>
      <w:r>
        <w:rPr>
          <w:vertAlign w:val="superscript"/>
        </w:rPr>
        <w:footnoteReference w:id="38"/>
      </w:r>
      <w:r>
        <w:t xml:space="preserve"> Samarbeid med utenlandske aktører gir gode forutsetninger for deltakelse på den eur</w:t>
      </w:r>
      <w:r>
        <w:t>o</w:t>
      </w:r>
      <w:r>
        <w:t>peiske og globale forsknings- og innovasjonsarenaen.</w:t>
      </w:r>
    </w:p>
    <w:p w:rsidR="00D24D21" w:rsidRDefault="00D24D21" w:rsidP="00CE47F2">
      <w:pPr>
        <w:pStyle w:val="avsnitt-undertittel"/>
      </w:pPr>
      <w:r>
        <w:t>Nordisk samarbeid</w:t>
      </w:r>
    </w:p>
    <w:p w:rsidR="00D24D21" w:rsidRDefault="00D24D21" w:rsidP="00CE47F2">
      <w:r>
        <w:t>Norden er vår nærmeste samarbeidsarena og springbrett ut mot resten av verden. De nordiske la</w:t>
      </w:r>
      <w:r>
        <w:t>n</w:t>
      </w:r>
      <w:r>
        <w:t>dene har likeartede helsetjenester og mange av de samme utfordringene. Samtidig finnes det ledende globale aktører innenfor legemiddelutvikling og diagnostikk i våre nærmeste naboland. Nordisk samarbeid er derfor viktig for norsk helsenæring både når det gjelder forsknings- og innovasjon</w:t>
      </w:r>
      <w:r>
        <w:t>s</w:t>
      </w:r>
      <w:r>
        <w:t>samarbeid, men også når det gjelder å posisjonere seg internasjonalt.</w:t>
      </w:r>
    </w:p>
    <w:p w:rsidR="00D24D21" w:rsidRDefault="00D24D21" w:rsidP="00CE47F2">
      <w:pPr>
        <w:pStyle w:val="tittel-ramme"/>
      </w:pPr>
      <w:r>
        <w:t>Nordisk samarbeid</w:t>
      </w:r>
    </w:p>
    <w:p w:rsidR="00D24D21" w:rsidRDefault="00D24D21" w:rsidP="00CE47F2">
      <w:r>
        <w:t>Nordisk forsknings- og innovasjonssamarbeid finansieres i hovedsak gjennom NordForsk og Nordic I</w:t>
      </w:r>
      <w:r>
        <w:t>n</w:t>
      </w:r>
      <w:r>
        <w:t>novation som begge er underlagt Nordisk ministerråd.</w:t>
      </w:r>
    </w:p>
    <w:p w:rsidR="00D24D21" w:rsidRDefault="00D24D21" w:rsidP="00CE47F2">
      <w:pPr>
        <w:rPr>
          <w:rStyle w:val="kursiv"/>
          <w:sz w:val="21"/>
          <w:szCs w:val="21"/>
        </w:rPr>
      </w:pPr>
      <w:r>
        <w:rPr>
          <w:rStyle w:val="kursiv"/>
          <w:sz w:val="21"/>
          <w:szCs w:val="21"/>
        </w:rPr>
        <w:t>NordForsk</w:t>
      </w:r>
      <w:r>
        <w:t xml:space="preserve"> finansierer og tilrettelegger for nordisk samarbeid innenfor forskning og forskningsinfr</w:t>
      </w:r>
      <w:r>
        <w:t>a</w:t>
      </w:r>
      <w:r>
        <w:t>struktur. Helse- og velferdsprogrammet som startet opp i 2014, har et budsjett på over 400 mill. kroner.</w:t>
      </w:r>
      <w:r>
        <w:rPr>
          <w:rStyle w:val="skrift-hevet"/>
          <w:sz w:val="21"/>
          <w:szCs w:val="21"/>
        </w:rPr>
        <w:t>1</w:t>
      </w:r>
      <w:r>
        <w:t xml:space="preserve"> NordForsk har også sekretariatet for Nordisk samarbeidsnemd for medisin, et samarbeid</w:t>
      </w:r>
      <w:r>
        <w:t>s</w:t>
      </w:r>
      <w:r>
        <w:t>organ for no</w:t>
      </w:r>
      <w:r>
        <w:t>r</w:t>
      </w:r>
      <w:r>
        <w:t>diske forskningsfinansiører.</w:t>
      </w:r>
    </w:p>
    <w:p w:rsidR="00D24D21" w:rsidRDefault="00D24D21" w:rsidP="00CE47F2">
      <w:pPr>
        <w:rPr>
          <w:rStyle w:val="kursiv"/>
          <w:sz w:val="21"/>
          <w:szCs w:val="21"/>
        </w:rPr>
      </w:pPr>
      <w:r>
        <w:rPr>
          <w:rStyle w:val="kursiv"/>
          <w:sz w:val="21"/>
          <w:szCs w:val="21"/>
        </w:rPr>
        <w:t>Nordic Innovation</w:t>
      </w:r>
      <w:r>
        <w:t xml:space="preserve"> støtter nordisk innovasjonssamarbeid og er en sentral aktør i implementeringen av det nordiske partnerskapsprogrammet for handels-, industri- og innovasjonssamarbeid. Helse, ve</w:t>
      </w:r>
      <w:r>
        <w:t>l</w:t>
      </w:r>
      <w:r>
        <w:t>ferd og demografi er et av tre tematiske områder prioritert i 2018–2021 med budsjett på 60 mill. kroner.</w:t>
      </w:r>
      <w:r>
        <w:rPr>
          <w:rStyle w:val="skrift-hevet"/>
          <w:sz w:val="21"/>
          <w:szCs w:val="21"/>
        </w:rPr>
        <w:t>2</w:t>
      </w:r>
    </w:p>
    <w:p w:rsidR="00D24D21" w:rsidRDefault="00D24D21" w:rsidP="00CE47F2">
      <w:r>
        <w:t>De nordiske landene har en samlet befolkning på 27 mill. mennesker og meget gode registerdata. Nordisk samarbeid er dermed spesielt relevant for kliniske studier og anvendelse av helsedata. I forbi</w:t>
      </w:r>
      <w:r>
        <w:t>n</w:t>
      </w:r>
      <w:r>
        <w:t xml:space="preserve">delse med det norske formannskapet i Nordisk ministerråd i 2017, initierte Norge prosjektet </w:t>
      </w:r>
      <w:r>
        <w:rPr>
          <w:rStyle w:val="kursiv"/>
          <w:sz w:val="21"/>
          <w:szCs w:val="21"/>
        </w:rPr>
        <w:t>Nordisk forskningssamarbeid for bedre helse</w:t>
      </w:r>
      <w:r>
        <w:t xml:space="preserve">. Målet er å legge til rette for enklere etisk godkjenning og </w:t>
      </w:r>
      <w:r>
        <w:lastRenderedPageBreak/>
        <w:t>utveksling av helsedata i Norden. Prosjektet skal også styrke samarbeidet om klinisk forskning og kompetanseby</w:t>
      </w:r>
      <w:r>
        <w:t>g</w:t>
      </w:r>
      <w:r>
        <w:t>ging på persontilpasset medisin.</w:t>
      </w:r>
    </w:p>
    <w:p w:rsidR="00D24D21" w:rsidRDefault="00D24D21" w:rsidP="00CE47F2">
      <w:r>
        <w:t>I 2018 gikk de nordiske innovasjonsaktørene Norges Forskningsråd, Vinnova i Sverige, Innov</w:t>
      </w:r>
      <w:r>
        <w:t>a</w:t>
      </w:r>
      <w:r>
        <w:t>tionsfonden i Danmark, Rannis fra Island og BusinessFinland og NordForsk sammen om en felle</w:t>
      </w:r>
      <w:r>
        <w:t>s</w:t>
      </w:r>
      <w:r>
        <w:t>utlysning av midler til inn</w:t>
      </w:r>
      <w:r>
        <w:t>o</w:t>
      </w:r>
      <w:r>
        <w:t>vasjon innenfor persontilpasset medisin. Gjennom utlysninger ble det tildelt 165 mill. kroner til sju samarbeidsprosjekter som kan bidra til implementering av personti</w:t>
      </w:r>
      <w:r>
        <w:t>l</w:t>
      </w:r>
      <w:r>
        <w:t>passet medisin i helsetjenestene gjennom tverrsektorielt forsknings- og innovasjonssamarbeid. Norske fagmiljøer deltar i alle prosjektene, og de norske deltakerne får til sammen 51 mill. kroner av potten.</w:t>
      </w:r>
    </w:p>
    <w:p w:rsidR="00D24D21" w:rsidRDefault="00D24D21" w:rsidP="00CE47F2">
      <w:pPr>
        <w:pStyle w:val="ramme-noter"/>
        <w:rPr>
          <w:rStyle w:val="skrift-hevet"/>
        </w:rPr>
      </w:pPr>
      <w:r>
        <w:rPr>
          <w:rStyle w:val="skrift-hevet"/>
          <w:sz w:val="17"/>
          <w:szCs w:val="17"/>
        </w:rPr>
        <w:t>1</w:t>
      </w:r>
      <w:r>
        <w:tab/>
        <w:t>nordforsk.org.</w:t>
      </w:r>
    </w:p>
    <w:p w:rsidR="00D24D21" w:rsidRDefault="00D24D21" w:rsidP="00CE47F2">
      <w:pPr>
        <w:pStyle w:val="ramme-noter"/>
        <w:rPr>
          <w:rStyle w:val="skrift-hevet"/>
        </w:rPr>
      </w:pPr>
      <w:r>
        <w:rPr>
          <w:rStyle w:val="skrift-hevet"/>
          <w:sz w:val="17"/>
          <w:szCs w:val="17"/>
        </w:rPr>
        <w:t>2</w:t>
      </w:r>
      <w:r>
        <w:tab/>
        <w:t>nordicinnovation.org.</w:t>
      </w:r>
    </w:p>
    <w:p w:rsidR="00D24D21" w:rsidRDefault="00D24D21">
      <w:pPr>
        <w:pStyle w:val="Ramme-slutt"/>
        <w:rPr>
          <w:sz w:val="26"/>
          <w:szCs w:val="26"/>
        </w:rPr>
      </w:pPr>
      <w:r>
        <w:rPr>
          <w:sz w:val="26"/>
          <w:szCs w:val="26"/>
        </w:rPr>
        <w:t>[Boks slutt]</w:t>
      </w:r>
    </w:p>
    <w:p w:rsidR="00D24D21" w:rsidRDefault="00D24D21" w:rsidP="00CE47F2">
      <w:pPr>
        <w:pStyle w:val="avsnitt-undertittel"/>
      </w:pPr>
      <w:r>
        <w:t>Europeisk samarbeid</w:t>
      </w:r>
    </w:p>
    <w:p w:rsidR="00D24D21" w:rsidRDefault="00D24D21" w:rsidP="00CE47F2">
      <w:r>
        <w:t>Gjennom EUs pågående rammeprogram for forskning og innovasjon, Horisont 2020, fordeles b</w:t>
      </w:r>
      <w:r>
        <w:t>e</w:t>
      </w:r>
      <w:r>
        <w:t>tydelige midler til helseforskning og innovasjon (se omtale i boks 7.7). I det neste rammeprogrammet Horisont Europa (2021–2027), ser forskning og innovasjon innenfor helse igjen ut til å bli et pri</w:t>
      </w:r>
      <w:r>
        <w:t>o</w:t>
      </w:r>
      <w:r>
        <w:t>ritert område.</w:t>
      </w:r>
    </w:p>
    <w:p w:rsidR="00D24D21" w:rsidRDefault="00D24D21" w:rsidP="00CE47F2">
      <w:r>
        <w:t>Norges deltakelse i Horisont 2020 stimulerer norske aktører fra alle FoU-sektorer til forsknings- og innovasjonssamarbeid på tvers av landene i Europa. Horisont 2020 skal bidra til å styrke Europas konku</w:t>
      </w:r>
      <w:r>
        <w:t>r</w:t>
      </w:r>
      <w:r>
        <w:t>ranseevne og til å sikre bærekraftig økonomisk vekst og arbeidsplasser. Ambisjonen er at Europa skal være i front av den globale kunnskapsutviklingen, bidra til å løse de store globale u</w:t>
      </w:r>
      <w:r>
        <w:t>t</w:t>
      </w:r>
      <w:r>
        <w:t>fordringene og sikre Europa industrielt lederskap. Det finnes en rekke muligheter for næringslivet i Horisont 2020. Sammenlignet med tidligere rammeprogrammer er satsingen på innovasjon fo</w:t>
      </w:r>
      <w:r>
        <w:t>r</w:t>
      </w:r>
      <w:r>
        <w:t>sterket i Horisont 2020, blant annet gjennom sterkere vektlegging av støtte til markedsnære aktiv</w:t>
      </w:r>
      <w:r>
        <w:t>i</w:t>
      </w:r>
      <w:r>
        <w:t>teter som pilotering og demonstrasjon.</w:t>
      </w:r>
    </w:p>
    <w:p w:rsidR="00D24D21" w:rsidRDefault="00D24D21" w:rsidP="00CE47F2">
      <w:pPr>
        <w:pStyle w:val="tittel-ramme"/>
      </w:pPr>
      <w:r>
        <w:t>Helsenæringen i Horisont 2020</w:t>
      </w:r>
    </w:p>
    <w:p w:rsidR="00D24D21" w:rsidRDefault="00D24D21" w:rsidP="00CE47F2">
      <w:r>
        <w:t>Horisont 2020 er delt inn i pilarer for Fremragende forskning, Industrielt lederskap og Samfunn</w:t>
      </w:r>
      <w:r>
        <w:t>s</w:t>
      </w:r>
      <w:r>
        <w:t>utfordringer. Pilaren for Samfunnsutfordringer består av tematiske delprogram hvor SC1 Health er særlig rel</w:t>
      </w:r>
      <w:r>
        <w:t>e</w:t>
      </w:r>
      <w:r>
        <w:t>vant for helsenæringen. Andre delprogrammer som har relevante utlysninger er blant annet SC2 Food (mat og helse), SC5 Climate (klima) og SC7 Security (sikkerhet og beredskap). I pilaren Industrielt l</w:t>
      </w:r>
      <w:r>
        <w:t>e</w:t>
      </w:r>
      <w:r>
        <w:t>derskap finnes det også delprogrammer som er relevant for helsenæringen, da særlig delprogrammet for muliggjørende og industrielle teknologier (LEIT).</w:t>
      </w:r>
    </w:p>
    <w:p w:rsidR="00D24D21" w:rsidRDefault="00D24D21" w:rsidP="00CE47F2">
      <w:r>
        <w:t xml:space="preserve">I Horisont 2020 finnes det både virkemidler rettet mot næringslivet og virkemidler som er åpne for alle sektorer. Eurostars (nærmere omtalt i boks 7.8), SMB-instrumentet og </w:t>
      </w:r>
      <w:r>
        <w:rPr>
          <w:rStyle w:val="kursiv"/>
          <w:sz w:val="21"/>
          <w:szCs w:val="21"/>
        </w:rPr>
        <w:t>Fast Track to Innovation (FTI)</w:t>
      </w:r>
      <w:r>
        <w:t xml:space="preserve"> er virkemidler som er rettet mot næringslivet. Virkemidler som </w:t>
      </w:r>
      <w:r>
        <w:rPr>
          <w:rStyle w:val="kursiv"/>
          <w:sz w:val="21"/>
          <w:szCs w:val="21"/>
        </w:rPr>
        <w:t>Research and Innovation Actions</w:t>
      </w:r>
      <w:r>
        <w:t xml:space="preserve"> og </w:t>
      </w:r>
      <w:r>
        <w:rPr>
          <w:rStyle w:val="kursiv"/>
          <w:sz w:val="21"/>
          <w:szCs w:val="21"/>
        </w:rPr>
        <w:t>Innovation Actions</w:t>
      </w:r>
      <w:r>
        <w:t xml:space="preserve"> er samarbeidsprosjekter som er åpne for deltakelse fra både forskningsorganis</w:t>
      </w:r>
      <w:r>
        <w:t>a</w:t>
      </w:r>
      <w:r>
        <w:t>sjoner, bedrifter og ulike brukere som for e</w:t>
      </w:r>
      <w:r>
        <w:t>k</w:t>
      </w:r>
      <w:r>
        <w:t>sempel offentlig sektor. I tillegg finnes det virkemidler for klyngesa</w:t>
      </w:r>
      <w:r>
        <w:t>m</w:t>
      </w:r>
      <w:r>
        <w:t>arbeid.</w:t>
      </w:r>
    </w:p>
    <w:p w:rsidR="00D24D21" w:rsidRDefault="00D24D21" w:rsidP="00CE47F2">
      <w:r>
        <w:t>Prosjektene går ofte langt i retning markedsnærhet og anvendelse, og i noen prosjekter gis det a</w:t>
      </w:r>
      <w:r>
        <w:t>n</w:t>
      </w:r>
      <w:r>
        <w:t xml:space="preserve">ledning til å gå enda lenger i retning kommersialiserings-, piloterings- og demonstrasjonsaktiviteter. </w:t>
      </w:r>
      <w:r>
        <w:lastRenderedPageBreak/>
        <w:t>Et annet virkemiddel som benyttes i Horisont 2020 er innovative offentlige anskaffelser hvor he</w:t>
      </w:r>
      <w:r>
        <w:t>l</w:t>
      </w:r>
      <w:r>
        <w:t>senæringen kan ta ulike roller.</w:t>
      </w:r>
    </w:p>
    <w:p w:rsidR="00D24D21" w:rsidRDefault="00D24D21" w:rsidP="00CE47F2">
      <w:r>
        <w:rPr>
          <w:rStyle w:val="kursiv"/>
          <w:sz w:val="21"/>
          <w:szCs w:val="21"/>
        </w:rPr>
        <w:t>Innovative Medicines Initiative</w:t>
      </w:r>
      <w:r>
        <w:t xml:space="preserve"> (IMI) er Europakommisjonens partnerskap med legemiddelindustrien i Europa (EFPIA). Partnerskapet åpner muligheter for universitets- og høyskolesektoren, helsesek</w:t>
      </w:r>
      <w:r>
        <w:t>t</w:t>
      </w:r>
      <w:r>
        <w:t>oren og næringslivet. Partnerskapet rettes mer og mer mot e-helse og utnyttelse av helsedata, som øker rel</w:t>
      </w:r>
      <w:r>
        <w:t>e</w:t>
      </w:r>
      <w:r>
        <w:t>vansen for norske aktører.</w:t>
      </w:r>
    </w:p>
    <w:p w:rsidR="00D24D21" w:rsidRDefault="00D24D21" w:rsidP="00CE47F2">
      <w:r>
        <w:t>I oktober 2017 ble SMB-instrumentet lagt inn under EIC-piloten (European Innovation Council). EIC er en overbygning over alle de markedsnære innovasjonsprogrammene i Horisont 2020. For</w:t>
      </w:r>
      <w:r>
        <w:t>m</w:t>
      </w:r>
      <w:r>
        <w:t>ålet med EIC er å bedre vilkårene for at høyinnovative bedrifter skal få muligheten til rask vekst og skalering. Europakommisjonens an</w:t>
      </w:r>
      <w:r>
        <w:t>a</w:t>
      </w:r>
      <w:r>
        <w:t>lyser av resultatene etter denne endringen viser at helsenæringen har god uttelling både i SMB-instrumentet og Fast track to Innovation (FTI). Eksempler på norske bedrifter som har fått finansiering fra SMB-instrumentet er R</w:t>
      </w:r>
      <w:r>
        <w:t>e</w:t>
      </w:r>
      <w:r>
        <w:t>spinor og Glucoset. Respinor har mottatt 3 mill. euro til å utvikle en ultralyd-basert overvåking av mellomgulvet hos pasienter som er koblet til respirator. Glucoset har mottatt 2,4 mill. euro til å utvikle en liten sensor som skal kont</w:t>
      </w:r>
      <w:r>
        <w:t>i</w:t>
      </w:r>
      <w:r>
        <w:t>nuerlig måle blodsukkeret til kritisk syke.</w:t>
      </w:r>
    </w:p>
    <w:p w:rsidR="00D24D21" w:rsidRDefault="00D24D21" w:rsidP="00CE47F2">
      <w:r>
        <w:t>Horisont 2020 instrumentet INNOSUP finansierer innovasjonssystemer gjennom blant annet klynge-til-klyngesamarbeid, og utvikling av nye industrielle verdikjeder. Norske helseklynger er blant de beste i Europa på denne type europeisk samarbeid og har hentet 8,1 mill. euro (av et tota</w:t>
      </w:r>
      <w:r>
        <w:t>l</w:t>
      </w:r>
      <w:r>
        <w:t>budsjett på 69 mill. euro). Norway Health Tech har mottatt 6,8 mill. euro i tilskudd. Oslo Cancer Cluster har mottatt i underkant av 0,4 mill. euro i tilskudd. 75 pst. av tilskuddet skal gå til små og mellomstore bedrifter i og utenfor klyngen.</w:t>
      </w:r>
    </w:p>
    <w:p w:rsidR="00D24D21" w:rsidRDefault="00D24D21">
      <w:pPr>
        <w:pStyle w:val="Ramme-slutt"/>
        <w:rPr>
          <w:sz w:val="26"/>
          <w:szCs w:val="26"/>
        </w:rPr>
      </w:pPr>
      <w:r>
        <w:rPr>
          <w:sz w:val="26"/>
          <w:szCs w:val="26"/>
        </w:rPr>
        <w:t>[Boks slutt]</w:t>
      </w:r>
    </w:p>
    <w:p w:rsidR="00D24D21" w:rsidRDefault="00D24D21" w:rsidP="00CE47F2">
      <w:r>
        <w:t>Regjeringen mener det er potensial for økt norsk deltakelse i Horisont 2020 i forhold til tidligere programmer. Gevinstene for de norske partnerne strekker seg utover selve finansieringen i form av økt kv</w:t>
      </w:r>
      <w:r>
        <w:t>a</w:t>
      </w:r>
      <w:r>
        <w:t>litet, kunnskap-, kompetanse- og teknologioverføring, nettverk og markedsmuligheter.</w:t>
      </w:r>
    </w:p>
    <w:p w:rsidR="00D24D21" w:rsidRDefault="00D24D21" w:rsidP="00CE47F2">
      <w:r>
        <w:t>På nasjonalt nivå er det en økning i norsk næringslivs deltakelse i Horisont 2020 sammenlignet med tidligere programmer. Helsenæringens deltakelse må ses i sammenheng med næringens størrelse og sammensetning. Deltakelse i og spesielt koordinering av internasjonale samarbeidsprosjekter er kreve</w:t>
      </w:r>
      <w:r>
        <w:t>n</w:t>
      </w:r>
      <w:r>
        <w:t>de og kan være en utfordring for mange helsenæringsbedrifter i Norge.</w:t>
      </w:r>
    </w:p>
    <w:p w:rsidR="00D24D21" w:rsidRDefault="00D24D21" w:rsidP="00CE47F2">
      <w:r>
        <w:t>Figur 7.4 viser tildeling til norsk helsenæring fra Horisont 2020, inkludert forventede kontrakter. F</w:t>
      </w:r>
      <w:r>
        <w:t>i</w:t>
      </w:r>
      <w:r>
        <w:t>guren er basert på kategorisering hos Innovasjon Norge og Norges Forskningsråds merkesystem. Blå søyle viser midler som er tildelt, men der kontrakten ikke var signert per 1. septemer 2018. Per 1. se</w:t>
      </w:r>
      <w:r>
        <w:t>p</w:t>
      </w:r>
      <w:r>
        <w:t>tember 2018 har norske bedrifter siden oppstarten av Horisont 2020 signert kontrakter for totalt nesten 18 mill. euro til prosjekter innenfor helse.</w:t>
      </w:r>
      <w:r>
        <w:rPr>
          <w:vertAlign w:val="superscript"/>
        </w:rPr>
        <w:footnoteReference w:id="39"/>
      </w:r>
      <w:r>
        <w:t xml:space="preserve"> Dette utgjør nesten ni pst. av totalt tildelte midler til norsk n</w:t>
      </w:r>
      <w:r>
        <w:t>æ</w:t>
      </w:r>
      <w:r>
        <w:t>ringsliv (202 mill. euro siden 2014). I tillegg har norske helseklynger fått tildelt over 8 mill. euro fra I</w:t>
      </w:r>
      <w:r>
        <w:t>N</w:t>
      </w:r>
      <w:r>
        <w:t>NOSUP programmet.</w:t>
      </w:r>
    </w:p>
    <w:p w:rsidR="00D24D21" w:rsidRDefault="00E636F4" w:rsidP="00E636F4">
      <w:pPr>
        <w:pStyle w:val="Figur"/>
      </w:pPr>
      <w:r>
        <w:rPr>
          <w:noProof/>
        </w:rPr>
        <w:t>[:figur:figX-X.jpg]</w:t>
      </w:r>
    </w:p>
    <w:p w:rsidR="00D24D21" w:rsidRDefault="00D24D21" w:rsidP="00CE47F2">
      <w:pPr>
        <w:pStyle w:val="figur-tittel"/>
      </w:pPr>
      <w:r>
        <w:lastRenderedPageBreak/>
        <w:t>Tildeling til norsk helsenæring fra Horisont 2020, mill. euro</w:t>
      </w:r>
    </w:p>
    <w:p w:rsidR="00D24D21" w:rsidRDefault="00D24D21" w:rsidP="00CE47F2">
      <w:pPr>
        <w:pStyle w:val="Kilde"/>
        <w:rPr>
          <w:rFonts w:cs="Times New Roman"/>
          <w:sz w:val="24"/>
          <w:szCs w:val="24"/>
          <w:lang w:val="en-GB"/>
        </w:rPr>
      </w:pPr>
      <w:r>
        <w:t>Norges forskningsråd og Innovasjon Norge</w:t>
      </w:r>
    </w:p>
    <w:p w:rsidR="00D24D21" w:rsidRDefault="00D24D21" w:rsidP="00CE47F2">
      <w:r>
        <w:t>Norges forskningsråd og Innovasjon Norge arbeider kontinuerlig med mobilisering av industri og n</w:t>
      </w:r>
      <w:r>
        <w:t>æ</w:t>
      </w:r>
      <w:r>
        <w:t>ringsliv til programmene. Målet er at brukerne skal møte et klart, tydelig og brukervennlig apparat når det gjelder mobilisering og støtte til deltakelse i Horisont 2020.</w:t>
      </w:r>
    </w:p>
    <w:p w:rsidR="00D24D21" w:rsidRDefault="00D24D21" w:rsidP="00CE47F2">
      <w:r>
        <w:t>Forberedelsene til det neste rammeprogrammet for forskning og innovasjon er nå i gang, både i Europakomm</w:t>
      </w:r>
      <w:r>
        <w:t>i</w:t>
      </w:r>
      <w:r>
        <w:t>sjonen og i medlemslandene. Nasjonalt vil det være en prosess for å vurdere norsk deltakelse i neste programp</w:t>
      </w:r>
      <w:r>
        <w:t>e</w:t>
      </w:r>
      <w:r>
        <w:t>riode. Regjeringen har utarbeidet tre innspill til utformingen av det nye programmet og forankret norske posisjoner hos næringslivet og andre berørte aktører underveis. Helse er foreslått som en egen klynge under pillar 2 Globale utfordringer og industriell konkurra</w:t>
      </w:r>
      <w:r>
        <w:t>n</w:t>
      </w:r>
      <w:r>
        <w:t>seevne.</w:t>
      </w:r>
    </w:p>
    <w:p w:rsidR="00D24D21" w:rsidRDefault="00D24D21" w:rsidP="00CE47F2">
      <w:r>
        <w:t>Kunnskapsdepartementet har igangsatt en ekstern evaluering av effekter av norsk deltakelse i H</w:t>
      </w:r>
      <w:r>
        <w:t>o</w:t>
      </w:r>
      <w:r>
        <w:t>risont 2020. Norges forskningsråd og Innovasjon Norge er i gang med å evaluere sitt arbeid med mobilis</w:t>
      </w:r>
      <w:r>
        <w:t>e</w:t>
      </w:r>
      <w:r>
        <w:t>ring av forsknings- og innovasjonsmiljøer og næringslivet, og vil ved en eventuell norsk deltakelse vurdere beh</w:t>
      </w:r>
      <w:r>
        <w:t>o</w:t>
      </w:r>
      <w:r>
        <w:t>vet for endringer i lys av innretningen på det nye programmet. Samtidig må nasjonale satsinger utvikles og dimensjoneres i sammenheng med internasjonale satsinger for å oppnå komplementaritet og synergier framover.</w:t>
      </w:r>
    </w:p>
    <w:p w:rsidR="00D24D21" w:rsidRDefault="00D24D21" w:rsidP="00CE47F2">
      <w:r>
        <w:t>Regjeringen legger til rette for at næringslivet kan delta i Europakommisjonen sine programmer for forskning, innovasjon og utvikling. Dette gir tilgang til ledende kunnskapsmiljøer og markeder.</w:t>
      </w:r>
    </w:p>
    <w:p w:rsidR="00D24D21" w:rsidRDefault="00D24D21" w:rsidP="00CE47F2">
      <w:r>
        <w:t>Trolig er det potensial for ytterligere utnyttelse av mulighetene i programmene for helsenæringen. Det er derfor viktig å øke norske aktørers kunnskap og bevissthet omkring mulighetene som finnes. Forskningsrådet og Inn</w:t>
      </w:r>
      <w:r>
        <w:t>o</w:t>
      </w:r>
      <w:r>
        <w:t>vasjon Norge har virkemidler for å mobilisere og veilede norske aktører mot deltakelse i EU-programmer. Regjeringen vil videreføre arbeidet med å øke norsk deltakelse i EU-programmene og legge til rette for at norske selskaper kan delta i innovative anskaffelser i andre e</w:t>
      </w:r>
      <w:r>
        <w:t>u</w:t>
      </w:r>
      <w:r>
        <w:t>ropeiske land.</w:t>
      </w:r>
    </w:p>
    <w:p w:rsidR="00D24D21" w:rsidRDefault="00D24D21" w:rsidP="00CE47F2">
      <w:pPr>
        <w:pStyle w:val="tittel-ramme"/>
      </w:pPr>
      <w:r>
        <w:t>Eurostars</w:t>
      </w:r>
    </w:p>
    <w:p w:rsidR="00D24D21" w:rsidRDefault="00D24D21" w:rsidP="00CE47F2">
      <w:r>
        <w:rPr>
          <w:spacing w:val="-2"/>
        </w:rPr>
        <w:t>Eurostars skal styrke forskningsintensive SMBer</w:t>
      </w:r>
      <w:r>
        <w:t xml:space="preserve"> i Europa, ved å gi dem tilgang til kompetanse og sama</w:t>
      </w:r>
      <w:r>
        <w:t>r</w:t>
      </w:r>
      <w:r>
        <w:t>beidspartnere de trenger for å skape vekst og tilgang til nye markeder.</w:t>
      </w:r>
    </w:p>
    <w:p w:rsidR="00D24D21" w:rsidRDefault="00D24D21" w:rsidP="00CE47F2">
      <w:r>
        <w:t>Programmet fungerer som et partnerskap der Europakommisjonen dekker 25 pst. av prosjektstøtten og de deltakende landene de resterende 75 pst. Programmet er en åpen konkurransearena uten fo</w:t>
      </w:r>
      <w:r>
        <w:t>r</w:t>
      </w:r>
      <w:r>
        <w:t>håndsford</w:t>
      </w:r>
      <w:r>
        <w:t>e</w:t>
      </w:r>
      <w:r>
        <w:t>ling av budsjettmidler.</w:t>
      </w:r>
    </w:p>
    <w:p w:rsidR="00D24D21" w:rsidRDefault="00D24D21" w:rsidP="00CE47F2">
      <w:r>
        <w:t>Norge har f.o.m. 2014 gitt tilsagn om årlig å kunne støtte Eurostars-prosjekter med opptil 10 mill. euro. Tall fra Forskningsrådet viser at støtten til norske prosjektdeltakelser i Eurostars er om lag 90 mill. kroner i 2018. Eval</w:t>
      </w:r>
      <w:r>
        <w:t>u</w:t>
      </w:r>
      <w:r>
        <w:t>eringen av Eurostars i 2017 viste at Norge er et av de ti mest aktive landene i programmet, og midtveis i programperioden hadde Norge høyest suksessrate med 40 pst. For programmet som helhet ligger suksessraten på 32,1 pst.</w:t>
      </w:r>
    </w:p>
    <w:p w:rsidR="00D24D21" w:rsidRDefault="00D24D21" w:rsidP="00CE47F2">
      <w:r>
        <w:t>Av de 524 mill. kroner som er fordelt til norske SMBer og norske forskningspartnere gjennom E</w:t>
      </w:r>
      <w:r>
        <w:t>u</w:t>
      </w:r>
      <w:r>
        <w:t xml:space="preserve">rostars siden starten i 2008, har 158 mill. kroner vært budsjettert til prosjekter med relevans for helse </w:t>
      </w:r>
      <w:r>
        <w:lastRenderedPageBreak/>
        <w:t>og helsetjenester. Det største næringsområdet er IKT, mens næringer som marin-, prosess-, og v</w:t>
      </w:r>
      <w:r>
        <w:t>a</w:t>
      </w:r>
      <w:r>
        <w:t>reproduserende industri har lavere deltakelse enn i andre åpne næringsrettede programmer.</w:t>
      </w:r>
    </w:p>
    <w:p w:rsidR="00D24D21" w:rsidRDefault="00D24D21" w:rsidP="00CE47F2">
      <w:r>
        <w:t>Venstre akse i figur 7.5 viser midler til helseprosjekter per sektor per år. Sektor «andre» inneholder universitet og høyskoler, institutter, helseforetak og øvrige. Høyre akse angir prosentandel helse av totalt forbruk.</w:t>
      </w:r>
    </w:p>
    <w:p w:rsidR="00D24D21" w:rsidRDefault="00D24D21" w:rsidP="00CE47F2">
      <w:r>
        <w:t>Helsenæringens deltakelse i Eurostars vurderes som god ut ifra antall søknader og gjennomslag</w:t>
      </w:r>
      <w:r>
        <w:t>s</w:t>
      </w:r>
      <w:r>
        <w:t>kraft. Eurostars gir helsenæringen muligheter for å velge de beste faglig samarbeidspartnerne blant landene i det europeiske nettverket for næringsrettet forskning og innovasjon, EUREKA, og gir gode forutsetninger for internasjonal markedstilgang.</w:t>
      </w:r>
    </w:p>
    <w:p w:rsidR="00D24D21" w:rsidRDefault="00E636F4" w:rsidP="00E636F4">
      <w:pPr>
        <w:pStyle w:val="Figur"/>
      </w:pPr>
      <w:r>
        <w:rPr>
          <w:noProof/>
        </w:rPr>
        <w:t>[:figur:figX-X.jpg]</w:t>
      </w:r>
    </w:p>
    <w:p w:rsidR="00D24D21" w:rsidRDefault="00D24D21" w:rsidP="00CE47F2">
      <w:pPr>
        <w:pStyle w:val="figur-tittel"/>
      </w:pPr>
      <w:r>
        <w:t>Norske helseprosjekter i Eurostars, mill. kroner</w:t>
      </w:r>
    </w:p>
    <w:p w:rsidR="00D24D21" w:rsidRDefault="00D24D21" w:rsidP="00CE47F2">
      <w:pPr>
        <w:pStyle w:val="Kilde"/>
      </w:pPr>
      <w:r>
        <w:t>Norges forskningsråd</w:t>
      </w:r>
    </w:p>
    <w:p w:rsidR="00D24D21" w:rsidRDefault="00D24D21">
      <w:pPr>
        <w:pStyle w:val="Ramme-slutt"/>
        <w:rPr>
          <w:sz w:val="26"/>
          <w:szCs w:val="26"/>
        </w:rPr>
      </w:pPr>
      <w:r>
        <w:rPr>
          <w:sz w:val="26"/>
          <w:szCs w:val="26"/>
        </w:rPr>
        <w:t>[Boks slutt]</w:t>
      </w:r>
    </w:p>
    <w:p w:rsidR="00D24D21" w:rsidRDefault="00D24D21" w:rsidP="00CE47F2">
      <w:pPr>
        <w:pStyle w:val="avsnitt-undertittel"/>
      </w:pPr>
      <w:r>
        <w:t>Forsknings- og innovasjonssamarbeid med enkeltland</w:t>
      </w:r>
    </w:p>
    <w:p w:rsidR="00D24D21" w:rsidRDefault="00D24D21" w:rsidP="00CE47F2">
      <w:r>
        <w:t>Bilateralt samarbeid med land i og utenfor Europa har stor betydning for næringslivets internasjonale satsinger, og samarbeid finner sted med flere av disse innenfor helse, medisin samt helse- og ve</w:t>
      </w:r>
      <w:r>
        <w:t>l</w:t>
      </w:r>
      <w:r>
        <w:t>ferdsteknologi. Det er gjennom årene inngått mellomstatlige forsknings- og teknologiavtaler med en rekke land både med etablerte forskningsnasjoner som Japan, Russland og USA, og med framvo</w:t>
      </w:r>
      <w:r>
        <w:t>k</w:t>
      </w:r>
      <w:r>
        <w:t>sende økon</w:t>
      </w:r>
      <w:r>
        <w:t>o</w:t>
      </w:r>
      <w:r>
        <w:t>mier som India, Kina og Sør-Afrika. For å tilrettelegge for en mer helhetlig og langsiktig oppfølging av avtalene på prioriterte områder, la regjeringen i 2015 fram en strategi for høyere utdannings- og forskningssama</w:t>
      </w:r>
      <w:r>
        <w:t>r</w:t>
      </w:r>
      <w:r>
        <w:t>beid med Brasil, India, Japan, Kina, Russland og Sør-Afrika for perioden 2016–2020 (Panor</w:t>
      </w:r>
      <w:r>
        <w:t>a</w:t>
      </w:r>
      <w:r>
        <w:t>ma-strategien).</w:t>
      </w:r>
    </w:p>
    <w:p w:rsidR="00D24D21" w:rsidRDefault="00D24D21" w:rsidP="00CE47F2">
      <w:r>
        <w:t>India er verdens største produsent av antibiotika, og i India forskes det mye på bruken av antibiotika. Et eksempel på bilateralt samarbeid mellom norske og indiske forskningsmiljøer er rotavirusvaks</w:t>
      </w:r>
      <w:r>
        <w:t>i</w:t>
      </w:r>
      <w:r>
        <w:t>nen Rotavac og forskning</w:t>
      </w:r>
      <w:r>
        <w:t>s</w:t>
      </w:r>
      <w:r>
        <w:t>samarbeid innenfor antibiotikaresistens. Videre har både Norge og India godt utviklede IKT-sektorer, med m</w:t>
      </w:r>
      <w:r>
        <w:t>u</w:t>
      </w:r>
      <w:r>
        <w:t>lighet for samarbeid innenfor e-helse og registerdata.</w:t>
      </w:r>
    </w:p>
    <w:p w:rsidR="00D24D21" w:rsidRDefault="00D24D21" w:rsidP="00CE47F2">
      <w:r>
        <w:t>Mellom 2001 og 2015 har Kina doblet forskningsinnsatsen i andel av BNP til over to pst., og er i dag verdens nest største FoU-land målt i antall publiseringer. Dette gjenspeiler seg også i en betydelig vekst i samarbeidet mellom Norge og Kina. Helse er sammen med IKT, miljø og bioteknologi o</w:t>
      </w:r>
      <w:r>
        <w:t>m</w:t>
      </w:r>
      <w:r>
        <w:t>rådene med størst sampublisering. Hels</w:t>
      </w:r>
      <w:r>
        <w:t>e</w:t>
      </w:r>
      <w:r>
        <w:t>innovasjoner knyttet til nye legemidler, medisinsk teknologi og e-helse er områder som anses å ha stort potensial for samarbeid.</w:t>
      </w:r>
    </w:p>
    <w:p w:rsidR="00D24D21" w:rsidRDefault="00D24D21" w:rsidP="00CE47F2">
      <w:r>
        <w:t>Norge og Russland har et langt forskningssamarbeid innenfor helse, noe som ikke bare omfatter medisinske b</w:t>
      </w:r>
      <w:r>
        <w:t>e</w:t>
      </w:r>
      <w:r>
        <w:t>handlingsmetoder og effektene av disse, men også infrastruktur, medisinsk teknologi, brukertilgjengelighet, a</w:t>
      </w:r>
      <w:r>
        <w:t>r</w:t>
      </w:r>
      <w:r>
        <w:t>beidsprosesser, økt forståelse for pasientenes behov og rett til medvirkning. Samarbeidet i Barentsregionen o</w:t>
      </w:r>
      <w:r>
        <w:t>m</w:t>
      </w:r>
      <w:r>
        <w:t>fatter utveksling av erfaringer og kunnskap knyttet til kommunale tjenester og ve</w:t>
      </w:r>
      <w:r>
        <w:t>l</w:t>
      </w:r>
      <w:r>
        <w:t>ferdstilbud.</w:t>
      </w:r>
    </w:p>
    <w:p w:rsidR="00D24D21" w:rsidRDefault="00D24D21" w:rsidP="00CE47F2">
      <w:r>
        <w:t xml:space="preserve">I Sør-Afrika har Cape Town tatt en posisjon som oppstartshovedstad, med et sterkt økosystem for gründere. Forskningssamarbeidet med Norge som startet i 2002 har ført til synergieffekter gjennom </w:t>
      </w:r>
      <w:r>
        <w:lastRenderedPageBreak/>
        <w:t>vellykkede fellessøknader inn mot EUs Horisont 2020. Innenfor helse samarbeider norske og sø</w:t>
      </w:r>
      <w:r>
        <w:t>r</w:t>
      </w:r>
      <w:r>
        <w:t>afrikanske forskere i dag bl.a. gjennom EDCTP – (European &amp; Developing Countries Clinical Trials Partnership og GLOBVAC-programmet).</w:t>
      </w:r>
    </w:p>
    <w:p w:rsidR="00D24D21" w:rsidRDefault="00D24D21" w:rsidP="00CE47F2">
      <w:r>
        <w:t>Helse og omsorg samt bioteknologi utgjør en overlegen del av den norske vitenskapelige sampu</w:t>
      </w:r>
      <w:r>
        <w:t>b</w:t>
      </w:r>
      <w:r>
        <w:t>liseringen med amerikanske miljøer. Over 20 pst. av USAs føderale investeringer i FoU er helser</w:t>
      </w:r>
      <w:r>
        <w:t>e</w:t>
      </w:r>
      <w:r>
        <w:t>latert. Helseteknologi, kref</w:t>
      </w:r>
      <w:r>
        <w:t>t</w:t>
      </w:r>
      <w:r>
        <w:t>forskning, biobanker, helseregistre og IKT er særlig aktuelle områder for samarbeid. Det er tette bånd mellom norske og amerikanske miljøer med hensyn til kommersialis</w:t>
      </w:r>
      <w:r>
        <w:t>e</w:t>
      </w:r>
      <w:r>
        <w:t>ring av hels</w:t>
      </w:r>
      <w:r>
        <w:t>e</w:t>
      </w:r>
      <w:r>
        <w:t>forskning. Nordic Innovation House i Silicon Valley er ett av flere eksempler.</w:t>
      </w:r>
    </w:p>
    <w:p w:rsidR="00D24D21" w:rsidRDefault="00D24D21" w:rsidP="00CE47F2">
      <w:r>
        <w:t>Forsknings- og teknologiavtalen mellom Norge og Japan har fra 2018 helse, omsorg og velferd</w:t>
      </w:r>
      <w:r>
        <w:t>s</w:t>
      </w:r>
      <w:r>
        <w:t>teknologi som prioriterte områder for samarbeid. Med en velutviklet velferdssektor og høy forventet levealder i befolkningen satses det i Japan på ulike teknologier, blant annet cyberteknologier, kunstig intelligens, automatisering og rob</w:t>
      </w:r>
      <w:r>
        <w:t>o</w:t>
      </w:r>
      <w:r>
        <w:t>tisering. I tillegg til helse- og velferdsteknologi er forskning på biobankmateriale, regenerativ medisin og d</w:t>
      </w:r>
      <w:r>
        <w:t>e</w:t>
      </w:r>
      <w:r>
        <w:t>menssykdom aktuelle områder.</w:t>
      </w:r>
    </w:p>
    <w:p w:rsidR="00D24D21" w:rsidRDefault="00D24D21" w:rsidP="00CE47F2">
      <w:r>
        <w:t>Det foregår et omfattende bilateralt samarbeid med flere europeiske land. Under den nylig inngåtte rammeavtalen med Frankrike for samarbeid innenfor blant annet forskning, er kunstig intelligens blitt pekt ut som et satsing</w:t>
      </w:r>
      <w:r>
        <w:t>s</w:t>
      </w:r>
      <w:r>
        <w:t>område med særlig vekt på helseregistre og etikk. Videre må koblingen mellom bilateralt og multilateralt sama</w:t>
      </w:r>
      <w:r>
        <w:t>r</w:t>
      </w:r>
      <w:r>
        <w:t>beid ikke undervurderes. I mobiliseringsarbeidet knyttet til EUs Horisont 2020 inngår bilateralt samarbeid med Frankrike og Tyskland som et tiltak for økt deltakelse i rammeprogra</w:t>
      </w:r>
      <w:r>
        <w:t>m</w:t>
      </w:r>
      <w:r>
        <w:t>met.</w:t>
      </w:r>
    </w:p>
    <w:p w:rsidR="00D24D21" w:rsidRDefault="00D24D21" w:rsidP="00CE47F2">
      <w:r>
        <w:t>Virkemiddelapparatet stimulerer til internasjonalt forskningssamarbeid gjennom ordinære pr</w:t>
      </w:r>
      <w:r>
        <w:t>o</w:t>
      </w:r>
      <w:r>
        <w:t>grammer, ordninger og utlysninger. I tillegg finnes dedikerte programmer for samarbeid med India, Kina og Sør-Afrika. Internasjonalt partnerskapsprogram (INTPART) skal bidra til samarbeid me</w:t>
      </w:r>
      <w:r>
        <w:t>l</w:t>
      </w:r>
      <w:r>
        <w:t>lom institusjoner i Norge og fremragende fagmiljøer i prioriterte land.</w:t>
      </w:r>
    </w:p>
    <w:p w:rsidR="00D24D21" w:rsidRDefault="00D24D21" w:rsidP="00CE47F2">
      <w:pPr>
        <w:pStyle w:val="avsnitt-undertittel"/>
      </w:pPr>
      <w:r>
        <w:t>Synliggjøring av norske miljøer</w:t>
      </w:r>
    </w:p>
    <w:p w:rsidR="00D24D21" w:rsidRDefault="00D24D21" w:rsidP="00CE47F2">
      <w:r>
        <w:t>For at norske forskningsmiljøer og bedrifter skal være attraktive som samarbeidspartnere intern</w:t>
      </w:r>
      <w:r>
        <w:t>a</w:t>
      </w:r>
      <w:r>
        <w:t>sjonalt er det viktig å synliggjøre hvilke aktører som finnes og deres kompetanse. Regjeringen vil utrede om st</w:t>
      </w:r>
      <w:r>
        <w:t>a</w:t>
      </w:r>
      <w:r>
        <w:t>ten bør ta en koordinerende rolle i felles internasjonal profilering for enkeltnæringer og forskningsmi</w:t>
      </w:r>
      <w:r>
        <w:t>l</w:t>
      </w:r>
      <w:r>
        <w:t>jøer.</w:t>
      </w:r>
    </w:p>
    <w:p w:rsidR="00D24D21" w:rsidRDefault="00D24D21" w:rsidP="00CE47F2">
      <w:pPr>
        <w:pStyle w:val="Overskrift2"/>
      </w:pPr>
      <w:r>
        <w:t>Kompetanseutvikling og produksjon</w:t>
      </w:r>
    </w:p>
    <w:p w:rsidR="00D24D21" w:rsidRDefault="00D24D21" w:rsidP="00CE47F2">
      <w:r>
        <w:t>Hvor produksjon legges er avhengig av en rekke faktorer. Langsiktige forretningsmessige og str</w:t>
      </w:r>
      <w:r>
        <w:t>a</w:t>
      </w:r>
      <w:r>
        <w:t>tegiske vurderinger er med på å avgjøre lokalisering av bedrifter. Det kan for eksempel dreie seg om naturlige fortrinn, tilgang til råvarer, nærhet til store markeder, tilgang til kompetanse og kapital, vurdering av samlede rammebetingelser, vurdering av forutsigbarhet og stabilitet. Eierskapet, om selskapet allerede har en effektiv og stor produksjonskapasitet og hvor denne er lokalisert kan også ha betydning. Det kan være ulike vurderinger som gjøres for store selskap, mindre selskap og i</w:t>
      </w:r>
      <w:r>
        <w:t>n</w:t>
      </w:r>
      <w:r>
        <w:t>nenfor ulike deler av næringsl</w:t>
      </w:r>
      <w:r>
        <w:t>i</w:t>
      </w:r>
      <w:r>
        <w:t>vet og bransjer. Gode, generelle rammebetingelser for verdiskaping, kapitaltilgang, kompetanse og virkemidler for stimulering av forskning, innovasjon og teknologiu</w:t>
      </w:r>
      <w:r>
        <w:t>t</w:t>
      </w:r>
      <w:r>
        <w:t>vikling kan bidra til at virksomheten ve</w:t>
      </w:r>
      <w:r>
        <w:t>l</w:t>
      </w:r>
      <w:r>
        <w:t>ger å legge sin produksjon til Norge.</w:t>
      </w:r>
    </w:p>
    <w:p w:rsidR="00D24D21" w:rsidRDefault="00D24D21" w:rsidP="00CE47F2">
      <w:r>
        <w:lastRenderedPageBreak/>
        <w:t>Regjeringen har som visjon at Norge skal være en ledende industri- og teknologinasjon. En sterk i</w:t>
      </w:r>
      <w:r>
        <w:t>n</w:t>
      </w:r>
      <w:r>
        <w:t>dustri i Norge gir eksportinntekter og kan også være viktig for utvikling av andre næringer. Foruten at industriell produksjon bidrar til verdiskaping i seg selv, kan slik produksjon være av betydning for utvi</w:t>
      </w:r>
      <w:r>
        <w:t>k</w:t>
      </w:r>
      <w:r>
        <w:t>ling av innovasjonsevne, evne til å beherske teknologi og utvikling av kompetanse. Med økt innovasjonstakt kobles forskning, produksjon og innovasjon tettere og gir smartere og raskere pr</w:t>
      </w:r>
      <w:r>
        <w:t>o</w:t>
      </w:r>
      <w:r>
        <w:t>duktutvikling.</w:t>
      </w:r>
    </w:p>
    <w:p w:rsidR="00D24D21" w:rsidRDefault="00D24D21" w:rsidP="00CE47F2">
      <w:r>
        <w:t>En konkurransedyktig norsk industri er viktig for Norges verdiskapings- og innovasjonsevne. Norge har en ko</w:t>
      </w:r>
      <w:r>
        <w:t>m</w:t>
      </w:r>
      <w:r>
        <w:t>petansebasert industri som har god evne til å ta i bruk ny teknologi. Til tross for et høyt norsk kostnadsnivå hevder norsk industri seg godt i den internasjonale konkurransen. Norge har mange sterke industribedrifter innenfor blant annet olje- og gass, maritim og marin sektor, samtidig som det finnes framgangsrike bedrifter i mange andre i</w:t>
      </w:r>
      <w:r>
        <w:t>n</w:t>
      </w:r>
      <w:r>
        <w:t>dustrielle bransjer. Innenfor helsenæringen har enkelte store internasjonale selskaper som GE, Bayer og Thermo Fisher Scientific lagt produ</w:t>
      </w:r>
      <w:r>
        <w:t>k</w:t>
      </w:r>
      <w:r>
        <w:t>sjonsvirksomhet til Norge, og også norske selskaper som Curida satser på produ</w:t>
      </w:r>
      <w:r>
        <w:t>k</w:t>
      </w:r>
      <w:r>
        <w:t>sjonsvirksomhet her.</w:t>
      </w:r>
    </w:p>
    <w:p w:rsidR="00D24D21" w:rsidRDefault="00D24D21" w:rsidP="00CE47F2">
      <w:r>
        <w:t>I et bredere innovasjons- og omstillingsperspektiv kan visse typer industriell produksjon ha større b</w:t>
      </w:r>
      <w:r>
        <w:t>e</w:t>
      </w:r>
      <w:r>
        <w:t>tydning enn andre typer produksjon. Det gjelder blant annet innenfor høyteknologisk produksjon som krever stor bredde av kompetanse og teknologi og som opererer i krevende globale markeder. Slik ind</w:t>
      </w:r>
      <w:r>
        <w:t>u</w:t>
      </w:r>
      <w:r>
        <w:t>striell produksjon kan på sett og vis også betraktes som en utviklingsarena og laboratorium for utvikling av framtidens industri i Norge.</w:t>
      </w:r>
    </w:p>
    <w:p w:rsidR="00D24D21" w:rsidRDefault="00D24D21" w:rsidP="00CE47F2">
      <w:r>
        <w:t>Det er grunn til å tro at det er et potensial for overføring av teknologi og kompetanse fra eksisterende industri- og produksjonsmiljøer til deler av helsenæringen. Norge har allerede krevende og hø</w:t>
      </w:r>
      <w:r>
        <w:t>y</w:t>
      </w:r>
      <w:r>
        <w:t>teknologisk industriproduksjon og samtidig har vi gode forskningsmiljøer innenfor flere helserel</w:t>
      </w:r>
      <w:r>
        <w:t>a</w:t>
      </w:r>
      <w:r>
        <w:t>terte områder, for eksempel kreft og nevrov</w:t>
      </w:r>
      <w:r>
        <w:t>i</w:t>
      </w:r>
      <w:r>
        <w:t>tenskap, og teknologimiljøer innenfor for eksempel bildediagnostikk og ultralyd. Kombinasjonen av rask tekn</w:t>
      </w:r>
      <w:r>
        <w:t>o</w:t>
      </w:r>
      <w:r>
        <w:t>logiutvikling, slike sterke miljøer og industriell kompetanse, kan samlet gjøre det lønnsomt å legge mer produksjon til Norge. Dette kan være en viktig forutsetning for videre vekst i deler av helsenæringen og kan gi lønnsomme arbeid</w:t>
      </w:r>
      <w:r>
        <w:t>s</w:t>
      </w:r>
      <w:r>
        <w:t>plasser og verdiskaping i Norge.</w:t>
      </w:r>
    </w:p>
    <w:p w:rsidR="00D24D21" w:rsidRDefault="00D24D21" w:rsidP="00CE47F2">
      <w:r>
        <w:t>Regjeringen vil at Norge skal være et land som talentfulle studenter og forskere ønsker å dra til, og et attraktivt land for investeringer innenfor høyproduktiv virksomhet. Invest in Norway bistår ute</w:t>
      </w:r>
      <w:r>
        <w:t>n</w:t>
      </w:r>
      <w:r>
        <w:t>landske bedrifter som vurderer lokalisering i Norge, og arbeider for å synliggjøre Norge som et attraktivt land for investorer og gründere. Invest in Norway har god kunnskap om og oversikt over norske industri- og forskningsmiljøer, og samarbeider tett med nasjonale og regionale aktører og myndigheter. Invest in Norway ble styrket med 10 mill. kroner i 2018. Midlene skal blant annet dekke en utredning som skal se på hvordan Norge kan bli bedre til å tiltrekke oss utenlandske i</w:t>
      </w:r>
      <w:r>
        <w:t>n</w:t>
      </w:r>
      <w:r>
        <w:t>vesteringer og kompetanse.</w:t>
      </w:r>
    </w:p>
    <w:p w:rsidR="00D24D21" w:rsidRDefault="00D24D21" w:rsidP="00CE47F2">
      <w:pPr>
        <w:pStyle w:val="tittel-ramme"/>
      </w:pPr>
      <w:r>
        <w:t>Norges smarteste industribedrift 2018 – Thermo Fisher Scientific</w:t>
      </w:r>
    </w:p>
    <w:p w:rsidR="00D24D21" w:rsidRDefault="00D24D21" w:rsidP="00CE47F2">
      <w:r>
        <w:t>Ugelstad-kuler, eller Dynabeads, er magnetiske polymerkuler på 1–5 mikrometer i diameter, som framstilles slik at de er nøyaktig like store. Kulene har et bredt anvendelsesområde innenfor fors</w:t>
      </w:r>
      <w:r>
        <w:t>k</w:t>
      </w:r>
      <w:r>
        <w:t>ning, diagnostikk og medisin, og brukes blant annet til isolering av celler, DNA, RNA og til måling av proteiner. Kulene brukes også i moderne immunterapi mot kreft. John Ugelstad (1921–1997) fant opp kulene da han arbeidet på SINTEF på 1970-tallet.</w:t>
      </w:r>
    </w:p>
    <w:p w:rsidR="00D24D21" w:rsidRDefault="00D24D21" w:rsidP="00CE47F2">
      <w:r>
        <w:lastRenderedPageBreak/>
        <w:t>Thermo Fisher Scientific er en innovativ bioteknologibedrift som hvert år investerer over 60 mill. kroner i forskning og utvikling. Selskapet har industriell produksjon av Dynabeads i Oslo og Lill</w:t>
      </w:r>
      <w:r>
        <w:t>e</w:t>
      </w:r>
      <w:r>
        <w:t>strøm basert på videreutvikling av Uglestad-kulene og er i sterk vekst med salg over hele verden. I 2017 vant bedriften Forskningsrådets innovasjonspris og Norwegian Tech Award for helt ny te</w:t>
      </w:r>
      <w:r>
        <w:t>k</w:t>
      </w:r>
      <w:r>
        <w:t>nologi som bidrar til billigere og raskere avlesning av arv</w:t>
      </w:r>
      <w:r>
        <w:t>e</w:t>
      </w:r>
      <w:r>
        <w:t>stoffet og som i dag benyttes innenfor kreftdiagnostikk. En helt ny celle-basert behandling av blodkreft, med utgangpunkt i pasientens eget immunforsvar, fikk i 2017 sin godkjennelse i USA, og året etter i EU og Norge, jf. omtale i boks 8.5. Dynabeads er en sentral teknologi i framstillingen av denne immunterapien. I 2018 ble Thermo Fisher Scientific kåret til Norges Smarteste industribedrift. I juryens begrunnelse ble det blant annet lagt vekt på at bedriften har klart å kommersi</w:t>
      </w:r>
      <w:r>
        <w:t>a</w:t>
      </w:r>
      <w:r>
        <w:t>lisere et norsk, vitenskapelig gjennombrudd og etablert produksjon i Norge for et globalt marked.</w:t>
      </w:r>
    </w:p>
    <w:p w:rsidR="00D24D21" w:rsidRDefault="00D24D21" w:rsidP="00CE47F2">
      <w:r>
        <w:t>Figur 7.6 viser øverst en batch av Dynabeads. Bildet nederst til venstre viser DNA-sekvensering basert på ugelstadkuler og halvleder-teknologi. Bildet i midten viser separasjon av magnetiske D</w:t>
      </w:r>
      <w:r>
        <w:t>y</w:t>
      </w:r>
      <w:r>
        <w:t>nabeads ved hjelp av magnetisme. Nederst til høyre er det bilde av isolering og oppdyrking av T-celler ved hjelp av Dynabeads.</w:t>
      </w:r>
    </w:p>
    <w:p w:rsidR="00D24D21" w:rsidRDefault="00E636F4" w:rsidP="00E636F4">
      <w:pPr>
        <w:pStyle w:val="Figur"/>
      </w:pPr>
      <w:r>
        <w:rPr>
          <w:noProof/>
        </w:rPr>
        <w:t>[:figur:figX-X.jpg]</w:t>
      </w:r>
    </w:p>
    <w:p w:rsidR="00D24D21" w:rsidRDefault="00D24D21" w:rsidP="00CE47F2">
      <w:pPr>
        <w:pStyle w:val="figur-tittel"/>
      </w:pPr>
      <w:r>
        <w:t>Ugelstad-kuler</w:t>
      </w:r>
    </w:p>
    <w:p w:rsidR="00D24D21" w:rsidRDefault="00D24D21" w:rsidP="00CE47F2">
      <w:pPr>
        <w:pStyle w:val="figur-noter"/>
      </w:pPr>
      <w:r>
        <w:t xml:space="preserve">Foto: Thermo Fisher Scientific </w:t>
      </w:r>
    </w:p>
    <w:p w:rsidR="00D24D21" w:rsidRDefault="00D24D21">
      <w:pPr>
        <w:pStyle w:val="Ramme-slutt"/>
        <w:rPr>
          <w:sz w:val="26"/>
          <w:szCs w:val="26"/>
        </w:rPr>
      </w:pPr>
      <w:r>
        <w:rPr>
          <w:sz w:val="26"/>
          <w:szCs w:val="26"/>
        </w:rPr>
        <w:t>[Boks slutt]</w:t>
      </w:r>
    </w:p>
    <w:p w:rsidR="00D24D21" w:rsidRDefault="00D24D21" w:rsidP="00CE47F2">
      <w:pPr>
        <w:pStyle w:val="tittel-ramme"/>
      </w:pPr>
      <w:r>
        <w:t>Teknologi og kompetanse fra olje- og gass til helse- og omsorg</w:t>
      </w:r>
    </w:p>
    <w:p w:rsidR="00D24D21" w:rsidRDefault="00D24D21" w:rsidP="00CE47F2">
      <w:r>
        <w:t>Norway Pumps &amp; Pipes er en samarbeidsarena for overføring av kunnskap og teknologi mellom olje- og gassektoren og helsesektoren. Samarbeidspartnene bak initiativet er Stavanger universitetss</w:t>
      </w:r>
      <w:r>
        <w:t>y</w:t>
      </w:r>
      <w:r>
        <w:t>kehus, NORCE Norwegian Research Centre AS, Universitetet i Stavanger, kommunesamarbeidet Greater Stavanger, Norway Smart Care Cluster (NSCC) og ulike industripartnere. Under er to e</w:t>
      </w:r>
      <w:r>
        <w:t>k</w:t>
      </w:r>
      <w:r>
        <w:t>sempler på prosje</w:t>
      </w:r>
      <w:r>
        <w:t>k</w:t>
      </w:r>
      <w:r>
        <w:t>ter som springer ut av samarbeidet.</w:t>
      </w:r>
    </w:p>
    <w:p w:rsidR="00D24D21" w:rsidRDefault="00D24D21" w:rsidP="00CE47F2">
      <w:pPr>
        <w:pStyle w:val="avsnitt-undertittel"/>
      </w:pPr>
      <w:r>
        <w:t>Smart madrass for å unngå liggesår</w:t>
      </w:r>
    </w:p>
    <w:p w:rsidR="00D24D21" w:rsidRDefault="00D24D21" w:rsidP="00CE47F2">
      <w:r>
        <w:t>Med en aldrende befolkning er utvikling av liggesår hos pasienter med liten eller ingen mobilitet et økende problem, både nasjonalt og globalt. I tillegg til at liggesår er smertefullt, er manuell løfting og vending av pasienter tid- og ressurskrevende og en viktig årsak til slitasjeskader og sykefravær i helse- og omsorg</w:t>
      </w:r>
      <w:r>
        <w:t>s</w:t>
      </w:r>
      <w:r>
        <w:t>sektoren. Selskapet Tidewave utvikler en smart madrass som vender pasienten i henhold til et forhånd</w:t>
      </w:r>
      <w:r>
        <w:t>s</w:t>
      </w:r>
      <w:r>
        <w:t>innstilt bevegelsesmønster, slik at pasienten unngår at det utvikles liggesår. Bevegelsen av madrassen er styrt av en automatisk trykkstyringsenhet. For å utvikle vendemadra</w:t>
      </w:r>
      <w:r>
        <w:t>s</w:t>
      </w:r>
      <w:r>
        <w:t>sen hentet Tidewave teknologikompetanse fra et ingeniørselskap som utvikler løsninger for petr</w:t>
      </w:r>
      <w:r>
        <w:t>o</w:t>
      </w:r>
      <w:r>
        <w:t>leumssektoren. Madrassen prøves nå ut i flere kommuner i Rogaland.</w:t>
      </w:r>
    </w:p>
    <w:p w:rsidR="00D24D21" w:rsidRDefault="00D24D21" w:rsidP="00CE47F2">
      <w:pPr>
        <w:pStyle w:val="avsnitt-undertittel"/>
      </w:pPr>
      <w:r>
        <w:t>Utredning av hjertesykdom basert på datamodellering og medisinsk bildebehandling</w:t>
      </w:r>
    </w:p>
    <w:p w:rsidR="00D24D21" w:rsidRDefault="00D24D21" w:rsidP="00CE47F2">
      <w:r>
        <w:t>Redusert blodtilførsel til hjertet som følge av innsnevringer i blodårene omkring hjertet (kransart</w:t>
      </w:r>
      <w:r>
        <w:t>e</w:t>
      </w:r>
      <w:r>
        <w:t>riene), er en hovedårsak til hjertekrampe, og i siste instans hjerteinfarkt. Per i dag er utredning av alvorlighet</w:t>
      </w:r>
      <w:r>
        <w:t>s</w:t>
      </w:r>
      <w:r>
        <w:t xml:space="preserve">graden av innsnevringer i kransarteriene basert på et kirurgisk inngrep, hvor man går inn </w:t>
      </w:r>
      <w:r>
        <w:lastRenderedPageBreak/>
        <w:t>med et kateter og måler trykkfallet over innsnevringen. Nå arbeider petroleumsforskere og hjert</w:t>
      </w:r>
      <w:r>
        <w:t>e</w:t>
      </w:r>
      <w:r>
        <w:t>spesialister sammen om å utvikle en ikke-invasiv metode som er langt mer skånsom for pasienten fordi man unngår å gå inn i kroppen. Metoden er basert på at man avbilder kransarteriene ved bruk av computertomografi (CT). Ved å løse ligningene som beskriver blodstrømmen i kransarteriene, kan man simulere hvordan blodtrykk og strømningshastighet oppfører seg i området rundt en innsne</w:t>
      </w:r>
      <w:r>
        <w:t>v</w:t>
      </w:r>
      <w:r>
        <w:t>ring. De matematiske ligningene er de samme som brukes til å beskrive strømning av olje og vann i reservoarbergarter.</w:t>
      </w:r>
    </w:p>
    <w:p w:rsidR="00D24D21" w:rsidRDefault="00E636F4" w:rsidP="00E636F4">
      <w:pPr>
        <w:pStyle w:val="Figur"/>
      </w:pPr>
      <w:r>
        <w:rPr>
          <w:noProof/>
        </w:rPr>
        <w:t>[:figur:figX-X.jpg]</w:t>
      </w:r>
    </w:p>
    <w:p w:rsidR="00D24D21" w:rsidRDefault="00D24D21" w:rsidP="00CE47F2">
      <w:pPr>
        <w:pStyle w:val="figur-tittel"/>
      </w:pPr>
      <w:r>
        <w:t>Tidewave (til venstre), simulering av trykk (i midten) og strømningshastighet (til høyre) i aorta</w:t>
      </w:r>
    </w:p>
    <w:p w:rsidR="00D24D21" w:rsidRDefault="00D24D21" w:rsidP="00CE47F2">
      <w:pPr>
        <w:pStyle w:val="figur-noter"/>
      </w:pPr>
      <w:r>
        <w:t>Foto: Tidewave AS og Norway Pump &amp; Pipes</w:t>
      </w:r>
    </w:p>
    <w:p w:rsidR="00D24D21" w:rsidRDefault="00D24D21">
      <w:pPr>
        <w:pStyle w:val="Ramme-slutt"/>
        <w:rPr>
          <w:sz w:val="26"/>
          <w:szCs w:val="26"/>
        </w:rPr>
      </w:pPr>
      <w:r>
        <w:rPr>
          <w:sz w:val="26"/>
          <w:szCs w:val="26"/>
        </w:rPr>
        <w:t>[Boks slutt]</w:t>
      </w:r>
    </w:p>
    <w:p w:rsidR="00D24D21" w:rsidRDefault="00D24D21" w:rsidP="00CE47F2">
      <w:pPr>
        <w:pStyle w:val="tittel-ramme"/>
      </w:pPr>
      <w:r>
        <w:t>Fra hav til helse</w:t>
      </w:r>
    </w:p>
    <w:p w:rsidR="00D24D21" w:rsidRDefault="00D24D21" w:rsidP="00CE47F2">
      <w:r>
        <w:t>Havet kan være kilde til nye medisiner og andre helse-relaterte produkter basert på bioaktive ko</w:t>
      </w:r>
      <w:r>
        <w:t>m</w:t>
      </w:r>
      <w:r>
        <w:t>ponenter fra både planter, fisk og skalldyr. Norge har en rekke forskningsmiljøer og virksomheter som er langt fremme på disse områdene, selv om det på flere felt gjenstår både forskningsmessige, produksjonsme</w:t>
      </w:r>
      <w:r>
        <w:t>s</w:t>
      </w:r>
      <w:r>
        <w:t>sige og regulatoriske problemstillinger før verdiskapingspotensialet kan realiseres.</w:t>
      </w:r>
    </w:p>
    <w:p w:rsidR="00D24D21" w:rsidRDefault="00D24D21" w:rsidP="00CE47F2">
      <w:r>
        <w:t>Et eksempel er alginat fra stortare. Alginat har en spesiell evne til å skape fortykninger, danne gelé, stabilisere blandinger og danne film. Disse egenskapene gir muligheter for anvendelse innenfor områd</w:t>
      </w:r>
      <w:r>
        <w:t>e</w:t>
      </w:r>
      <w:r>
        <w:t>ne farmasi, medisin og biomedisin. Et annet eksempel er omega-3-oljer som kan utvinnes fra forskjellige arter av fisk (inklusive laks) og andre marine organismer som krill, og som brukes både i mat, fôr, hels</w:t>
      </w:r>
      <w:r>
        <w:t>e</w:t>
      </w:r>
      <w:r>
        <w:t>kost og medisiner. Også restråstoff fra fisk og skalldyr kan brukes til å framstille andre typer bioaktive stoffer som kan brukes i såkalt funksjonell mat og kosttilskudd med dokumenterte helse-effekter. Marin bioprospe</w:t>
      </w:r>
      <w:r>
        <w:t>k</w:t>
      </w:r>
      <w:r>
        <w:t>tering har ledet til oppdagelse av mange nye stoffer med biologiske effekter med stort pote</w:t>
      </w:r>
      <w:r>
        <w:t>n</w:t>
      </w:r>
      <w:r>
        <w:t>sial innenfor helseindustrien. Gjennom screeningen av marine ekstrakter har det blitt funnet flere mol</w:t>
      </w:r>
      <w:r>
        <w:t>e</w:t>
      </w:r>
      <w:r>
        <w:t>kyler som kan bli til framtidige legemidler.</w:t>
      </w:r>
    </w:p>
    <w:p w:rsidR="00D24D21" w:rsidRDefault="00D24D21">
      <w:pPr>
        <w:pStyle w:val="Ramme-slutt"/>
        <w:rPr>
          <w:sz w:val="26"/>
          <w:szCs w:val="26"/>
        </w:rPr>
      </w:pPr>
      <w:r>
        <w:rPr>
          <w:sz w:val="26"/>
          <w:szCs w:val="26"/>
        </w:rPr>
        <w:t>[Boks slutt]</w:t>
      </w:r>
    </w:p>
    <w:p w:rsidR="00D24D21" w:rsidRDefault="00D24D21" w:rsidP="009C17C8">
      <w:pPr>
        <w:pStyle w:val="Overskrift3"/>
        <w:numPr>
          <w:ilvl w:val="2"/>
          <w:numId w:val="224"/>
        </w:numPr>
      </w:pPr>
      <w:r>
        <w:t>Instituttsektoren</w:t>
      </w:r>
    </w:p>
    <w:p w:rsidR="00D24D21" w:rsidRDefault="00D24D21" w:rsidP="00CE47F2">
      <w:r>
        <w:t>Forskningsinstituttene er en sentral del av det norske forsknings- og innovasjonssystemet. Institut</w:t>
      </w:r>
      <w:r>
        <w:t>t</w:t>
      </w:r>
      <w:r>
        <w:t>sektoren er samarbeidspartner og leverandør av FoU-tjenester for næringslivet og offentlig sektor, og bidrar til å overføre teknologi og kompetanse mellom aktører. Norge har en instituttsektor med stor kapasitet på næringsrettet, anvendt og tverrfaglig forskning.</w:t>
      </w:r>
    </w:p>
    <w:p w:rsidR="00D24D21" w:rsidRDefault="00D24D21" w:rsidP="00CE47F2">
      <w:r>
        <w:t>Analyser viser at instituttsektoren har vært mindre involvert i anvendt forsknings- og utviklingsa</w:t>
      </w:r>
      <w:r>
        <w:t>r</w:t>
      </w:r>
      <w:r>
        <w:t>beid for helse</w:t>
      </w:r>
      <w:r>
        <w:t>n</w:t>
      </w:r>
      <w:r>
        <w:t>æringen enn innenfor andre forsknings- og utviklingstunge industriområder. Dersom en for ekse</w:t>
      </w:r>
      <w:r>
        <w:t>m</w:t>
      </w:r>
      <w:r>
        <w:t>pel ser nærmere på samarbeid mellom ulike aktører i forskningsprosjekter finansiert av Norges forskning</w:t>
      </w:r>
      <w:r>
        <w:t>s</w:t>
      </w:r>
      <w:r>
        <w:t xml:space="preserve">råd, er det også tydelig at instituttsektoren er mindre viktige samarbeidspartnere i </w:t>
      </w:r>
      <w:r>
        <w:lastRenderedPageBreak/>
        <w:t>helseprosjekter enn for prosjekter innenfor energi og marin.</w:t>
      </w:r>
      <w:r>
        <w:rPr>
          <w:vertAlign w:val="superscript"/>
        </w:rPr>
        <w:footnoteReference w:id="40"/>
      </w:r>
      <w:r>
        <w:t xml:space="preserve"> Dette kan ha sammenheng med n</w:t>
      </w:r>
      <w:r>
        <w:t>æ</w:t>
      </w:r>
      <w:r>
        <w:t>ringens relative størrelse. Andre mulige årsaker kan være problematikk rundt deling av rettigheter og det kan henge sammen med at mange prosjekter har lange utviklingsløp i tidlig fase. Men det kan også reflektere at instituttsektoren har liten k</w:t>
      </w:r>
      <w:r>
        <w:t>a</w:t>
      </w:r>
      <w:r>
        <w:t>pasitet og kompetanse på området. Helseforetakene ser ut til å være en viktig utviklingspartner som tar noe av instituttsektorens tradisjonelle rolle i hels</w:t>
      </w:r>
      <w:r>
        <w:t>e</w:t>
      </w:r>
      <w:r>
        <w:t>relaterte prosjekter.</w:t>
      </w:r>
    </w:p>
    <w:p w:rsidR="00D24D21" w:rsidRDefault="00D24D21" w:rsidP="00CE47F2">
      <w:r>
        <w:t>Med de omstillingsbehovene norsk økonomi står overfor, er det viktig at instituttene er i stand til å møte nye kunnskaps- og kompetansebehov i næringslivet og samfunnet forøvrig. Instituttene må omstille seg og tilpasse sine strategier i takt med endrede behov og nye muligheter. I tråd med langtidsplanen for forskning og høyere utdanning styrket regjeringen basisbevilgningen til de teknisk industrielle institu</w:t>
      </w:r>
      <w:r>
        <w:t>t</w:t>
      </w:r>
      <w:r>
        <w:t>tene i budsjettet for 2019. Dette vil bidra til å styrke instituttenes langsiktige kunnskapsoppbygging på områder som er sentrale for næringslivets evne til forskningsbasert n</w:t>
      </w:r>
      <w:r>
        <w:t>y</w:t>
      </w:r>
      <w:r>
        <w:t>skaping og omstilling. Regjeringen vil kar</w:t>
      </w:r>
      <w:r>
        <w:t>t</w:t>
      </w:r>
      <w:r>
        <w:t>legge potensialet for økt samhandling med helsenæringen i relevante deler av instituttsektoren.</w:t>
      </w:r>
    </w:p>
    <w:p w:rsidR="00D24D21" w:rsidRDefault="00D24D21" w:rsidP="00CE47F2">
      <w:r>
        <w:t>I 2019 vil det være ti år siden nåværende basisfinansieringssystem for instituttsektoren ble innført, og de ulike delene av instituttsektoren er nylig evaluert. Kunnskapsdepartementet har sammen med flere departementer igangsatt arbeid med en vurdering av instituttsektorens rolle i forsknings- og inn</w:t>
      </w:r>
      <w:r>
        <w:t>o</w:t>
      </w:r>
      <w:r>
        <w:t>vasjonssystemet og av hvorvidt sektoren er godt tilpasset framtidige behov.</w:t>
      </w:r>
    </w:p>
    <w:p w:rsidR="00D24D21" w:rsidRDefault="00D24D21" w:rsidP="00CE47F2">
      <w:pPr>
        <w:pStyle w:val="tittel-ramme"/>
      </w:pPr>
      <w:r>
        <w:t>SINTEFs satsing innenfor helse</w:t>
      </w:r>
    </w:p>
    <w:p w:rsidR="00D24D21" w:rsidRDefault="00D24D21" w:rsidP="00CE47F2">
      <w:r>
        <w:t>SINTEF er et av Europas største forskningsinstitutt, med flerfaglig spisskompetanse innenfor te</w:t>
      </w:r>
      <w:r>
        <w:t>k</w:t>
      </w:r>
      <w:r>
        <w:t>nologi, naturvitenskap og samfunnsvitenskap. I tråd med SINTEFs visjon om å bruke teknologien for å oppnå et bedre samfunn, arbeider de med å løse utfordringer på helseområdet gjennom ny forskningsbasert kun</w:t>
      </w:r>
      <w:r>
        <w:t>n</w:t>
      </w:r>
      <w:r>
        <w:t>skap og innovasjon innenfor både teknologi og tjenester. Helse og velferd er et tverrfaglig satsingsområde i SINTEF, og de arbeider innenfor områdene helse- og velferdstjenester, velferdsteknologi, digitalisering og e-helse, medisinsk teknologi, helsebygg og fysiske omgivelser, arbeidsliv samt levekår og folkehelse. SI</w:t>
      </w:r>
      <w:r>
        <w:t>N</w:t>
      </w:r>
      <w:r>
        <w:t>TEF er en forsknings- og innovasjonspartner for både kommune- og spesialisthelsetjenesten, brukerorgan</w:t>
      </w:r>
      <w:r>
        <w:t>i</w:t>
      </w:r>
      <w:r>
        <w:t>sasjoner, næringsliv og offentlig forvaltning.</w:t>
      </w:r>
    </w:p>
    <w:p w:rsidR="00D24D21" w:rsidRDefault="00D24D21">
      <w:pPr>
        <w:pStyle w:val="Ramme-slutt"/>
        <w:rPr>
          <w:sz w:val="26"/>
          <w:szCs w:val="26"/>
        </w:rPr>
      </w:pPr>
      <w:r>
        <w:rPr>
          <w:sz w:val="26"/>
          <w:szCs w:val="26"/>
        </w:rPr>
        <w:t>[Boks slutt]</w:t>
      </w:r>
    </w:p>
    <w:p w:rsidR="00D24D21" w:rsidRDefault="00D24D21" w:rsidP="00CE47F2">
      <w:pPr>
        <w:pStyle w:val="Overskrift3"/>
      </w:pPr>
      <w:r>
        <w:t>Senterordninger</w:t>
      </w:r>
    </w:p>
    <w:p w:rsidR="00D24D21" w:rsidRDefault="00D24D21" w:rsidP="00CE47F2">
      <w:r>
        <w:t>Det er etablert ulike senterordninger som fremmer samarbeid og kompetanseoverføring mellom n</w:t>
      </w:r>
      <w:r>
        <w:t>æ</w:t>
      </w:r>
      <w:r>
        <w:t>ringslivet og offentlig finansierte forskningsmiljøer. Sentre for forskningsdrevet innovasjon (SFI) er eta</w:t>
      </w:r>
      <w:r>
        <w:t>b</w:t>
      </w:r>
      <w:r>
        <w:t>lert med det formål å styrke innovasjonsevnen i næringslivet gjennom satsing på langsiktig forskning, i et nært samarbeid mellom forskningsaktive bedrifter og fremstående forskningsmiljøer. Sentrene skal stimulere bedrifter til innovasjon, skape aktivt samarbeid mellom næringsliv og forskningsmiljøene og fremme utvikling av næringsrettede forskningsmiljøer som ligger i den i</w:t>
      </w:r>
      <w:r>
        <w:t>n</w:t>
      </w:r>
      <w:r>
        <w:t xml:space="preserve">ternasjonale forskningsfronten. Ordningen bidrar til teknologioverføring, internasjonalisering og </w:t>
      </w:r>
      <w:r>
        <w:lastRenderedPageBreak/>
        <w:t>forskerutdanning. Det forutsettes samfinansiering mellom bedrifter, vertsinstitusjon og Norges forskningsråd. Se omtale i boks 7.13.</w:t>
      </w:r>
    </w:p>
    <w:p w:rsidR="00D24D21" w:rsidRDefault="00D24D21" w:rsidP="00CE47F2">
      <w:r>
        <w:t>Per i dag er det en relativt lav andel av SFIer innenfor helse- og omsorg. Dette kan sannsynligvis delvis forklares ved at norsk helsenæring består av mange små bedrifter som ikke har likviditet og langsiktighet til å bidra med finansering og ressurser over åtte år slik som SFI- ordningen krever.</w:t>
      </w:r>
    </w:p>
    <w:p w:rsidR="00D24D21" w:rsidRDefault="00D24D21" w:rsidP="00CE47F2">
      <w:r>
        <w:t>SFI-ordningen har nylig vært evaluert.</w:t>
      </w:r>
      <w:r>
        <w:rPr>
          <w:vertAlign w:val="superscript"/>
        </w:rPr>
        <w:footnoteReference w:id="41"/>
      </w:r>
      <w:r>
        <w:t xml:space="preserve"> Evalueringen viser blant annet at SFI-ordningen genererer forskning av høy kvalitet, bidrar til å styrke forskerutdanningen i Norge og at deltakerne fra privat sektor drar stor nytte av tilgang på personell og kunnskap. På den annen side viser evalueringen blant annet at bidraget til innovasjon og kommersialisering er for lavt, at den ikke balanserer forskning og innovasjon tilstrekkelig godt og at ordningen ikke støtter tjenesteinnovasjon og offentlig innovasjon godt nok.</w:t>
      </w:r>
    </w:p>
    <w:p w:rsidR="00D24D21" w:rsidRDefault="00D24D21" w:rsidP="00CE47F2">
      <w:r>
        <w:t>Forskningsrådet vurderer når og hvordan evalueringen bør følges opp med sikte på innretning av ny utlysning som vil komme i 2019.</w:t>
      </w:r>
    </w:p>
    <w:p w:rsidR="00D24D21" w:rsidRDefault="00D24D21" w:rsidP="00CE47F2">
      <w:pPr>
        <w:pStyle w:val="tittel-ramme"/>
      </w:pPr>
      <w:r>
        <w:t>Sentre for forskningsdrevet innovasjon (SFI) innenfor helse</w:t>
      </w:r>
    </w:p>
    <w:p w:rsidR="00D24D21" w:rsidRDefault="00D24D21" w:rsidP="00CE47F2">
      <w:r>
        <w:t>SFI-ordningen er åpen for alle temaer som kan være av betydning for innovasjon og verdiskaping i n</w:t>
      </w:r>
      <w:r>
        <w:t>æ</w:t>
      </w:r>
      <w:r>
        <w:t>ringslivet. Sentrene bidrar til å løse samfunns- og næringsutfordringer på sine områder. Bedrifter må delta aktivt i senterets styring, finansiering og forskning. Sentrene blir etablert for en periode på maksimalt åtte år (fem pluss tre år).</w:t>
      </w:r>
    </w:p>
    <w:p w:rsidR="00D24D21" w:rsidRDefault="00D24D21" w:rsidP="00CE47F2">
      <w:r>
        <w:rPr>
          <w:spacing w:val="-1"/>
        </w:rPr>
        <w:t>Av de 17 aktive SFIene er to innenfor helse</w:t>
      </w:r>
      <w:r>
        <w:t>relatert forskning: Centre for Cardiological Innovation (CCI) og C3: Centre for Connected Care – Accelerating adoption and diffusion of patient-centric innov</w:t>
      </w:r>
      <w:r>
        <w:t>a</w:t>
      </w:r>
      <w:r>
        <w:t>tions, begge ved OUS. I tillegg var ett tverrfaglig med en andel innenfor helse: CIUS – Center for innov</w:t>
      </w:r>
      <w:r>
        <w:t>a</w:t>
      </w:r>
      <w:r>
        <w:t>tive ultrasound solutions for health care, maritime, and oil &amp; gas industries ved NTNU.</w:t>
      </w:r>
    </w:p>
    <w:p w:rsidR="00D24D21" w:rsidRDefault="00D24D21">
      <w:pPr>
        <w:pStyle w:val="Ramme-slutt"/>
        <w:rPr>
          <w:sz w:val="26"/>
          <w:szCs w:val="26"/>
        </w:rPr>
      </w:pPr>
      <w:r>
        <w:rPr>
          <w:sz w:val="26"/>
          <w:szCs w:val="26"/>
        </w:rPr>
        <w:t>[Boks slutt]</w:t>
      </w:r>
    </w:p>
    <w:p w:rsidR="00D24D21" w:rsidRDefault="00D24D21" w:rsidP="00CE47F2">
      <w:pPr>
        <w:pStyle w:val="Overskrift3"/>
      </w:pPr>
      <w:r>
        <w:t>Testfasiliteter</w:t>
      </w:r>
    </w:p>
    <w:p w:rsidR="00D24D21" w:rsidRDefault="00D24D21" w:rsidP="00CE47F2">
      <w:r>
        <w:t>Regjeringen vil legge til rette for at ny teknologi kan utvikles og tas i bruk i større grad i alle n</w:t>
      </w:r>
      <w:r>
        <w:t>æ</w:t>
      </w:r>
      <w:r>
        <w:t xml:space="preserve">ringer. Behovet for testfasiliteter for næringslivet ble belyst gjennom </w:t>
      </w:r>
      <w:r>
        <w:rPr>
          <w:rStyle w:val="kursiv"/>
          <w:sz w:val="21"/>
          <w:szCs w:val="21"/>
        </w:rPr>
        <w:t>Industrimeldingen</w:t>
      </w:r>
      <w:r>
        <w:t xml:space="preserve"> som ble lagt fram våren 2017. Næringslivet selv, på tvers av bransjer, pekte på at behovene for pilotering, testing og visualisering forsterkes gjennom den raske utviklingen innenfor robotisering, automatisering og kunstig intelligens. Samtidig ble det pekt på behovet for å samle og dele kunnskap, erfaringer og kompetanse i partnerskap mellom aktører innenfor industri, forsknings- og utdanningsmiljøer og klynger.</w:t>
      </w:r>
    </w:p>
    <w:p w:rsidR="00D24D21" w:rsidRDefault="00D24D21" w:rsidP="00CE47F2">
      <w:r>
        <w:t>I helsenæringen er tilgang til infrastruktur til forskning, utvikling, testing og pilotering viktig og nø</w:t>
      </w:r>
      <w:r>
        <w:t>d</w:t>
      </w:r>
      <w:r>
        <w:t>vendig for utvikling av produkter, og næringen gir innspill om at tilgangen er begrenset i Norge. Dersom helsenæringssel</w:t>
      </w:r>
      <w:r>
        <w:t>s</w:t>
      </w:r>
      <w:r>
        <w:t>kaper må til utlandet for å finne en samarbeidspartner som kan kjøre tester og piloter, kan vi gå glipp av komp</w:t>
      </w:r>
      <w:r>
        <w:t>e</w:t>
      </w:r>
      <w:r>
        <w:t>tanseutvikling i Norge.</w:t>
      </w:r>
    </w:p>
    <w:p w:rsidR="00D24D21" w:rsidRDefault="00D24D21" w:rsidP="00CE47F2">
      <w:r>
        <w:lastRenderedPageBreak/>
        <w:t>Det finnes laboratorier og annen infrastruktur ved universiteter, høyskoler og sykehus som egner seg for testing, utprøving og pilotering. I forbindelse med utviklingen av katapult-ordningen fikk N</w:t>
      </w:r>
      <w:r>
        <w:t>æ</w:t>
      </w:r>
      <w:r>
        <w:t>rings- og fiskeridepartementet gjennomført en kartlegging av restkapasitet i testfasiliteter i n</w:t>
      </w:r>
      <w:r>
        <w:t>æ</w:t>
      </w:r>
      <w:r>
        <w:t>ringsliv og offentlig sektor. Den avdekket en betydelig ledig kapasitet. Denne undersøkelsen tok ikke for seg helse- og omsorgssektoren spesifikt, og den gikk ikke inn på hvordan restkapasiteten eve</w:t>
      </w:r>
      <w:r>
        <w:t>n</w:t>
      </w:r>
      <w:r>
        <w:t>tuelt kan benyttes. Selv om slik infrastruktur tidvis står ubrukt, er den ikke gjort tilgjengelig for næringslivet i dag. Dette kan være krevende på grunn av regelverk og behov for tilrettelegging.</w:t>
      </w:r>
    </w:p>
    <w:p w:rsidR="00D24D21" w:rsidRDefault="00D24D21" w:rsidP="00CE47F2">
      <w:r>
        <w:t>Regjeringen vil legge til rette for testfasiliteter for utvikling og bruk av ny teknologi i alle næringer. Regjeringen vil også utrede mulighetene for å utnytte eventuell restkapasitet i eksisterende labor</w:t>
      </w:r>
      <w:r>
        <w:t>a</w:t>
      </w:r>
      <w:r>
        <w:t>torier/infrastruktur for testing og pilotering ved universiteter, høyskoler og sykehus ved å gjøre den tilgjengelig for næringslivet, og vurdere eve</w:t>
      </w:r>
      <w:r>
        <w:t>n</w:t>
      </w:r>
      <w:r>
        <w:t>tuelle insentiver for å få dette til.</w:t>
      </w:r>
    </w:p>
    <w:p w:rsidR="00D24D21" w:rsidRDefault="00D24D21" w:rsidP="00CE47F2">
      <w:pPr>
        <w:pStyle w:val="tittel-ramme"/>
      </w:pPr>
      <w:r>
        <w:t>Katapult-ordningen</w:t>
      </w:r>
    </w:p>
    <w:p w:rsidR="00D24D21" w:rsidRDefault="00D24D21" w:rsidP="00CE47F2">
      <w:r>
        <w:t>Katapult-ordningen støtter etablering av flerbruks testfasiliteter der bedrifter og forskningsmiljøer kan utvikle og teste produkter og løsninger, slik at nye ideer kan utvikles raskere, rimeligere og mer effektivt. Katapult-sentrene tilbyr avansert utstyr og fasiliteter for testing, pilotering, simulering og visualisering. Målsettingen er å bidra til økt innovasjonsevne og konkurransekraft i norsk næringsliv.</w:t>
      </w:r>
    </w:p>
    <w:p w:rsidR="00D24D21" w:rsidRDefault="00D24D21" w:rsidP="00CE47F2">
      <w:r>
        <w:t>Det ble bevilget 50 mill. kroner til katapult-ordningen i 2017, 125 mill. kroner i 2018 og 125 mill. kroner i 2019. Siva forvalter ordningen, i tett samarbeid med Innovasjon Norge og Norges fors</w:t>
      </w:r>
      <w:r>
        <w:t>k</w:t>
      </w:r>
      <w:r>
        <w:t>ningsråd. Det gis investeringsstøtte til utstyr og støtte til kompetanse- og tjenesteutvikling ved sentrene. Ved behov kan Sivas eiendomsvirksomhet bidra til investeringer i lokaler. Sentrene har selv ansvar for en bærekraftig forre</w:t>
      </w:r>
      <w:r>
        <w:t>t</w:t>
      </w:r>
      <w:r>
        <w:t>ningsmodell.</w:t>
      </w:r>
    </w:p>
    <w:p w:rsidR="00D24D21" w:rsidRDefault="00D24D21" w:rsidP="00CE47F2">
      <w:r>
        <w:t>Felles for de utnevnte katapult-sentrene er at de er brede, kompetansetunge miljøer med sterke koblinger mellom forskning og industri, og at de tar sikte på å videreutvikle teknologi og kompetanse til anvendelse innenfor nye/andre næringer.</w:t>
      </w:r>
    </w:p>
    <w:p w:rsidR="00D24D21" w:rsidRDefault="00D24D21" w:rsidP="00CE47F2">
      <w:r>
        <w:t>Både i 2017 og 2018 søkte miljøer fra helsenæringen om å bli katapult-sentre, og i 2018 kom to av disse videre til fase to i søknadsprosessen. Alle søkere får tilbakemelding tilpasset det enkelte miljø, og tilbys rådgivning om videre u</w:t>
      </w:r>
      <w:r>
        <w:t>t</w:t>
      </w:r>
      <w:r>
        <w:t>vikling. Helseklyngene har fått råd om å arbeide videre med sine planer og sine partnerskap. Aktører innenfor hels</w:t>
      </w:r>
      <w:r>
        <w:t>e</w:t>
      </w:r>
      <w:r>
        <w:t>næringen kan også benytte seg av eksisterende katapult-sentre eller industrimiljøer. For eksempel har me</w:t>
      </w:r>
      <w:r>
        <w:t>d</w:t>
      </w:r>
      <w:r>
        <w:t>tech-bedriften Hy5, som lager bevegelige håndproteser, knyttet seg opp mot industrimiljøet og katapultsenteret på Raufoss</w:t>
      </w:r>
      <w:r>
        <w:rPr>
          <w:rStyle w:val="skrift-hevet"/>
          <w:spacing w:val="-3"/>
          <w:sz w:val="21"/>
          <w:szCs w:val="21"/>
        </w:rPr>
        <w:t>1</w:t>
      </w:r>
      <w:r>
        <w:t xml:space="preserve"> når de skal i gang med industrialisering etter flere år med utviklingsarbeid. Der får de tilgang til material- og produ</w:t>
      </w:r>
      <w:r>
        <w:t>k</w:t>
      </w:r>
      <w:r>
        <w:t>sjonskunnskap og erfaring med 3D-printing. K</w:t>
      </w:r>
      <w:r>
        <w:t>a</w:t>
      </w:r>
      <w:r>
        <w:t>tapultsenteret på Sørlandet, Future Materials, kan også være relevant for aktører innenfor helsenæringen. Senteret skal være et nasjonalt test- og kompetansesenter for framtidens avanserte materialer.</w:t>
      </w:r>
    </w:p>
    <w:p w:rsidR="00D24D21" w:rsidRDefault="00D24D21" w:rsidP="00CE47F2">
      <w:r>
        <w:t>Enkelte av aktørene innenfor helsenæringen, for eksempel Oslo Cancer Cluster, har organisert seg som små katapult-sentre, med private midler, med tilgang til felles testfasiliteter og kompetans</w:t>
      </w:r>
      <w:r>
        <w:t>e</w:t>
      </w:r>
      <w:r>
        <w:t>tjenester. Catapult Life Science har etablert seg på Fornebu med støtte fra blant andre Oslotech, SINTEF og private eiere, og tilbyr testlaboratorier og renromslokaler for bedrifter innenfor livsv</w:t>
      </w:r>
      <w:r>
        <w:t>i</w:t>
      </w:r>
      <w:r>
        <w:t>tenskap og produksjon av legemidler. Samarbeid om kostbart utstyr og utvikling og deling av kompetanse er sentralt for disse init</w:t>
      </w:r>
      <w:r>
        <w:t>i</w:t>
      </w:r>
      <w:r>
        <w:t>ativene.</w:t>
      </w:r>
    </w:p>
    <w:p w:rsidR="00D24D21" w:rsidRDefault="00D24D21" w:rsidP="00CE47F2">
      <w:pPr>
        <w:pStyle w:val="ramme-noter"/>
        <w:rPr>
          <w:rStyle w:val="skrift-hevet"/>
        </w:rPr>
      </w:pPr>
      <w:r>
        <w:rPr>
          <w:rStyle w:val="skrift-hevet"/>
          <w:sz w:val="17"/>
          <w:szCs w:val="17"/>
        </w:rPr>
        <w:t>1</w:t>
      </w:r>
      <w:r>
        <w:tab/>
        <w:t>Manufacturing Technology Norwegian Catapult Centre.</w:t>
      </w:r>
    </w:p>
    <w:p w:rsidR="00D24D21" w:rsidRDefault="00E636F4" w:rsidP="00E636F4">
      <w:pPr>
        <w:pStyle w:val="Figur"/>
      </w:pPr>
      <w:r>
        <w:rPr>
          <w:noProof/>
        </w:rPr>
        <w:lastRenderedPageBreak/>
        <w:t>[:figur:figX-X.jpg]</w:t>
      </w:r>
    </w:p>
    <w:p w:rsidR="00D24D21" w:rsidRDefault="00D24D21" w:rsidP="00CE47F2">
      <w:pPr>
        <w:pStyle w:val="figur-tittel"/>
      </w:pPr>
      <w:r>
        <w:t>Hy5 utvikler håndprotesen videre i katapultsenteret på Raufoss</w:t>
      </w:r>
    </w:p>
    <w:p w:rsidR="00D24D21" w:rsidRDefault="00D24D21" w:rsidP="00CE47F2">
      <w:pPr>
        <w:pStyle w:val="figur-noter"/>
      </w:pPr>
      <w:r>
        <w:t>Foto: Hy5</w:t>
      </w:r>
    </w:p>
    <w:p w:rsidR="00D24D21" w:rsidRDefault="00D24D21">
      <w:pPr>
        <w:pStyle w:val="Ramme-slutt"/>
        <w:rPr>
          <w:sz w:val="26"/>
          <w:szCs w:val="26"/>
        </w:rPr>
      </w:pPr>
      <w:r>
        <w:rPr>
          <w:sz w:val="26"/>
          <w:szCs w:val="26"/>
        </w:rPr>
        <w:t>[Boks slutt]</w:t>
      </w:r>
    </w:p>
    <w:p w:rsidR="00D24D21" w:rsidRDefault="00D24D21" w:rsidP="00CE47F2">
      <w:pPr>
        <w:pStyle w:val="Overskrift3"/>
      </w:pPr>
      <w:r>
        <w:t>Klynger og nettverk</w:t>
      </w:r>
    </w:p>
    <w:p w:rsidR="00D24D21" w:rsidRDefault="00D24D21" w:rsidP="00CE47F2">
      <w:r>
        <w:t>I den norske helsenæringen finnes det en rekke ulike typer nettverk og klynger som bidrar til ko</w:t>
      </w:r>
      <w:r>
        <w:t>m</w:t>
      </w:r>
      <w:r>
        <w:t>petanseoppbygging og samarbeid. Deltakelse i nettverk og klynger kan være viktig for at små og mellomstore bedrifter skal få tilgang til ledende kunnskap og kompetanse. Gjennom klyngene kan man få informasjon om mulige nasjonale og internasjonale finansieringskilder, tilgang til eksist</w:t>
      </w:r>
      <w:r>
        <w:t>e</w:t>
      </w:r>
      <w:r>
        <w:t>rende infrastruktur og mot</w:t>
      </w:r>
      <w:r>
        <w:t>i</w:t>
      </w:r>
      <w:r>
        <w:t>veres til deltakelse i internasjonalt forsknings- og innovasjonsarbeid.</w:t>
      </w:r>
    </w:p>
    <w:p w:rsidR="00D24D21" w:rsidRDefault="00D24D21" w:rsidP="00CE47F2">
      <w:pPr>
        <w:pStyle w:val="tittel-ramme"/>
      </w:pPr>
      <w:r>
        <w:t>Eksempler på klynger og nettverk i helsenæringen</w:t>
      </w:r>
    </w:p>
    <w:p w:rsidR="00D24D21" w:rsidRDefault="00D24D21" w:rsidP="00CE47F2">
      <w:pPr>
        <w:rPr>
          <w:rStyle w:val="kursiv"/>
          <w:spacing w:val="-2"/>
          <w:sz w:val="21"/>
          <w:szCs w:val="21"/>
        </w:rPr>
      </w:pPr>
      <w:r>
        <w:rPr>
          <w:rStyle w:val="kursiv"/>
          <w:spacing w:val="-2"/>
          <w:sz w:val="21"/>
          <w:szCs w:val="21"/>
        </w:rPr>
        <w:t>Oslo Cancer Cluster</w:t>
      </w:r>
      <w:r>
        <w:t xml:space="preserve"> er en forsknings- og innovasjonsklynge innenfor kreft, dedikert til å akselerere utvi</w:t>
      </w:r>
      <w:r>
        <w:t>k</w:t>
      </w:r>
      <w:r>
        <w:t>lingen av kreftbehandling og diagnostikk. Klyngen har om lag 90 medlemmer, fra små biotek – oppstart</w:t>
      </w:r>
      <w:r>
        <w:t>s</w:t>
      </w:r>
      <w:r>
        <w:t>bedrifter til store legemiddelselskaper og de fremste forskingsmiljøene innenfor onkologi i Norge. Se også omtale i boks 6.5.</w:t>
      </w:r>
    </w:p>
    <w:p w:rsidR="00D24D21" w:rsidRDefault="00D24D21" w:rsidP="00CE47F2">
      <w:pPr>
        <w:rPr>
          <w:rStyle w:val="kursiv"/>
          <w:sz w:val="21"/>
          <w:szCs w:val="21"/>
        </w:rPr>
      </w:pPr>
      <w:r>
        <w:rPr>
          <w:rStyle w:val="kursiv"/>
          <w:sz w:val="21"/>
          <w:szCs w:val="21"/>
        </w:rPr>
        <w:t>Norway Health Tech</w:t>
      </w:r>
      <w:r>
        <w:t xml:space="preserve"> arbeider med å støtte og akselerere utviklingen av nye produkter innenfor med</w:t>
      </w:r>
      <w:r>
        <w:t>i</w:t>
      </w:r>
      <w:r>
        <w:t>sinsk teknologi og e-helse for både det norske og globale markedet. Klyngen har om lag 200 me</w:t>
      </w:r>
      <w:r>
        <w:t>d</w:t>
      </w:r>
      <w:r>
        <w:t>lemmer.</w:t>
      </w:r>
    </w:p>
    <w:p w:rsidR="00D24D21" w:rsidRDefault="00D24D21" w:rsidP="00CE47F2">
      <w:pPr>
        <w:rPr>
          <w:rStyle w:val="kursiv"/>
          <w:sz w:val="21"/>
          <w:szCs w:val="21"/>
        </w:rPr>
      </w:pPr>
      <w:r>
        <w:rPr>
          <w:rStyle w:val="kursiv"/>
          <w:sz w:val="21"/>
          <w:szCs w:val="21"/>
        </w:rPr>
        <w:t>Norwegian Smart Care Cluster (NSCC)</w:t>
      </w:r>
      <w:r>
        <w:t xml:space="preserve"> er en velferdsteknologiklynge som arbeider for å øke komme</w:t>
      </w:r>
      <w:r>
        <w:t>r</w:t>
      </w:r>
      <w:r>
        <w:t>sialisering av produkter og tjenester rettet mot offentlig sektor. Klyngen består av mer enn 115 virksomheter og 45 komm</w:t>
      </w:r>
      <w:r>
        <w:t>u</w:t>
      </w:r>
      <w:r>
        <w:t>ner/offentlige aktører.</w:t>
      </w:r>
    </w:p>
    <w:p w:rsidR="00D24D21" w:rsidRDefault="00D24D21" w:rsidP="00CE47F2">
      <w:pPr>
        <w:rPr>
          <w:rStyle w:val="kursiv"/>
          <w:sz w:val="21"/>
          <w:szCs w:val="21"/>
        </w:rPr>
      </w:pPr>
      <w:r>
        <w:rPr>
          <w:rStyle w:val="kursiv"/>
          <w:sz w:val="21"/>
          <w:szCs w:val="21"/>
        </w:rPr>
        <w:t xml:space="preserve">The Life Science Cluster </w:t>
      </w:r>
      <w:r>
        <w:t>består av om lag 80 medlemmer med markeder innenfor helse, marin, jor</w:t>
      </w:r>
      <w:r>
        <w:t>d</w:t>
      </w:r>
      <w:r>
        <w:t>bruk/skog/mat og industriell bioteknologi. Klyngen jobber med å styrke samhandlingen mellom bedrifter, forskning og spesi</w:t>
      </w:r>
      <w:r>
        <w:t>a</w:t>
      </w:r>
      <w:r>
        <w:t>listhelsetjenesten. De har også ambisjoner om å øke teknologi- og kompetanseutvekslingen mellom de ulike gr</w:t>
      </w:r>
      <w:r>
        <w:t>e</w:t>
      </w:r>
      <w:r>
        <w:t>nene i bioøkonomien.</w:t>
      </w:r>
    </w:p>
    <w:p w:rsidR="00D24D21" w:rsidRDefault="00D24D21" w:rsidP="00CE47F2">
      <w:pPr>
        <w:rPr>
          <w:rStyle w:val="kursiv"/>
          <w:sz w:val="21"/>
          <w:szCs w:val="21"/>
        </w:rPr>
      </w:pPr>
      <w:r>
        <w:rPr>
          <w:rStyle w:val="kursiv"/>
          <w:sz w:val="21"/>
          <w:szCs w:val="21"/>
        </w:rPr>
        <w:t xml:space="preserve">Nansen Neuroscience Network </w:t>
      </w:r>
      <w:r>
        <w:t>er et innovasjonsnettverk innenfor nevrovitenskap. Nevrovitenskap omfatter forskning og utvikling på hjernen og det sentrale nervesystemet, inkludert sykdommer som Alzheimer, Parkinsons, multippel sklerose og psykiatriske lidelser. Medlemmene i nettverket er forskningsorganisasjoner, universiteter, oppstartsbedrifter, etablert næringsliv og teknologioverf</w:t>
      </w:r>
      <w:r>
        <w:t>ø</w:t>
      </w:r>
      <w:r>
        <w:t>ringskontorer. Målet er forskning og utvikling som gir produkter som pasienter, pårørende og sa</w:t>
      </w:r>
      <w:r>
        <w:t>m</w:t>
      </w:r>
      <w:r>
        <w:t>funnet tjener på, og å bidra til utvikling av en helsenæring i Norge.</w:t>
      </w:r>
    </w:p>
    <w:p w:rsidR="00D24D21" w:rsidRDefault="00D24D21" w:rsidP="00CE47F2">
      <w:pPr>
        <w:rPr>
          <w:rStyle w:val="kursiv"/>
          <w:sz w:val="21"/>
          <w:szCs w:val="21"/>
        </w:rPr>
      </w:pPr>
      <w:r>
        <w:rPr>
          <w:rStyle w:val="kursiv"/>
          <w:sz w:val="21"/>
          <w:szCs w:val="21"/>
        </w:rPr>
        <w:t>Norwegian Inflammation Network</w:t>
      </w:r>
      <w:r>
        <w:t xml:space="preserve"> er en ideell medlemsorganisasjon som arbeider for å styrke utvi</w:t>
      </w:r>
      <w:r>
        <w:t>k</w:t>
      </w:r>
      <w:r>
        <w:t>lingen av ny diagnostikk og medisiner innenfor betennelse. Nettverket samler næringsliv, organis</w:t>
      </w:r>
      <w:r>
        <w:t>a</w:t>
      </w:r>
      <w:r>
        <w:t>sjoner og forsknings- og utdanningsinstitusjoner som er aktive på feltet.</w:t>
      </w:r>
    </w:p>
    <w:p w:rsidR="00D24D21" w:rsidRDefault="00D24D21">
      <w:pPr>
        <w:pStyle w:val="Ramme-slutt"/>
        <w:rPr>
          <w:sz w:val="26"/>
          <w:szCs w:val="26"/>
        </w:rPr>
      </w:pPr>
      <w:r>
        <w:rPr>
          <w:sz w:val="26"/>
          <w:szCs w:val="26"/>
        </w:rPr>
        <w:t>[Boks slutt]</w:t>
      </w:r>
    </w:p>
    <w:p w:rsidR="00D24D21" w:rsidRDefault="00D24D21" w:rsidP="00CE47F2">
      <w:r>
        <w:t xml:space="preserve">Offentlige virkemidler for nettverk og klynger har til hensikt å legge til rette for bedre flyt av kunnskap, blant annet mellom bedrifter og forsknings- og utdanningsinstitusjoner. Virkemidlene </w:t>
      </w:r>
      <w:r>
        <w:lastRenderedPageBreak/>
        <w:t>inneholder flere ulike aktiviteter og er innrettet med utgangspunkt i teorier om hvordan innovasjon skjer i samhandling mellom ulike aktører.</w:t>
      </w:r>
    </w:p>
    <w:p w:rsidR="00D24D21" w:rsidRDefault="00D24D21" w:rsidP="00CE47F2">
      <w:r>
        <w:t>Flere av klyngene i Norge har mottatt støtte gjennom klynge- og nettverksprogrammer som forvaltes av Innovasjon Norge, Norges forskningsråd og Siva. De tre aktørene forvalter ulike programmer og bidrar med finansiering av samspill mellom bedrifter og mellom bedrifter og kompetansemiljøer. Felles for alle virkemidlene er at de har som mål å bidra til økt verdiskaping og innovasjon gjennom å forsterke samarbeid i næringsklyngene. Virkemidlene skal i så måte oppnå det samme, men he</w:t>
      </w:r>
      <w:r>
        <w:t>n</w:t>
      </w:r>
      <w:r>
        <w:t>vender seg til noe ulike målgrupper, faser og geografisk område. Dette er bakgrunnen for at de ulike virkemidlene samspiller i stor grad og at de også fungerer delvis som rekrutteringsarena for hve</w:t>
      </w:r>
      <w:r>
        <w:t>r</w:t>
      </w:r>
      <w:r>
        <w:t>andre.</w:t>
      </w:r>
    </w:p>
    <w:p w:rsidR="00D24D21" w:rsidRDefault="00D24D21" w:rsidP="00CE47F2">
      <w:r>
        <w:t>Klyngeprogrammet i Innovasjon Norge ble evaluert av Samfunnsøkonomisk analyse i 2017. Ev</w:t>
      </w:r>
      <w:r>
        <w:t>a</w:t>
      </w:r>
      <w:r>
        <w:t>lueringen viser at klyngebedriftene i de første årene har høyere verdiskaping, høyere omsetning og høyere vekst i antall ansatte enn sammenlignbare bedrifter som ikke deltar i klyngesamarbeid. Det framgår at klyngeprogrammet har mobiliserende effekt for økt samarbeid, men at denne effekten klart avtar etter de tre-fire første årene. Evalueringen viser gode resultater og gir faglige anbefalinger om å støtte utvikling av umodne klynger, men gir ikke faglig grunnlag for å støtte sterke og modne næringsklynger. Evalueringen inneholder vurderinger og gir innspill til hvordan et ve</w:t>
      </w:r>
      <w:r>
        <w:t>l</w:t>
      </w:r>
      <w:r>
        <w:t>fungerende klyngeprogram bør innrettes. N</w:t>
      </w:r>
      <w:r>
        <w:t>æ</w:t>
      </w:r>
      <w:r>
        <w:t>rings- og fiskeridepartementet vil, i samarbeid med Kommunal- og moderniseringsdepartementet og I</w:t>
      </w:r>
      <w:r>
        <w:t>n</w:t>
      </w:r>
      <w:r>
        <w:t>novasjon Norge, videreutvikle programmet. Arbeidet vil ses i sammenheng med den pågående virkemiddelgjennomgangen og berørte næringsmiljøer vil bli i</w:t>
      </w:r>
      <w:r>
        <w:t>n</w:t>
      </w:r>
      <w:r>
        <w:t>volvert.</w:t>
      </w:r>
    </w:p>
    <w:p w:rsidR="00D24D21" w:rsidRDefault="00D24D21" w:rsidP="00CE47F2">
      <w:pPr>
        <w:pStyle w:val="tittel-ramme"/>
      </w:pPr>
      <w:r>
        <w:t>Eksempler på tiltak for nettverk og klynger</w:t>
      </w:r>
    </w:p>
    <w:p w:rsidR="00D24D21" w:rsidRDefault="00D24D21" w:rsidP="00CE47F2">
      <w:pPr>
        <w:rPr>
          <w:rStyle w:val="kursiv"/>
          <w:sz w:val="21"/>
          <w:szCs w:val="21"/>
        </w:rPr>
      </w:pPr>
      <w:r>
        <w:rPr>
          <w:rStyle w:val="kursiv"/>
          <w:sz w:val="21"/>
          <w:szCs w:val="21"/>
        </w:rPr>
        <w:t>Bedriftsnettverk</w:t>
      </w:r>
      <w:r>
        <w:t xml:space="preserve"> er et tilbud til små og mellomstore bedrifter som ønsker å etablere forpliktende sa</w:t>
      </w:r>
      <w:r>
        <w:t>m</w:t>
      </w:r>
      <w:r>
        <w:t>arbeid seg imellom. Etter et vellykket forprosjekt kan deltakerbedriftene i et bedriftsnettverk gå videre til andre tjenester som omfattes av Innovasjon Norges klyngeprogram, Norwegian Innovation Clusters.</w:t>
      </w:r>
    </w:p>
    <w:p w:rsidR="00D24D21" w:rsidRDefault="00D24D21" w:rsidP="00CE47F2">
      <w:pPr>
        <w:rPr>
          <w:rStyle w:val="kursiv"/>
          <w:sz w:val="21"/>
          <w:szCs w:val="21"/>
        </w:rPr>
      </w:pPr>
      <w:r>
        <w:rPr>
          <w:rStyle w:val="kursiv"/>
          <w:sz w:val="21"/>
          <w:szCs w:val="21"/>
        </w:rPr>
        <w:t>Klyngeprogrammet</w:t>
      </w:r>
      <w:r>
        <w:t xml:space="preserve"> skal bidra til å forsterke innovasjons- og fornyelsesevnen i regionale innov</w:t>
      </w:r>
      <w:r>
        <w:t>a</w:t>
      </w:r>
      <w:r>
        <w:t>sjonsmiljøer gjennom økt samspill og samarbeid innenfor næringslivet, og mellom næringsliv, kunnskapsmiljøer og offentlige utviklingsaktører. Programmet har tre nivåer. Arena omfatter klynger med nyetablerte og/eller umodne samarbeidsinitiativ. Norwegian Centres of Expertise (NCE) omfatter klynger med en etablert organisasjon med velutviklede tjenester, partnere og op</w:t>
      </w:r>
      <w:r>
        <w:t>p</w:t>
      </w:r>
      <w:r>
        <w:t>nådde resultater fra samarbeidsprosjekter. Global Centres of Expertise (GCE) skal bidra til økt ve</w:t>
      </w:r>
      <w:r>
        <w:t>r</w:t>
      </w:r>
      <w:r>
        <w:t>diskaping og gi virksomhetene en bedre posisjon og gjøre dem mer attraktive innenfor globale ve</w:t>
      </w:r>
      <w:r>
        <w:t>r</w:t>
      </w:r>
      <w:r>
        <w:t>dikjeder.</w:t>
      </w:r>
    </w:p>
    <w:p w:rsidR="00D24D21" w:rsidRDefault="00D24D21" w:rsidP="00CE47F2">
      <w:pPr>
        <w:rPr>
          <w:rStyle w:val="kursiv"/>
          <w:sz w:val="21"/>
          <w:szCs w:val="21"/>
        </w:rPr>
      </w:pPr>
      <w:r>
        <w:rPr>
          <w:rStyle w:val="kursiv"/>
          <w:sz w:val="21"/>
          <w:szCs w:val="21"/>
        </w:rPr>
        <w:t>Digitalt kompetanseløft</w:t>
      </w:r>
      <w:r>
        <w:t xml:space="preserve"> (tidligere «klyngene som omstillingsmotor») er et program der utvalgte klyngemiljøer skal bruke sin kunnskap og erfaring til å gi små og mellomstore bedrifter et komp</w:t>
      </w:r>
      <w:r>
        <w:t>e</w:t>
      </w:r>
      <w:r>
        <w:t>tanseløft på områder som er særlig viktige for omstilling og fornyelse. Dette skal bidra til at bedrifter over hele landet raskere fornyer og omstiller sine produkter, tjenester, produksjonsmetoder og fo</w:t>
      </w:r>
      <w:r>
        <w:t>r</w:t>
      </w:r>
      <w:r>
        <w:t>retningsmode</w:t>
      </w:r>
      <w:r>
        <w:t>l</w:t>
      </w:r>
      <w:r>
        <w:t>ler, for å oppnå økt konkurransekraft. Gjennom klyngesatsingen har en sett at de beste miljøene har utviklet en kompetansebase som er anvendbar på tvers av bransjer og fagmiljøer. Pr</w:t>
      </w:r>
      <w:r>
        <w:t>o</w:t>
      </w:r>
      <w:r>
        <w:t xml:space="preserve">grammet gir de beste miljøene insentiver til å dele sin kompetanse, sine metoder og verktøy med små </w:t>
      </w:r>
      <w:r>
        <w:lastRenderedPageBreak/>
        <w:t>og mellomstore bedrifter utenfor egen klynge. Slik får bedrifter fra andre næringer eller regioner enn der klyngen har sin base muligheten til å «trene med de beste» og få skreddersydd tilbud fra de beste bedriftene innenfor et te</w:t>
      </w:r>
      <w:r>
        <w:t>k</w:t>
      </w:r>
      <w:r>
        <w:t>nologiområde.</w:t>
      </w:r>
    </w:p>
    <w:p w:rsidR="00D24D21" w:rsidRDefault="00D24D21" w:rsidP="00CE47F2">
      <w:r>
        <w:t xml:space="preserve">En </w:t>
      </w:r>
      <w:r>
        <w:rPr>
          <w:rStyle w:val="kursiv"/>
          <w:sz w:val="21"/>
          <w:szCs w:val="21"/>
        </w:rPr>
        <w:t>næringshage</w:t>
      </w:r>
      <w:r>
        <w:t xml:space="preserve"> er et bedriftsfellesskap som arbeider for næringsutvikling og vekst i sin region, fo</w:t>
      </w:r>
      <w:r>
        <w:t>r</w:t>
      </w:r>
      <w:r>
        <w:t>trinnsvis i distriktene. Næringshagene tilbyr tjenester som bedriftsrådgivning, hjelp til utvikling av forretningsideer, markedsplanlegging, nettverksbygging, internasjonalisering og andre utvikling</w:t>
      </w:r>
      <w:r>
        <w:t>s</w:t>
      </w:r>
      <w:r>
        <w:t>relaterte oppgaver. En viktig oppgave for næringshagene er å koble bedriftene opp til relevante fagmiljøer, forsknings- og utviklingsmiljøer, industri, investeringsmiljøer og andre offentlige vi</w:t>
      </w:r>
      <w:r>
        <w:t>r</w:t>
      </w:r>
      <w:r>
        <w:t>kemiddelaktører. I perioden 2013–2017 har totalt 38 av Sivas n</w:t>
      </w:r>
      <w:r>
        <w:t>æ</w:t>
      </w:r>
      <w:r>
        <w:t>ringshager vært involvert i bedrifter innenfor helsenæringen.</w:t>
      </w:r>
      <w:r>
        <w:rPr>
          <w:rStyle w:val="skrift-hevet"/>
          <w:sz w:val="21"/>
          <w:szCs w:val="21"/>
        </w:rPr>
        <w:t>1</w:t>
      </w:r>
      <w:r>
        <w:t xml:space="preserve"> I løpet av de siste fem årene har antallet bedrifter i helsenæringen som er knyttet til næringshager vært økende, særlig i 2016 og 2017.</w:t>
      </w:r>
    </w:p>
    <w:p w:rsidR="00D24D21" w:rsidRDefault="00D24D21" w:rsidP="00CE47F2">
      <w:pPr>
        <w:pStyle w:val="ramme-noter"/>
      </w:pPr>
      <w:r>
        <w:rPr>
          <w:rStyle w:val="skrift-hevet"/>
          <w:sz w:val="17"/>
          <w:szCs w:val="17"/>
        </w:rPr>
        <w:t>1</w:t>
      </w:r>
      <w:r>
        <w:tab/>
        <w:t>Her har Siva tatt utgangspunkt i de bedriftene som har NACE-kode 21, 86, 87 og 88 og/eller hvor inkubatorl</w:t>
      </w:r>
      <w:r>
        <w:t>e</w:t>
      </w:r>
      <w:r>
        <w:t>der/næringshagelder i samarbeid med bedrifter har kategorisert bedriften å være innenfor helse.</w:t>
      </w:r>
    </w:p>
    <w:p w:rsidR="00D24D21" w:rsidRDefault="00D24D21">
      <w:pPr>
        <w:pStyle w:val="Ramme-slutt"/>
        <w:rPr>
          <w:sz w:val="26"/>
          <w:szCs w:val="26"/>
        </w:rPr>
      </w:pPr>
      <w:r>
        <w:rPr>
          <w:sz w:val="26"/>
          <w:szCs w:val="26"/>
        </w:rPr>
        <w:t>[Boks slutt]</w:t>
      </w:r>
    </w:p>
    <w:p w:rsidR="00D24D21" w:rsidRDefault="00D24D21" w:rsidP="00CE47F2">
      <w:r>
        <w:t>Flere av Norges forskningsråds ordninger er delvis rettet mot klynger og nettverk, og skal virke sammen med klyngeprogrammet i Innovasjon Norge. Bedrifter og forskningsinstitusjoner i klynger kan også søke om midler i blant annet teknologiprogrammer innenfor bioteknologi, nanoteknologi og IKT, samt brede programmer som BIA og SFI. Disse virkemidlene kan også virke sammen med andre finansieringsor</w:t>
      </w:r>
      <w:r>
        <w:t>d</w:t>
      </w:r>
      <w:r>
        <w:t>ninger for forskning og utvikling.</w:t>
      </w:r>
    </w:p>
    <w:p w:rsidR="00D24D21" w:rsidRDefault="00D24D21" w:rsidP="00CE47F2">
      <w:pPr>
        <w:pStyle w:val="tittel-ramme"/>
      </w:pPr>
      <w:r>
        <w:t>Nasjonalt senter for digitalt liv</w:t>
      </w:r>
    </w:p>
    <w:p w:rsidR="00D24D21" w:rsidRDefault="00D24D21" w:rsidP="00CE47F2">
      <w:r>
        <w:t>Møtet mellom bioteknologi og kraftfulle digitale verktøy kan gi muligheter innenfor områder som helse, havbruk og industri. Enten det gjelder å utvikle bedre behandling av sykdommer som fedme eller kreft, produksjon av nok og sunn mat til en økende befolkning, eller omlegging til mer bær</w:t>
      </w:r>
      <w:r>
        <w:t>e</w:t>
      </w:r>
      <w:r>
        <w:t>kraftige industriprosesser basert på foredling av biologiske ressurser, så er det snakk om samme</w:t>
      </w:r>
      <w:r>
        <w:t>n</w:t>
      </w:r>
      <w:r>
        <w:t>satte problemstillinger som trenger bidrag fra ulike eksperter.</w:t>
      </w:r>
    </w:p>
    <w:p w:rsidR="00D24D21" w:rsidRDefault="00D24D21" w:rsidP="00CE47F2">
      <w:r>
        <w:t xml:space="preserve">I </w:t>
      </w:r>
      <w:r>
        <w:rPr>
          <w:rStyle w:val="kursiv"/>
          <w:sz w:val="21"/>
          <w:szCs w:val="21"/>
        </w:rPr>
        <w:t>Nasjonalt senter for digitalt liv</w:t>
      </w:r>
      <w:r>
        <w:t xml:space="preserve"> skal bioteknologer arbeide sammen med matematikere, informatikere og ingeniører for å bringe fram nye innovasjoner fra bioteknologisk forskning. I tillegg skal hum</w:t>
      </w:r>
      <w:r>
        <w:t>a</w:t>
      </w:r>
      <w:r>
        <w:t>nistiske fag bidra til en bedre forståelse av den samfunnsmessige konteksten som denne forskningen er en del av. Satsingen og senteret er etablert med midler fra Norges forskningsråd. Totalt sett fo</w:t>
      </w:r>
      <w:r>
        <w:t>r</w:t>
      </w:r>
      <w:r>
        <w:t>valter senteret ca. 500 mill. kroner som skal gå til forskningsprosjekter, en forskerskole, en innov</w:t>
      </w:r>
      <w:r>
        <w:t>a</w:t>
      </w:r>
      <w:r>
        <w:t>sjonssatsing og sentrale senteroppgaver inkludert kompetanseu</w:t>
      </w:r>
      <w:r>
        <w:t>t</w:t>
      </w:r>
      <w:r>
        <w:t>vikling. I alt er 26 forskerprosjekter tilknyttet senteret.</w:t>
      </w:r>
    </w:p>
    <w:p w:rsidR="00D24D21" w:rsidRDefault="00D24D21" w:rsidP="00CE47F2">
      <w:r>
        <w:t>Satsingen vil kunne få stor betydning for utviklingen av norsk næringsliv, innenfor områder som havbruk, farmasi, prosessindustri, medisinsk teknologi, men også for teknologioverføring og utvi</w:t>
      </w:r>
      <w:r>
        <w:t>k</w:t>
      </w:r>
      <w:r>
        <w:t>ling av nye næringer. Om lag halvparten av dagens prosjekter er innenfor medisin og helse.</w:t>
      </w:r>
    </w:p>
    <w:p w:rsidR="00D24D21" w:rsidRDefault="00E636F4" w:rsidP="00E636F4">
      <w:pPr>
        <w:pStyle w:val="Figur"/>
      </w:pPr>
      <w:r>
        <w:rPr>
          <w:noProof/>
        </w:rPr>
        <w:t>[:figur:figX-X.jpg]</w:t>
      </w:r>
    </w:p>
    <w:p w:rsidR="00D24D21" w:rsidRDefault="00D24D21" w:rsidP="00CE47F2">
      <w:pPr>
        <w:pStyle w:val="figur-tittel"/>
      </w:pPr>
      <w:r>
        <w:t>Bioteknologisk forskning</w:t>
      </w:r>
    </w:p>
    <w:p w:rsidR="00D24D21" w:rsidRDefault="00D24D21" w:rsidP="00CE47F2">
      <w:pPr>
        <w:pStyle w:val="figur-noter"/>
      </w:pPr>
      <w:r>
        <w:t>Foto: Christian Koehler/Senter for digitalt liv Norge</w:t>
      </w:r>
    </w:p>
    <w:p w:rsidR="00D24D21" w:rsidRDefault="00D24D21">
      <w:pPr>
        <w:pStyle w:val="Ramme-slutt"/>
        <w:rPr>
          <w:sz w:val="26"/>
          <w:szCs w:val="26"/>
        </w:rPr>
      </w:pPr>
      <w:r>
        <w:rPr>
          <w:sz w:val="26"/>
          <w:szCs w:val="26"/>
        </w:rPr>
        <w:t>[Boks slutt]</w:t>
      </w:r>
    </w:p>
    <w:p w:rsidR="00D24D21" w:rsidRDefault="00D24D21" w:rsidP="00CE47F2">
      <w:pPr>
        <w:pStyle w:val="Overskrift3"/>
      </w:pPr>
      <w:r>
        <w:lastRenderedPageBreak/>
        <w:t>Utdanning og talenter</w:t>
      </w:r>
    </w:p>
    <w:p w:rsidR="00D24D21" w:rsidRDefault="00D24D21" w:rsidP="00CE47F2">
      <w:r>
        <w:t>En avgjørende faktor for å drive lønnsom næringsvirksomhet er tilgang på riktig kompetanse. He</w:t>
      </w:r>
      <w:r>
        <w:t>l</w:t>
      </w:r>
      <w:r>
        <w:t>seutfordringene og nye behandlingsmetoder, sammen med ny teknologi og rask endringshastighet i utvikling og produksjon, medfører behov for kontinuerlig oppdatert kunnskap. Tverrfaglig komp</w:t>
      </w:r>
      <w:r>
        <w:t>e</w:t>
      </w:r>
      <w:r>
        <w:t>tanse innenfor medisin og teknologi blir viktig for å løse utfordringene i helse- og omsorgssektoren. Tilgang på arbeid</w:t>
      </w:r>
      <w:r>
        <w:t>s</w:t>
      </w:r>
      <w:r>
        <w:t>kraft med riktig kompetanse og ferdigheter vil være viktig for innovasjon og vekst framover. Næringen trenger tilgang på kompetente og kunnskapsrike medarbeidere og nettverk både nasjonalt og internasj</w:t>
      </w:r>
      <w:r>
        <w:t>o</w:t>
      </w:r>
      <w:r>
        <w:t>nalt.</w:t>
      </w:r>
    </w:p>
    <w:p w:rsidR="00D24D21" w:rsidRDefault="00D24D21" w:rsidP="00CE47F2">
      <w:r>
        <w:t>Helse- og omsorgssektoren vil gjennomgå en stor teknologisk og digital omstilling i årene som kommer. Digit</w:t>
      </w:r>
      <w:r>
        <w:t>a</w:t>
      </w:r>
      <w:r>
        <w:t>lisering og ny teknologi kan bidra til at tilgjengelige ressurser disponeres på nye og bedre måter. Det kan gi økt pasientsikkerhet, bedre kvalitet på tjenestene og økt trygghet blant a</w:t>
      </w:r>
      <w:r>
        <w:t>n</w:t>
      </w:r>
      <w:r>
        <w:t>satte. Slik omstilling stiller også krav til kompetansen til de ansatte i sektoren på flere nivåer. Ledere må være i stand til å forstå hvordan teknologi kan utnyttes for å løse virksomhetens oppgaver på nye og bedre måter. A</w:t>
      </w:r>
      <w:r>
        <w:t>n</w:t>
      </w:r>
      <w:r>
        <w:t>satte må utvikle sin kompetanse for å evne å ta ny teknologi i bruk. Videre må pasienter og pår</w:t>
      </w:r>
      <w:r>
        <w:t>ø</w:t>
      </w:r>
      <w:r>
        <w:t>rende læres opp for å kunne nyttiggjøre seg av teknologien. Dette er en forutsetning for at helsenæringen skal kunne levere nye løsninger og at disse skal tas i bruk.</w:t>
      </w:r>
    </w:p>
    <w:p w:rsidR="00D24D21" w:rsidRDefault="00D24D21" w:rsidP="00CE47F2">
      <w:r>
        <w:t>Kunnskap og kompetanse påvirker den enkeltes holdninger og evne til å tenke innovativt og utvikle nye løsninger. Betydningen av entreprenørskap i utdanning og opplæring omtales i kapittel 9.</w:t>
      </w:r>
    </w:p>
    <w:p w:rsidR="00D24D21" w:rsidRDefault="00D24D21" w:rsidP="00CE47F2">
      <w:pPr>
        <w:rPr>
          <w:rFonts w:cs="Times New Roman"/>
          <w:szCs w:val="24"/>
          <w:lang w:val="en-GB"/>
        </w:rPr>
      </w:pPr>
      <w:r>
        <w:t xml:space="preserve">Kompetanse er et sentralt tema i </w:t>
      </w:r>
      <w:r>
        <w:rPr>
          <w:rStyle w:val="kursiv"/>
          <w:sz w:val="21"/>
          <w:szCs w:val="21"/>
        </w:rPr>
        <w:t>Nasjonal helse- og sykehusplan 2020–2023</w:t>
      </w:r>
      <w:r>
        <w:t xml:space="preserve"> som skal legges fram for Stortinget høsten 2019.</w:t>
      </w:r>
    </w:p>
    <w:p w:rsidR="00D24D21" w:rsidRDefault="00D24D21" w:rsidP="00CE47F2">
      <w:pPr>
        <w:pStyle w:val="Overskrift2"/>
      </w:pPr>
      <w:r>
        <w:t>Tilgang til kapital</w:t>
      </w:r>
    </w:p>
    <w:p w:rsidR="00D24D21" w:rsidRDefault="00D24D21" w:rsidP="00CE47F2">
      <w:r>
        <w:t>Et godt fungerende kapitalmarked er viktig for omstilling og utvikling av næringslivet og for n</w:t>
      </w:r>
      <w:r>
        <w:t>æ</w:t>
      </w:r>
      <w:r>
        <w:t>ringslivets konkurransekraft. I et velfungerende kapitalmarked kobles kapitalsøkere effektivt med kapitaleiere, risiko tas av dem som ønsker det og kapitalen kanaliseres dit den kan gjøre mest nytte for seg. Da vil ressursene brukes der de har sin beste anvendelse. Hvor effektivt kapitalmarkedet fungerer, avhenger av flere fo</w:t>
      </w:r>
      <w:r>
        <w:t>r</w:t>
      </w:r>
      <w:r>
        <w:t>hold, for eksempel av investorers og långiveres tilgang til informasjon om forventet lønnsomhet og risiko. Konkurransen mellom etterspørrere og tilbydere av kapital, og i hvilken grad kapitalen er mobil over la</w:t>
      </w:r>
      <w:r>
        <w:t>n</w:t>
      </w:r>
      <w:r>
        <w:t>degrenser og regioner, er også av betydning. Det offentlige er en betydelig aktør i kapitalmarkedet i Norge, både gjennom direkte eierskap og gjennom or</w:t>
      </w:r>
      <w:r>
        <w:t>d</w:t>
      </w:r>
      <w:r>
        <w:t>ninger som bidrar til finansiering av prosjekter som ikke lett finner ordinær markedsfinansiering.</w:t>
      </w:r>
    </w:p>
    <w:p w:rsidR="00D24D21" w:rsidRDefault="00D24D21" w:rsidP="00CE47F2">
      <w:r>
        <w:t>Kapitaltilgang er avgjørende for utvikling i alle næringer og for alle typer bedrifter, uavhengig av stø</w:t>
      </w:r>
      <w:r>
        <w:t>r</w:t>
      </w:r>
      <w:r>
        <w:t>relse. Høy pris på kapital eller knapphet i tilgangen kan gi seg utslag i færre nyetableringer og reduserte vekstmuligheter for eksisterende bedrifter. Store selskaper med god lønnsomhet har gjerne tilgang til kapital fra flere kilder, både nasjonalt og internasjonalt. Små og mellomstore bedrifter kan i større grad være avhengig av å hente inn egenk</w:t>
      </w:r>
      <w:r>
        <w:t>a</w:t>
      </w:r>
      <w:r>
        <w:t>pital eller lån innenlands.</w:t>
      </w:r>
    </w:p>
    <w:p w:rsidR="00D24D21" w:rsidRDefault="00D24D21" w:rsidP="00CE47F2">
      <w:r>
        <w:t>Kapitaltilgangsutvalget</w:t>
      </w:r>
      <w:r>
        <w:rPr>
          <w:vertAlign w:val="superscript"/>
        </w:rPr>
        <w:footnoteReference w:id="42"/>
      </w:r>
      <w:r>
        <w:t xml:space="preserve"> har utredet om lønnsomme prosjekter og bedrifter i ulike faser har ti</w:t>
      </w:r>
      <w:r>
        <w:t>l</w:t>
      </w:r>
      <w:r>
        <w:t>strekkelig tilgang til kapital. Flere av utfordringene som løftes fram av utvalget gjelder også he</w:t>
      </w:r>
      <w:r>
        <w:t>l</w:t>
      </w:r>
      <w:r>
        <w:lastRenderedPageBreak/>
        <w:t>senæringen. Ifølge utvalget er det norske kapitalmarkedet i hovedsak velfungerende. Forventet lønnsomme prosjekter og virksomheter får stort sett nok og rett finansiering. Samtidig mener u</w:t>
      </w:r>
      <w:r>
        <w:t>t</w:t>
      </w:r>
      <w:r>
        <w:t>valget at petroleumssektoren og relaterte næringers betydning, og skattemessig favorisering av i</w:t>
      </w:r>
      <w:r>
        <w:t>n</w:t>
      </w:r>
      <w:r>
        <w:t>vesteringer i fast eiendom, har svekket kapitaltilgangen til andre sektorer.</w:t>
      </w:r>
    </w:p>
    <w:p w:rsidR="00D24D21" w:rsidRDefault="00D24D21" w:rsidP="00CE47F2">
      <w:r>
        <w:t>Utvalget peker på at det er få nye, større vekstselskaper i Norge, og at dette kan skyldes et begrenset tilfang av risikobærende, kompetent kapital (det vil si eiere med både kapital og kompetanse til å utvikle disse selskapene). Utvalget mener at det er særlig krevende å få finansiering i den tidlige utviklingsfasen, spesielt der det må påregnes mange år med kapitalkrevende utvikling før det kan forventes inntekter, eksempelvis ved kommersialisering av forskningsresultater. Utvalget peker på at dette samtidig ofte er virksomheter eller prosjekter som kan ha potensial for stor og verdiskapende vekst etter et vellykket u</w:t>
      </w:r>
      <w:r>
        <w:t>t</w:t>
      </w:r>
      <w:r>
        <w:t>viklingsløp. Utvalgets vurdering er at det ikke synes å være åpenbare «hull» i emisjonsmarkedet, men at egenkapitaltilgangen for mindre bedrifter med et kapitalbehov i stø</w:t>
      </w:r>
      <w:r>
        <w:t>r</w:t>
      </w:r>
      <w:r>
        <w:t xml:space="preserve">relsesorden opp til 20 mill. kroner likevel vurderes som utfordrende. Dette underbygges av funnene i rapporten </w:t>
      </w:r>
      <w:r>
        <w:rPr>
          <w:rStyle w:val="kursiv"/>
          <w:sz w:val="21"/>
          <w:szCs w:val="21"/>
        </w:rPr>
        <w:t>Eierskap og emisjoner i norske foretak</w:t>
      </w:r>
      <w:r>
        <w:t xml:space="preserve"> som Menon Economics utarbeidet for utvalget. Dette kan være beskrivende for situasjonen for en del bedrifter innenfor helsenæringen, der det er en stor andel oppstartsbedrifter med lange utvi</w:t>
      </w:r>
      <w:r>
        <w:t>k</w:t>
      </w:r>
      <w:r>
        <w:t>lingsløp.</w:t>
      </w:r>
    </w:p>
    <w:p w:rsidR="00D24D21" w:rsidRDefault="00D24D21" w:rsidP="00CE47F2">
      <w:r>
        <w:t>Kapitaltilgangsutvalget mener at det kan være mulig å legge til rette for bedre kanalisering av den tilgjengelige kapitalen, en mer effektiv kobling mellom de som søker finansiering og de som søker investeringsmuligheter, og bedre informasjonsflyt i markedet ved bruk av digitalisering og ny te</w:t>
      </w:r>
      <w:r>
        <w:t>k</w:t>
      </w:r>
      <w:r>
        <w:t>nologi.</w:t>
      </w:r>
    </w:p>
    <w:p w:rsidR="00D24D21" w:rsidRDefault="00D24D21" w:rsidP="00CE47F2">
      <w:pPr>
        <w:pStyle w:val="Overskrift3"/>
      </w:pPr>
      <w:r>
        <w:t>Kapitalutfordringer i helsenæringen</w:t>
      </w:r>
    </w:p>
    <w:p w:rsidR="00D24D21" w:rsidRDefault="00D24D21" w:rsidP="00CE47F2">
      <w:r>
        <w:t>Knapphet på kapital kan gi seg utslag i få nyetableringer og påvirke selskapenes lønnsomhet og vekst. I helsenæringen er antallet oppstartsbedrifter økende. I den helt tidlige fasen kommer kap</w:t>
      </w:r>
      <w:r>
        <w:t>i</w:t>
      </w:r>
      <w:r>
        <w:t>talen ofte fra private investorer som gründeren selv, venner og familie og enkelte forretningsengler.</w:t>
      </w:r>
      <w:r>
        <w:rPr>
          <w:vertAlign w:val="superscript"/>
        </w:rPr>
        <w:footnoteReference w:id="43"/>
      </w:r>
      <w:r>
        <w:t xml:space="preserve"> En del oppstartsbedrifter innenfor helsenæringen melder om at det er krevende å lykkes med vid</w:t>
      </w:r>
      <w:r>
        <w:t>e</w:t>
      </w:r>
      <w:r>
        <w:t>reutvikling og vekst i Norge. I vekstfasen trengs det kapital til videreutvikling og testing av produkter og løsninger. Kapitalbehovet er høyt i deler av helsenæringen, blant annet på grunn av lange utvi</w:t>
      </w:r>
      <w:r>
        <w:t>k</w:t>
      </w:r>
      <w:r>
        <w:t>lingsløp og strenge krav til dokumentasjon før offentlig godkjenning.</w:t>
      </w:r>
    </w:p>
    <w:p w:rsidR="00D24D21" w:rsidRDefault="00D24D21" w:rsidP="00CE47F2">
      <w:r>
        <w:t>De lange utviklingsløpene og den høye risikoen fører også til at det er tid- og ressurskrevende å eta</w:t>
      </w:r>
      <w:r>
        <w:t>b</w:t>
      </w:r>
      <w:r>
        <w:t>lere seg der det allerede er etablerte bedrifter med godkjente produkter. Langsiktig og forutsigbar tilgang til kapital er derfor viktig for de mindre aktørene som vil etablere seg i næringen.</w:t>
      </w:r>
    </w:p>
    <w:p w:rsidR="00D24D21" w:rsidRDefault="00D24D21" w:rsidP="00CE47F2">
      <w:r>
        <w:t>Norge har et godt utgangspunkt med en betydelig ressursbruk og solide forskningsmiljøer relatert til helse. Dette gjør at potensialet for avkastning i form av utvikling av vekstbedrifter innenfor hels</w:t>
      </w:r>
      <w:r>
        <w:t>e</w:t>
      </w:r>
      <w:r>
        <w:t>næringen er stort. Det er eksempler på at lovende oppstartsbedrifter innenfor helsenæringen er solgt ut av landet, i stedet for at videreu</w:t>
      </w:r>
      <w:r>
        <w:t>t</w:t>
      </w:r>
      <w:r>
        <w:t xml:space="preserve">vikling skjer i Norge. Det er også eksempler på at slike foretak, som Algeta, har fått utenlandske eiere og fortsetter som norske foretak med lokalisering i Norge. </w:t>
      </w:r>
      <w:r>
        <w:lastRenderedPageBreak/>
        <w:t>Utenlandsk eierskap kan ha positive effekter, i form av blant annet bedre tilgang til kapital og kompetanse og lettere tilgang til utenlandske markeder. En omfattende litteratur peker på at prof</w:t>
      </w:r>
      <w:r>
        <w:t>e</w:t>
      </w:r>
      <w:r>
        <w:t>sjonelle og kunnskapsrike eiere med tilgang til store markeder er en kilde til vekst for gode foretak.</w:t>
      </w:r>
    </w:p>
    <w:p w:rsidR="00D24D21" w:rsidRDefault="00D24D21" w:rsidP="00CE47F2">
      <w:pPr>
        <w:pStyle w:val="tittel-ramme"/>
      </w:pPr>
      <w:r>
        <w:t>Kapitalkilder for helsenæringen</w:t>
      </w:r>
    </w:p>
    <w:p w:rsidR="00D24D21" w:rsidRDefault="00D24D21" w:rsidP="00CE47F2">
      <w:r>
        <w:t xml:space="preserve">Bedrifter i helsenæringen benytter seg av ulike private og offentlige kapitalkilder på samme måte som bedrifter i andre næringer. Mange av de generelle ordningene i </w:t>
      </w:r>
      <w:r>
        <w:rPr>
          <w:rStyle w:val="kursiv"/>
          <w:spacing w:val="-2"/>
          <w:sz w:val="21"/>
          <w:szCs w:val="21"/>
        </w:rPr>
        <w:t>Innovasjon Norge og Norges fors</w:t>
      </w:r>
      <w:r>
        <w:rPr>
          <w:rStyle w:val="kursiv"/>
          <w:spacing w:val="-2"/>
          <w:sz w:val="21"/>
          <w:szCs w:val="21"/>
        </w:rPr>
        <w:t>k</w:t>
      </w:r>
      <w:r>
        <w:rPr>
          <w:rStyle w:val="kursiv"/>
          <w:spacing w:val="-2"/>
          <w:sz w:val="21"/>
          <w:szCs w:val="21"/>
        </w:rPr>
        <w:t>ningsråd</w:t>
      </w:r>
      <w:r>
        <w:t xml:space="preserve"> e</w:t>
      </w:r>
      <w:r>
        <w:t>g</w:t>
      </w:r>
      <w:r>
        <w:t>ner seg for prosjekter innenfor helsenæringen, jf. omtale tidligere i dette kapitlet og i kapittel 8. Helsenæringen benytter seg i betydelig grad av de tilgjengelige ordningene. Helse</w:t>
      </w:r>
      <w:r>
        <w:t>n</w:t>
      </w:r>
      <w:r>
        <w:t>æringen har dessuten god u</w:t>
      </w:r>
      <w:r>
        <w:t>t</w:t>
      </w:r>
      <w:r>
        <w:t>telling på søknader til ulike EU-ordninger, spesielt SMB-instrumentet og de finansielle virkemidlene i Hor</w:t>
      </w:r>
      <w:r>
        <w:t>i</w:t>
      </w:r>
      <w:r>
        <w:t>sont 2020. Dette er nærmere omtalt i 7.3.1.</w:t>
      </w:r>
    </w:p>
    <w:p w:rsidR="00D24D21" w:rsidRDefault="00D24D21" w:rsidP="00CE47F2">
      <w:r>
        <w:t>Staten er videre en bidragsyter til risikovillig kapital gjennom presåkorn- og såkordnordninger, og fond som I</w:t>
      </w:r>
      <w:r>
        <w:t>n</w:t>
      </w:r>
      <w:r>
        <w:t>vestinor og Argentum.</w:t>
      </w:r>
    </w:p>
    <w:p w:rsidR="00D24D21" w:rsidRDefault="00D24D21" w:rsidP="00CE47F2">
      <w:r>
        <w:t xml:space="preserve">Et </w:t>
      </w:r>
      <w:r>
        <w:rPr>
          <w:rStyle w:val="kursiv"/>
          <w:sz w:val="21"/>
          <w:szCs w:val="21"/>
        </w:rPr>
        <w:t>såkornfond</w:t>
      </w:r>
      <w:r>
        <w:t xml:space="preserve"> er et aktivt eierfond som består av både statlig og privat kapital, og som investerer i innovative oppstartsbedrifter med stort verdiskapingspotensial. Fondene bidrar også med bred kompetanse, erfaring og net</w:t>
      </w:r>
      <w:r>
        <w:t>t</w:t>
      </w:r>
      <w:r>
        <w:t>verk. Fondene forvaltes på kommersiell basis på oppdrag fra Innovasjon Norge og Nærings- og fiskeridepart</w:t>
      </w:r>
      <w:r>
        <w:t>e</w:t>
      </w:r>
      <w:r>
        <w:t>mentet. Innovasjon Norge har gjennom såkornfondordningen investert i 13 fond siden 2006, av disse er det fem fond som har investert i selskaper innenfor he</w:t>
      </w:r>
      <w:r>
        <w:t>l</w:t>
      </w:r>
      <w:r>
        <w:t>senæringen. Disse fondene har siden 2008 investert om lag 300 mill. kroner i 24 helserelaterte se</w:t>
      </w:r>
      <w:r>
        <w:t>l</w:t>
      </w:r>
      <w:r>
        <w:t>skaper, som utgjør om lag 11 pst. av fondenes investerte kapital per desember 2018.</w:t>
      </w:r>
    </w:p>
    <w:p w:rsidR="00D24D21" w:rsidRDefault="00D24D21" w:rsidP="00CE47F2">
      <w:r>
        <w:rPr>
          <w:rStyle w:val="kursiv"/>
          <w:sz w:val="21"/>
          <w:szCs w:val="21"/>
        </w:rPr>
        <w:t>Presåkornfond</w:t>
      </w:r>
      <w:r>
        <w:t xml:space="preserve"> tilbyr finansiering i enda tidligere fase, og forvaltes av TTOer, inkubatorer og forre</w:t>
      </w:r>
      <w:r>
        <w:t>t</w:t>
      </w:r>
      <w:r>
        <w:t>ningsengl</w:t>
      </w:r>
      <w:r>
        <w:t>e</w:t>
      </w:r>
      <w:r>
        <w:t>nettverk. Midlene skal investeres i innovative oppstartsbedrifter som er yngre enn fem år, og skal matches med et minst like stort beløp fra private uavhengige investorer. Presåkornkapital investeres som egenkapital eller ko</w:t>
      </w:r>
      <w:r>
        <w:t>n</w:t>
      </w:r>
      <w:r>
        <w:t>vertible lån. Ved utgangen av 2018 var det investert 29,2 mill. kroner i helserelaterte virksomheter gjennom presåkornordningen. Dette utgjorde om lag 23 pst. av total investert kapital. To av forvalterne er spesialisert på helse (Inven2 og Aleap).</w:t>
      </w:r>
    </w:p>
    <w:p w:rsidR="00D24D21" w:rsidRDefault="00D24D21" w:rsidP="00CE47F2">
      <w:pPr>
        <w:rPr>
          <w:rStyle w:val="kursiv"/>
          <w:sz w:val="21"/>
          <w:szCs w:val="21"/>
        </w:rPr>
      </w:pPr>
      <w:r>
        <w:rPr>
          <w:rStyle w:val="kursiv"/>
          <w:sz w:val="21"/>
          <w:szCs w:val="21"/>
        </w:rPr>
        <w:t>Investinor</w:t>
      </w:r>
      <w:r>
        <w:rPr>
          <w:rStyle w:val="kursiv"/>
          <w:i w:val="0"/>
          <w:iCs/>
          <w:sz w:val="21"/>
          <w:szCs w:val="21"/>
        </w:rPr>
        <w:t xml:space="preserve"> er et statlig investeringsselskap. Selskapets formål er å bidra til økt verdiskaping gjennom å tilby ris</w:t>
      </w:r>
      <w:r>
        <w:rPr>
          <w:rStyle w:val="kursiv"/>
          <w:i w:val="0"/>
          <w:iCs/>
          <w:sz w:val="21"/>
          <w:szCs w:val="21"/>
        </w:rPr>
        <w:t>i</w:t>
      </w:r>
      <w:r>
        <w:rPr>
          <w:rStyle w:val="kursiv"/>
          <w:i w:val="0"/>
          <w:iCs/>
          <w:sz w:val="21"/>
          <w:szCs w:val="21"/>
        </w:rPr>
        <w:t>kovillig kapital til internasjonalt orienterte konkurransedyktige bedrifter, primært nyetableringer. Selskapets i</w:t>
      </w:r>
      <w:r>
        <w:rPr>
          <w:rStyle w:val="kursiv"/>
          <w:i w:val="0"/>
          <w:iCs/>
          <w:sz w:val="21"/>
          <w:szCs w:val="21"/>
        </w:rPr>
        <w:t>n</w:t>
      </w:r>
      <w:r>
        <w:rPr>
          <w:rStyle w:val="kursiv"/>
          <w:i w:val="0"/>
          <w:iCs/>
          <w:sz w:val="21"/>
          <w:szCs w:val="21"/>
        </w:rPr>
        <w:t>vesteringer skal foretas på kommersielt grunnlag, og på like vilkår som private investorer (jf. vedtektene). Se</w:t>
      </w:r>
      <w:r>
        <w:rPr>
          <w:rStyle w:val="kursiv"/>
          <w:i w:val="0"/>
          <w:iCs/>
          <w:sz w:val="21"/>
          <w:szCs w:val="21"/>
        </w:rPr>
        <w:t>l</w:t>
      </w:r>
      <w:r>
        <w:rPr>
          <w:rStyle w:val="kursiv"/>
          <w:i w:val="0"/>
          <w:iCs/>
          <w:sz w:val="21"/>
          <w:szCs w:val="21"/>
        </w:rPr>
        <w:t>skapet skal prioritere investeringer i sektorer med næringsmiljøer som potensielt har internasjonale konkurrans</w:t>
      </w:r>
      <w:r>
        <w:rPr>
          <w:rStyle w:val="kursiv"/>
          <w:i w:val="0"/>
          <w:iCs/>
          <w:sz w:val="21"/>
          <w:szCs w:val="21"/>
        </w:rPr>
        <w:t>e</w:t>
      </w:r>
      <w:r>
        <w:rPr>
          <w:rStyle w:val="kursiv"/>
          <w:i w:val="0"/>
          <w:iCs/>
          <w:sz w:val="21"/>
          <w:szCs w:val="21"/>
        </w:rPr>
        <w:t>fortrinn, som ivaretar utnyttelse av viktige naturressurser, som utnytter ny teknologi og kompetanse og/eller som bidrar til mindre miljøbelastning og menneskeskapte klim</w:t>
      </w:r>
      <w:r>
        <w:rPr>
          <w:rStyle w:val="kursiv"/>
          <w:i w:val="0"/>
          <w:iCs/>
          <w:sz w:val="21"/>
          <w:szCs w:val="21"/>
        </w:rPr>
        <w:t>a</w:t>
      </w:r>
      <w:r>
        <w:rPr>
          <w:rStyle w:val="kursiv"/>
          <w:i w:val="0"/>
          <w:iCs/>
          <w:sz w:val="21"/>
          <w:szCs w:val="21"/>
        </w:rPr>
        <w:t>endringer. Helseinvesteringer utgjør nær en femtedel av Investinors investeringsportefølje ved utgangen av 2018.</w:t>
      </w:r>
    </w:p>
    <w:p w:rsidR="00D24D21" w:rsidRDefault="00D24D21" w:rsidP="00CE47F2">
      <w:pPr>
        <w:rPr>
          <w:rStyle w:val="kursiv"/>
          <w:i w:val="0"/>
          <w:iCs/>
          <w:sz w:val="21"/>
          <w:szCs w:val="21"/>
        </w:rPr>
      </w:pPr>
      <w:r>
        <w:rPr>
          <w:rStyle w:val="kursiv"/>
          <w:sz w:val="21"/>
          <w:szCs w:val="21"/>
        </w:rPr>
        <w:t>Argentum</w:t>
      </w:r>
      <w:r>
        <w:rPr>
          <w:rStyle w:val="kursiv"/>
          <w:i w:val="0"/>
          <w:iCs/>
          <w:sz w:val="21"/>
          <w:szCs w:val="21"/>
        </w:rPr>
        <w:t xml:space="preserve"> er et statlig investeringsselskap som investerer i private equity-markedet (aktive eierfond). Private equity bidrar til å utvikle og styrke norske selskaper ved å tilføre kapital, kunnskap og nettverk.</w:t>
      </w:r>
    </w:p>
    <w:p w:rsidR="00D24D21" w:rsidRDefault="00D24D21" w:rsidP="00CE47F2">
      <w:pPr>
        <w:rPr>
          <w:rStyle w:val="kursiv"/>
          <w:sz w:val="21"/>
          <w:szCs w:val="21"/>
        </w:rPr>
      </w:pPr>
      <w:r>
        <w:rPr>
          <w:rStyle w:val="kursiv"/>
          <w:i w:val="0"/>
          <w:iCs/>
          <w:sz w:val="21"/>
          <w:szCs w:val="21"/>
        </w:rPr>
        <w:t xml:space="preserve">Også private aktører finansierer prosjekter innenfor helsenæringen. Et eksempel er </w:t>
      </w:r>
      <w:r>
        <w:rPr>
          <w:rStyle w:val="kursiv"/>
          <w:sz w:val="21"/>
          <w:szCs w:val="21"/>
        </w:rPr>
        <w:t>Hadean Ventures</w:t>
      </w:r>
      <w:r>
        <w:rPr>
          <w:rStyle w:val="kursiv"/>
          <w:i w:val="0"/>
          <w:iCs/>
          <w:sz w:val="21"/>
          <w:szCs w:val="21"/>
        </w:rPr>
        <w:t>, som er et investeringsselskap spesialisert mot investeringer innenfor helsenæring, spesielt i Norden. Fondsinvestorer som Argentum, Gjensidigestiftelsen og svenske Saminvest har skutt inn midler i selskapets første fond. Hadean Ve</w:t>
      </w:r>
      <w:r>
        <w:rPr>
          <w:rStyle w:val="kursiv"/>
          <w:i w:val="0"/>
          <w:iCs/>
          <w:sz w:val="21"/>
          <w:szCs w:val="21"/>
        </w:rPr>
        <w:t>n</w:t>
      </w:r>
      <w:r>
        <w:rPr>
          <w:rStyle w:val="kursiv"/>
          <w:i w:val="0"/>
          <w:iCs/>
          <w:sz w:val="21"/>
          <w:szCs w:val="21"/>
        </w:rPr>
        <w:t>tures har kontorer i Oslo og Stockholm, og samarbeider med oppstarts- og forskningsmiljøer i hele Norden.</w:t>
      </w:r>
    </w:p>
    <w:p w:rsidR="00D24D21" w:rsidRDefault="00D24D21">
      <w:pPr>
        <w:pStyle w:val="Ramme-slutt"/>
        <w:rPr>
          <w:sz w:val="26"/>
          <w:szCs w:val="26"/>
        </w:rPr>
      </w:pPr>
      <w:r>
        <w:rPr>
          <w:sz w:val="26"/>
          <w:szCs w:val="26"/>
        </w:rPr>
        <w:t>[Boks slutt]</w:t>
      </w:r>
    </w:p>
    <w:p w:rsidR="00D24D21" w:rsidRDefault="00D24D21" w:rsidP="00CE47F2">
      <w:r>
        <w:t xml:space="preserve">Når videreutvikling ikke skjer i Norge, kan kapitaltilgang være en av årsakene. Dette kan igjen henge sammen med at det er relativt få tunge, industrielle aktører innenfor denne næringen i Norge. Det kan </w:t>
      </w:r>
      <w:r>
        <w:lastRenderedPageBreak/>
        <w:t>også argumenteres for at det er få norske investormiljøer med tilstrekkelig og riktig kompetanse om denne sammensatte næringen.</w:t>
      </w:r>
    </w:p>
    <w:p w:rsidR="00D24D21" w:rsidRDefault="00D24D21" w:rsidP="00CE47F2">
      <w:r>
        <w:t>Uten tilstrekkelig kompetanse om næringen kan informasjonsasymmetri medføre at opplevd risiko er for stor for mange investorer. I tillegg er mange selskaper avhengige av kompetente investorers faglige kunnskap i tillegg til deres finansielle investeringer.</w:t>
      </w:r>
    </w:p>
    <w:p w:rsidR="00D24D21" w:rsidRDefault="00D24D21" w:rsidP="00CE47F2">
      <w:r>
        <w:t>Arbeidet med å skaffe finansiering kan derfor være krevende for denne type oppstartsbedrifter i Norge. I en del andre land, som for eksempel Sverige og Danmark, finner man i større grad ve</w:t>
      </w:r>
      <w:r>
        <w:t>n</w:t>
      </w:r>
      <w:r>
        <w:t>turekapitalaktører som har spesi</w:t>
      </w:r>
      <w:r>
        <w:t>a</w:t>
      </w:r>
      <w:r>
        <w:t>lisert seg på helsenæringen og sitter på en betydelig kompetanse. I Sverige er HealthCap en viktig venturekap</w:t>
      </w:r>
      <w:r>
        <w:t>i</w:t>
      </w:r>
      <w:r>
        <w:t>talaktør spesialisert mot helsenæringen, og i Danmark er Sunstone Life Science Vent</w:t>
      </w:r>
      <w:r>
        <w:t>u</w:t>
      </w:r>
      <w:r>
        <w:t>res en tilsvarende aktør. I Norge har man det relativt nyetablerte Hadean Ventures (se boks 7.18), som tar sikte på å investere i oppstartsb</w:t>
      </w:r>
      <w:r>
        <w:t>e</w:t>
      </w:r>
      <w:r>
        <w:t>drifter innenfor helsenæringen. Felles for Norden er at det investeres store beløp i forskning på helseområdet, og at antall op</w:t>
      </w:r>
      <w:r>
        <w:t>p</w:t>
      </w:r>
      <w:r>
        <w:t>startsbedrifter innenfor denne næringen er økende. Det er grunn til å tro at det allerede er, og at det vil vokse fram flere, investeringsm</w:t>
      </w:r>
      <w:r>
        <w:t>u</w:t>
      </w:r>
      <w:r>
        <w:t>ligheter for venturefond med kompetanse om denne næringen.</w:t>
      </w:r>
    </w:p>
    <w:p w:rsidR="00D24D21" w:rsidRDefault="00D24D21" w:rsidP="00CE47F2">
      <w:r>
        <w:t>Kunnskap kan bygges opp blant annet ved å vise fram de gode eksemplene, spesielt for å mobilisere privat kapital inn mot helseområdet. Det kan også være formålstjenlig å etablere investornettverk med norske og internasjonale investorer, for oppbygging og utvikling av spesialiserte investormi</w:t>
      </w:r>
      <w:r>
        <w:t>l</w:t>
      </w:r>
      <w:r>
        <w:t>jøer i Norge. Bedre kapitaltilgang kan også oppnås gjennom tilgang til globale næringskjeder og nettverk. Tiltak for å tiltrekke forskningsprosjekter, komp</w:t>
      </w:r>
      <w:r>
        <w:t>e</w:t>
      </w:r>
      <w:r>
        <w:t>tanse og investeringer fra internasjonalt ledende virksomheter kan gi bedre tilgang til slike nettverk.</w:t>
      </w:r>
    </w:p>
    <w:p w:rsidR="00D24D21" w:rsidRDefault="00D24D21" w:rsidP="00CE47F2">
      <w:r>
        <w:t>Det finnes initiativ i Norge som har til hensikt å adressere denne problemstillingen gjennom å i</w:t>
      </w:r>
      <w:r>
        <w:t>n</w:t>
      </w:r>
      <w:r>
        <w:t>trodusere helsenæringen for nye investorer og forsterke nettverket rundt eksisterende investorer. Et eksempel på dette er Angel Challenge Health. Videre arbeider Invest in Norway for å tiltrekke flere ute</w:t>
      </w:r>
      <w:r>
        <w:t>n</w:t>
      </w:r>
      <w:r>
        <w:t>landske investeringer og kompetanse til Norge, innenfor teknologi- og kompetansemiljøer der Norge har sterke miljøer.</w:t>
      </w:r>
    </w:p>
    <w:p w:rsidR="00D24D21" w:rsidRDefault="00D24D21" w:rsidP="00CE47F2">
      <w:r>
        <w:t>Bruk av opsjoner kan bidra til å avhjelpe eventuell mangel på kapital i selskaper. Opsjoner kan benyttes som en delvis erstatning for ordinær lønn og gir mulighet til å dele eierskap, risiko og p</w:t>
      </w:r>
      <w:r>
        <w:t>o</w:t>
      </w:r>
      <w:r>
        <w:t>tensiell verdisk</w:t>
      </w:r>
      <w:r>
        <w:t>a</w:t>
      </w:r>
      <w:r>
        <w:t>ping med ansatte som kommer inn i selskapet etter etablering. Tildeling av opsjoner gjør at den a</w:t>
      </w:r>
      <w:r>
        <w:t>n</w:t>
      </w:r>
      <w:r>
        <w:t>satte får en direkte økonomisk interesse i at verdien av selskapets aksjer utvikler seg så godt som mulig. Samtidig bidrar opsjoner til å redusere likviditets- og kapitalbehovet i selskapet.</w:t>
      </w:r>
    </w:p>
    <w:p w:rsidR="00D24D21" w:rsidRDefault="00D24D21" w:rsidP="00CE47F2">
      <w:r>
        <w:t>I den ordinære beskatningsordningen for opsjoner i arbeidsforhold utsettes skattleggingen fra tid</w:t>
      </w:r>
      <w:r>
        <w:t>s</w:t>
      </w:r>
      <w:r>
        <w:t>punktet den ansatte mottar opsjonen fram til den ansatte løser opsjonen inn i aksjer. I forbindelse med statsbudsjettet for 2018 ble det i tillegg innført en ny, særskilt beskatningsordning for opsjoner i arbeid</w:t>
      </w:r>
      <w:r>
        <w:t>s</w:t>
      </w:r>
      <w:r>
        <w:t>forhold for ansatte i små nyetablerte selskaper. Ordningen innebærer en ytterligere utsettelse av skatt</w:t>
      </w:r>
      <w:r>
        <w:t>e</w:t>
      </w:r>
      <w:r>
        <w:t>plikten, fram til den ansatte selger aksjene som ble kjøpt ved innløsning av opsjonen. Videre vil de særlige reglene for fastsetting av en opsjonsfordel ved innløsning av opsjonen gi redusert skatt dersom aksjeverdien synker mellom innløsning av opsjonen og salg av aksjene. Dersom salg</w:t>
      </w:r>
      <w:r>
        <w:t>s</w:t>
      </w:r>
      <w:r>
        <w:t>summen er lavere enn det den ansatte betalte ved innløsningen av opsjonen bortfaller skatteplikten helt, og det gis fradrag i almi</w:t>
      </w:r>
      <w:r>
        <w:t>n</w:t>
      </w:r>
      <w:r>
        <w:t>nelig inntekt tilsvarende tapet. Ordningen er avgrenset, blant annet ved å gjelde ansatte i aksjeselskaper som er seks år eller yngre og som har ti ansatte eller færre.</w:t>
      </w:r>
    </w:p>
    <w:p w:rsidR="00D24D21" w:rsidRDefault="00D24D21" w:rsidP="00CE47F2">
      <w:r>
        <w:lastRenderedPageBreak/>
        <w:t>Flere aktører mener at dagens regler for opsjonsbeskatning gjør det vanskelig å benytte opsjoner i helsenæringen. I tillegg mener aktører at den nye, særskilte beskatningsordningen for opsjoner til ansatte i små, nyetablerte selskaper er avgrenset på en måte som gjør at oppstartsselskaper innenfor næringen faller utenfor ordningen.</w:t>
      </w:r>
    </w:p>
    <w:p w:rsidR="00D24D21" w:rsidRDefault="00D24D21" w:rsidP="00CE47F2">
      <w:pPr>
        <w:pStyle w:val="tittel-ramme"/>
      </w:pPr>
      <w:r>
        <w:t>Investornettverk</w:t>
      </w:r>
    </w:p>
    <w:p w:rsidR="00D24D21" w:rsidRDefault="00D24D21" w:rsidP="00CE47F2">
      <w:r>
        <w:t>Innovasjon Norge har gitt prosjektmidler til Norway Health Tech for å lede utviklingen av et n</w:t>
      </w:r>
      <w:r>
        <w:t>a</w:t>
      </w:r>
      <w:r>
        <w:t>sjonalt investornettverk som skal møtes åtte til ti ganger per år med formål å adressere de faglige utfordringene ved å investere i helsenæringen. Her introduseres investorklare caser og erfaringen utveksles mellom investorer, både fra Norge og andre land, som har investert i sektoren.</w:t>
      </w:r>
    </w:p>
    <w:p w:rsidR="00D24D21" w:rsidRDefault="00D24D21" w:rsidP="00CE47F2">
      <w:r>
        <w:t>Nettverket består av investorer av alle typer: engleinvestorer, family offices, fond og venture selskap. Målet er å bidra til investeringer og sterk investorkompetanse innenfor helseinnovasjon.</w:t>
      </w:r>
    </w:p>
    <w:p w:rsidR="00D24D21" w:rsidRDefault="00D24D21">
      <w:pPr>
        <w:pStyle w:val="Ramme-slutt"/>
        <w:rPr>
          <w:sz w:val="26"/>
          <w:szCs w:val="26"/>
        </w:rPr>
      </w:pPr>
      <w:r>
        <w:rPr>
          <w:sz w:val="26"/>
          <w:szCs w:val="26"/>
        </w:rPr>
        <w:t>[Boks slutt]</w:t>
      </w:r>
    </w:p>
    <w:p w:rsidR="00D24D21" w:rsidRDefault="00D24D21" w:rsidP="00CE47F2">
      <w:r>
        <w:t>Formålet med den nye ordningen er blant annet å avhjelpe eventuelle likviditetsutfordringer knyttet til gjeldende opsjonsskatteregler for både selskapet og dets ansatte. Ordningen gir små oppstart</w:t>
      </w:r>
      <w:r>
        <w:t>s</w:t>
      </w:r>
      <w:r>
        <w:t>selskaper en relativ konkurransefordel sammenlignet med større veletablerte selskaper. Disse nye og gunstige re</w:t>
      </w:r>
      <w:r>
        <w:t>g</w:t>
      </w:r>
      <w:r>
        <w:t>lene skal gjøre det lettere for små oppstartsselskaper å rekruttere, beholde og motivere dyktige ansatte og gi de medeierskap i bedriften, for derved å kunne gjennomføre prosjekter som er forventet å bli løn</w:t>
      </w:r>
      <w:r>
        <w:t>n</w:t>
      </w:r>
      <w:r>
        <w:t>somme for oppstartselskapet.</w:t>
      </w:r>
    </w:p>
    <w:p w:rsidR="00D24D21" w:rsidRDefault="00D24D21" w:rsidP="00CE47F2">
      <w:r>
        <w:t>Kapitaltilgangsutvalget anbefalte at ordningen med utsatt beskatning av opsjoner i arbeidsforhold gj</w:t>
      </w:r>
      <w:r>
        <w:t>ø</w:t>
      </w:r>
      <w:r>
        <w:t>res vesentlig mer attraktiv.</w:t>
      </w:r>
    </w:p>
    <w:p w:rsidR="00D24D21" w:rsidRDefault="00D24D21" w:rsidP="00CE47F2">
      <w:r>
        <w:t>Regjeringen vil vurdere Kapitaltilgangsutvalgets utredning og anbefalinger, herunder endringer i beskatningen av ansatteopsjoner i små, nyetablerte selskaper og evaluering av møteplasser som kobler e</w:t>
      </w:r>
      <w:r>
        <w:t>n</w:t>
      </w:r>
      <w:r>
        <w:t>treprenører og investorer.</w:t>
      </w:r>
    </w:p>
    <w:p w:rsidR="00D24D21" w:rsidRDefault="00D24D21" w:rsidP="00CE47F2">
      <w:pPr>
        <w:pStyle w:val="Overskrift2"/>
      </w:pPr>
      <w:r>
        <w:t>Internasjonalisering og handel</w:t>
      </w:r>
    </w:p>
    <w:p w:rsidR="00D24D21" w:rsidRDefault="00D24D21" w:rsidP="00CE47F2">
      <w:r>
        <w:t>For Norge, som er en liten økonomi med begrenset hjemmemarked og spesialisert produksjon, er ute</w:t>
      </w:r>
      <w:r>
        <w:t>n</w:t>
      </w:r>
      <w:r>
        <w:t>rikshandel og -investeringer viktig for verdiskaping og vekst. Helsenæringen er en global næring der vekstpotensialet i mange tilfeller avhenger av tilgang til utenlandske markeder. Ifølge en u</w:t>
      </w:r>
      <w:r>
        <w:t>n</w:t>
      </w:r>
      <w:r>
        <w:t>dersøkelse uført av Menon</w:t>
      </w:r>
      <w:r>
        <w:rPr>
          <w:vertAlign w:val="superscript"/>
        </w:rPr>
        <w:footnoteReference w:id="44"/>
      </w:r>
      <w:r>
        <w:t xml:space="preserve"> har åtte av ti bedrifter innenfor helsenæringen eksportambisjoner fra oppstart.</w:t>
      </w:r>
    </w:p>
    <w:p w:rsidR="00D24D21" w:rsidRDefault="00D24D21" w:rsidP="00CE47F2">
      <w:r>
        <w:t>Ifølge tall fra SSB ble det i 2016 eksportert helserelaterte produkter for 15,7 mrd. kroner fra Norge, mens importen var på 25,5 mrd. kroner. Både eksport og import viser en oppadgående trend. Ifølge Menon er 90 pst. av ekspor</w:t>
      </w:r>
      <w:r>
        <w:t>t</w:t>
      </w:r>
      <w:r>
        <w:t>inntektene konsentrert i et lite antall virksomheter, samtidig som et stort antall bedrifter rapporterer om intern</w:t>
      </w:r>
      <w:r>
        <w:t>a</w:t>
      </w:r>
      <w:r>
        <w:t>sjonal virksomhet.</w:t>
      </w:r>
    </w:p>
    <w:p w:rsidR="00D24D21" w:rsidRDefault="00D24D21" w:rsidP="00CE47F2">
      <w:pPr>
        <w:pStyle w:val="Overskrift3"/>
      </w:pPr>
      <w:r>
        <w:lastRenderedPageBreak/>
        <w:t>Om handelspolitikk, EØS og frihandelsavtaler</w:t>
      </w:r>
    </w:p>
    <w:p w:rsidR="00D24D21" w:rsidRDefault="00D24D21" w:rsidP="00CE47F2">
      <w:r>
        <w:t>Forutsigbare betingelser for handel og god markedsadgang for varer, tjenester og investeringer er viktig for at norske bedrifter skal lykkes i internasjonale markeder. EØS-avtalen er den mest o</w:t>
      </w:r>
      <w:r>
        <w:t>m</w:t>
      </w:r>
      <w:r>
        <w:t>fattende og dyptgripende internasjonale avtalen Norge har. Den danner grunnlaget for norsk eur</w:t>
      </w:r>
      <w:r>
        <w:t>o</w:t>
      </w:r>
      <w:r>
        <w:t>papolitikk og er det viktigste avtaleverket vårt. Gjennom EØS-avtalen er Norge en integrert del av det indre marked, med fri bevegelse for varer, tjenester, kapital og personer i hele EØS-området. Det indre marked omfatter EU-landene, Island, Liechtenstein og Norge. EU er Norges viktigste ha</w:t>
      </w:r>
      <w:r>
        <w:t>n</w:t>
      </w:r>
      <w:r>
        <w:t>delspartner, både som følge av omfanget av handelen, men også fordi dette er vårt nærmeste, og slik sett mest tilgjengelige, marked. Deltakelse i det indre marked bidrar til stabile og forutsigbare rammebetingelser og er av stor betydning for norsk næringsliv. Helsenæringen kan omsette sine produkter og kjøpe inn innsatsfaktorer på tilsv</w:t>
      </w:r>
      <w:r>
        <w:t>a</w:t>
      </w:r>
      <w:r>
        <w:t>rende vilkår som virksomheter i andre EØS-stater. EØS-avtalen skaper felles reguleringer og etablerer like konkurransevilkår for bedrifter i hele EØS-området. Det er mange reguleringer og kontrollmekani</w:t>
      </w:r>
      <w:r>
        <w:t>s</w:t>
      </w:r>
      <w:r>
        <w:t>mer som bidrar til å sikre at varene som omsettes i det indre marked, er trygge og er produsert i tråd med regelverket.</w:t>
      </w:r>
    </w:p>
    <w:p w:rsidR="00D24D21" w:rsidRDefault="00D24D21" w:rsidP="00CE47F2">
      <w:r>
        <w:t>I tillegg til EØS-avtalen, bidrar Norges medlemskap i Verdens handelsorganisasjon (WTO) og et økende antall frihandelsavtaler til gode rammer for vår handel med utlandet. Gjennom WTO er Norge del av et multilateralt regelverk for handel, med et felles system for tvisteløsning. For å gi bedrifter bedre markedsadgang og oppnå mer ambisiøse regler enn det som følger av WTO, fo</w:t>
      </w:r>
      <w:r>
        <w:t>r</w:t>
      </w:r>
      <w:r>
        <w:t>handler Norge fram fr</w:t>
      </w:r>
      <w:r>
        <w:t>i</w:t>
      </w:r>
      <w:r>
        <w:t>handelsavtaler med land der vi har særlige interesser. Norge har sammen med medlemsstatene i Det europeiske frihandelsforbund (EFTA) så langt inngått 28 frihandelsavtaler med 39 land.</w:t>
      </w:r>
    </w:p>
    <w:p w:rsidR="00D24D21" w:rsidRDefault="00D24D21" w:rsidP="00CE47F2">
      <w:r>
        <w:t>Handelsavtalene er også forum for å ta opp ulike problemer og utfordringer knyttet til handel med partnerlandene på myndighetsnivå.</w:t>
      </w:r>
    </w:p>
    <w:p w:rsidR="00D24D21" w:rsidRDefault="00D24D21" w:rsidP="00CE47F2">
      <w:r>
        <w:t>WTO, handelsavtalene, og EØS-avtalen, sørger for at norsk eksport møter lave tollsatser og foru</w:t>
      </w:r>
      <w:r>
        <w:t>t</w:t>
      </w:r>
      <w:r>
        <w:t>sigbare ramm</w:t>
      </w:r>
      <w:r>
        <w:t>e</w:t>
      </w:r>
      <w:r>
        <w:t>vilkår i de viktigste eksportmarkedene. Samtidig mangler Norge handelsavtaler med flere av verdens største økonomier, som USA, Kina, Japan, Brasil og India. Andelen av norsk handel med land vi ikke har frihandelsavtaler med øker. I mange av disse markedene møter norske bedrifter både høye tol</w:t>
      </w:r>
      <w:r>
        <w:t>l</w:t>
      </w:r>
      <w:r>
        <w:t>satser og andre handelshindre, som gjør dem mindre konkurransedyktige enn lokale bedrifter og konkurrenter fra land som har handelsavtaler. I senere år har man dessuten sett en økende tendens til proteksjonisme hos mange av våre viktigste handelspartnere. Regjeringen prio</w:t>
      </w:r>
      <w:r>
        <w:t>r</w:t>
      </w:r>
      <w:r>
        <w:t>iterer derfor å framforhandle avtaler med land der vår eksport i dag møter betydelige restriksjoner. Flere av landene vi forhandler med, eksempelvis Kina, har betydelig potensial for norsk helsenæring.</w:t>
      </w:r>
    </w:p>
    <w:p w:rsidR="00D24D21" w:rsidRDefault="00D24D21" w:rsidP="00CE47F2">
      <w:r>
        <w:t>Et godt internasjonalt regelverk for handel er viktig for helsenæringen. Lavere toll gjør norsk eksport mer ko</w:t>
      </w:r>
      <w:r>
        <w:t>n</w:t>
      </w:r>
      <w:r>
        <w:t>kurransedyktig, og varene blir mer attraktive som innsatsvarer i større verdikjeder. Utover lavere toll, bidrar fr</w:t>
      </w:r>
      <w:r>
        <w:t>i</w:t>
      </w:r>
      <w:r>
        <w:t>handelsavtaler til å redusere handelsbarrierer og tilrettelegge for eksport av varer og tjene</w:t>
      </w:r>
      <w:r>
        <w:t>s</w:t>
      </w:r>
      <w:r>
        <w:t>ter, investeringer og tilgang til andre lands offentlige anskaffelsesmarkeder.</w:t>
      </w:r>
    </w:p>
    <w:p w:rsidR="00D24D21" w:rsidRDefault="00D24D21" w:rsidP="00CE47F2">
      <w:r>
        <w:t>Forenkling av tollprosedyrer er en viktig del av både WTO og våre handelsavtaler. Standardisering og forbedring av prosedyrer og regler for vareførsel over grensene fører til mer åpenhet, færre skjemaer, kortere køer og mindre byråkrati, med andre ord en enklere hverdag for den delen av helsenæringen som eksporterer eller importerer varer.</w:t>
      </w:r>
    </w:p>
    <w:p w:rsidR="00D24D21" w:rsidRDefault="00D24D21" w:rsidP="00CE47F2">
      <w:r>
        <w:t xml:space="preserve">Ulike tekniske reguleringer og standarder kan også gjøre det dyrere og vanskeligere å eksportere og importere varer og tjenester. WTO og frihandelsavtalene skal sikre at ulike standarder og tekniske </w:t>
      </w:r>
      <w:r>
        <w:lastRenderedPageBreak/>
        <w:t>krav ikke resulterer i diskriminerende og uvilkårlige handelsbarrierer, uten at myndighetenes m</w:t>
      </w:r>
      <w:r>
        <w:t>u</w:t>
      </w:r>
      <w:r>
        <w:t>lighet til å regulere utfra legitime samfunn</w:t>
      </w:r>
      <w:r>
        <w:t>s</w:t>
      </w:r>
      <w:r>
        <w:t>hensyn reduseres.</w:t>
      </w:r>
    </w:p>
    <w:p w:rsidR="00D24D21" w:rsidRDefault="00D24D21" w:rsidP="00CE47F2">
      <w:r>
        <w:t>Når det gjelder tjenester og investeringer, sikrer handelsavtalene at norske bedrifter ikke behandles dårligere enn lokale bedrifter. Frihandelsavtalene bidrar til at ulike godkjennings- og autorisasjon</w:t>
      </w:r>
      <w:r>
        <w:t>s</w:t>
      </w:r>
      <w:r>
        <w:t>ordninger utformes og praktiseres på en ikke-diskriminerende måte og at de følger prinsipper om god fo</w:t>
      </w:r>
      <w:r>
        <w:t>r</w:t>
      </w:r>
      <w:r>
        <w:t>valtningsskikk.</w:t>
      </w:r>
    </w:p>
    <w:p w:rsidR="00D24D21" w:rsidRDefault="00D24D21" w:rsidP="00CE47F2">
      <w:r>
        <w:t xml:space="preserve">Regjeringen la i september 2017 fram en egen eksportstrategi, </w:t>
      </w:r>
      <w:r>
        <w:rPr>
          <w:rStyle w:val="kursiv"/>
          <w:sz w:val="21"/>
          <w:szCs w:val="21"/>
        </w:rPr>
        <w:t>Verda som marknad</w:t>
      </w:r>
      <w:r>
        <w:t>, som inneholder en rekke tiltak for å styrke og utvikle Norges posisjon som handelsnasjon. Målet er blant annet bedre markedsadgang til nye og eksisterende eksportmarkeder, tiltrekke utenlandsinvesteringer og pos</w:t>
      </w:r>
      <w:r>
        <w:t>i</w:t>
      </w:r>
      <w:r>
        <w:t>sjonere Norge som en ledende nasjon for forskning og innovasjon på områder hvor vi har spis</w:t>
      </w:r>
      <w:r>
        <w:t>s</w:t>
      </w:r>
      <w:r>
        <w:t>kompetanse. Videre satses det på å øke eksporten fra nye og eksisterende eksportnæringer og e</w:t>
      </w:r>
      <w:r>
        <w:t>f</w:t>
      </w:r>
      <w:r>
        <w:t>fektivisere virkemiddelapp</w:t>
      </w:r>
      <w:r>
        <w:t>a</w:t>
      </w:r>
      <w:r>
        <w:t>ratet. Globale utfordringer knyttet til en aldrende befolkning trekkes i strategien fram som et omr</w:t>
      </w:r>
      <w:r>
        <w:t>å</w:t>
      </w:r>
      <w:r>
        <w:t>de med muligheter for norsk helsenæring.</w:t>
      </w:r>
    </w:p>
    <w:p w:rsidR="00D24D21" w:rsidRDefault="00D24D21" w:rsidP="00CE47F2">
      <w:pPr>
        <w:pStyle w:val="Overskrift3"/>
      </w:pPr>
      <w:r>
        <w:t>Næringsfremme og virkemidler for internasjonalisering</w:t>
      </w:r>
    </w:p>
    <w:p w:rsidR="00D24D21" w:rsidRDefault="00D24D21" w:rsidP="00CE47F2">
      <w:r>
        <w:t>Norsk helsenæring er i vekst og det er et potensial for denne næringen i internasjonale markeder. Mange av bedriftene innenfor helsenæringen er såkalte «born globals». Det finnes en rekke offen</w:t>
      </w:r>
      <w:r>
        <w:t>t</w:t>
      </w:r>
      <w:r>
        <w:t>lige virkemi</w:t>
      </w:r>
      <w:r>
        <w:t>d</w:t>
      </w:r>
      <w:r>
        <w:t>ler for å fremme internasjonalisering av norsk næringsliv. Virkemiddelapparatet skal stimulere næringslivet til bedre å kunne utnytte de mulighetene som en globalisert verden gir gje</w:t>
      </w:r>
      <w:r>
        <w:t>n</w:t>
      </w:r>
      <w:r>
        <w:t>nom kompetansehevende pr</w:t>
      </w:r>
      <w:r>
        <w:t>o</w:t>
      </w:r>
      <w:r>
        <w:t>grammer, infrastruktur og råd og veiledning. Virkemiddelapparatet og utenrikstjenesten har intern</w:t>
      </w:r>
      <w:r>
        <w:t>a</w:t>
      </w:r>
      <w:r>
        <w:t>sjonalt nærvær i mange land. Innovasjon Norge er i 29 land. Innovasjon Norge tilbyr ulike kompetanse- og rå</w:t>
      </w:r>
      <w:r>
        <w:t>d</w:t>
      </w:r>
      <w:r>
        <w:t>givningstjenester for eksport og internasjonalisering, knyttet eksempelvis til profilering av norsk næring</w:t>
      </w:r>
      <w:r>
        <w:t>s</w:t>
      </w:r>
      <w:r>
        <w:t>liv, internasjonal markeds- og handelsteknisk rådgivning og rådgivning om EU og mulighetene som ligger i ulike EU-programmer Norge deltar i.</w:t>
      </w:r>
    </w:p>
    <w:p w:rsidR="00D24D21" w:rsidRDefault="00D24D21" w:rsidP="00CE47F2">
      <w:r>
        <w:t xml:space="preserve">Ett av Innovasjon Norges programmer er </w:t>
      </w:r>
      <w:r>
        <w:rPr>
          <w:rStyle w:val="kursiv"/>
          <w:sz w:val="21"/>
          <w:szCs w:val="21"/>
        </w:rPr>
        <w:t xml:space="preserve">Global growth, </w:t>
      </w:r>
      <w:r>
        <w:t>som gir norske vekstbedrifter kompetanse i hvordan de skal skaffe seg markedsandeler internasjonalt. I pilotfasen for programmet ble det gjennomført prosjekter med blant annet helsenæringen. Gjennom programmet vil bedrifter få i</w:t>
      </w:r>
      <w:r>
        <w:t>n</w:t>
      </w:r>
      <w:r>
        <w:t>ternasjonal ekspon</w:t>
      </w:r>
      <w:r>
        <w:t>e</w:t>
      </w:r>
      <w:r>
        <w:t>ring, tidlig dialog med relevante kundegrupper, kompetanse innenfor nettverks- og merkevarebygging og internasjonal forretningsutvikling. Dette gir muligheter for små og me</w:t>
      </w:r>
      <w:r>
        <w:t>l</w:t>
      </w:r>
      <w:r>
        <w:t>lomstore bedrifter.</w:t>
      </w:r>
    </w:p>
    <w:p w:rsidR="00D24D21" w:rsidRDefault="00D24D21" w:rsidP="00CE47F2">
      <w:r>
        <w:t>Deler av helsenæringen står overfor særskilte utfordringer i forbindelse med innpass på internasj</w:t>
      </w:r>
      <w:r>
        <w:t>o</w:t>
      </w:r>
      <w:r>
        <w:t>nale markeder, blant annet relatert til regulatoriske rammer, lange løp for testing og godkjenning og ulike krav i ulike markeder. I mange deler av næringen mangler nystartede norske foretak større og mer etablerte bedrifter som de kan lære av, og bruke nettverket til, når de skal internasjonalisere. Helsenæringen kan derfor ha særlig nytte av kompetent bistand fra Innovasjon Norges utekontorer for å få innpass i ulike markeder.</w:t>
      </w:r>
    </w:p>
    <w:p w:rsidR="00D24D21" w:rsidRDefault="00D24D21" w:rsidP="00CE47F2">
      <w:r>
        <w:t>Innovasjon Norge bestemmer selv sin internasjonale tilstedeværelse, og gjør årlige vurderinger av kontorstruktur og forhold i det enkelte marked, basert på blant annet interesse og potensial i norsk næringsliv og utfordringer i markedene. Da vurderes også helsenæringens behov. Regjeringen vil tydeli</w:t>
      </w:r>
      <w:r>
        <w:t>g</w:t>
      </w:r>
      <w:r>
        <w:t>gjøre forventninger om at Innovasjon Norge i sine vurderinger av kompetanse og ressurser ved uteko</w:t>
      </w:r>
      <w:r>
        <w:t>n</w:t>
      </w:r>
      <w:r>
        <w:t>torene legger vekt på behovene til helsenæringen og andre framvoksende næringer som kan ha særlig nytte av bistand til innpass på internasjonale markeder.</w:t>
      </w:r>
    </w:p>
    <w:p w:rsidR="00D24D21" w:rsidRDefault="00D24D21" w:rsidP="00CE47F2">
      <w:r>
        <w:lastRenderedPageBreak/>
        <w:t>Innovasjon Norge, Norges forskningsråd og Siva kan hver for seg og sammen på flere måter styrke kompetanse og ressurser relatert til utfordringer for helsenæringen i strategisk viktige markeder. En slik kompetanseoppbygging kan for eksempel gjøres gjennom ulike former for samarbeid med de modne helseklyngenes nettverk og tilst</w:t>
      </w:r>
      <w:r>
        <w:t>e</w:t>
      </w:r>
      <w:r>
        <w:t>deværelse internasjonalt.</w:t>
      </w:r>
    </w:p>
    <w:p w:rsidR="00D24D21" w:rsidRDefault="00D24D21" w:rsidP="00CE47F2">
      <w:r>
        <w:t>Videre har Innovasjon Norge og Norges forskningsråd erfaring med felles forsknings- og teknol</w:t>
      </w:r>
      <w:r>
        <w:t>o</w:t>
      </w:r>
      <w:r>
        <w:t>giutsendinger i enkelte markeder. Slikt samarbeid kan gi enda bedre bistand til bedriftene gjennom hele løpet fra forsknings- og utviklingssamarbeid til nettverk og kommersialisering.</w:t>
      </w:r>
    </w:p>
    <w:p w:rsidR="00D24D21" w:rsidRDefault="00D24D21" w:rsidP="00CE47F2">
      <w:r>
        <w:t>Et aktivt nordisk samarbeid kan bidra til økt internasjonalisering innenfor helsenæringen. Dette kan gi større slagkraft og lettere tilgang til myndigheter og samarbeidspartnere eller nettverk i land også utenfor Norden.</w:t>
      </w:r>
    </w:p>
    <w:p w:rsidR="00D24D21" w:rsidRDefault="00D24D21" w:rsidP="00CE47F2">
      <w:pPr>
        <w:pStyle w:val="tittel-ramme"/>
      </w:pPr>
      <w:r>
        <w:t>Styrket samarbeid om helseinnovasjon</w:t>
      </w:r>
    </w:p>
    <w:p w:rsidR="00D24D21" w:rsidRDefault="00D24D21" w:rsidP="00CE47F2">
      <w:r>
        <w:t>Et nasjonalt konsortium innenfor helseinnovasjon fikk høsten 2018 seks mill. kroner for å sama</w:t>
      </w:r>
      <w:r>
        <w:t>r</w:t>
      </w:r>
      <w:r>
        <w:t>beide tettere om en sterkere internasjonal satsing. Konsortiet består av helseinkubatoren Aleap (Oslo) i et sa</w:t>
      </w:r>
      <w:r>
        <w:t>m</w:t>
      </w:r>
      <w:r>
        <w:t>arbeid med Validé (Stavanger/Haugesund), Bergen Teknologioverføring, Norinnova (Tromsø), NTNU TTO (Trondheim) og SINTEF TTO (Trondheim). Formålet med prosjektet er at nystartede bedrifter innenfor helsenæringen over hele landet skal få bedre tilgang til spisskomp</w:t>
      </w:r>
      <w:r>
        <w:t>e</w:t>
      </w:r>
      <w:r>
        <w:t>tanse og internasjonale net</w:t>
      </w:r>
      <w:r>
        <w:t>t</w:t>
      </w:r>
      <w:r>
        <w:t>verk i sitt utviklingsarbeid.</w:t>
      </w:r>
    </w:p>
    <w:p w:rsidR="00D24D21" w:rsidRDefault="00D24D21" w:rsidP="00CE47F2">
      <w:r>
        <w:t>Midlene kom fra Siva, som høsten 2018 utlyste en nasjonal konkurranse med formål å forsterke landets næring</w:t>
      </w:r>
      <w:r>
        <w:t>s</w:t>
      </w:r>
      <w:r>
        <w:t>hager og inkubatorer. Av totalt 43 søkere fikk fem miljøer støtte. Helsekonsortiet var ett av milj</w:t>
      </w:r>
      <w:r>
        <w:t>ø</w:t>
      </w:r>
      <w:r>
        <w:t>ene som nådde opp i konkurransen. Siva peker på at gründerfasen innenfor helsenæringen ofte er lang og kostnadskrevende, og at konsortiet kan bidra til at flere norske gründerbedrifter som tør å satse lykkes i den internasjonale konkurransen.</w:t>
      </w:r>
    </w:p>
    <w:p w:rsidR="00D24D21" w:rsidRDefault="00D24D21">
      <w:pPr>
        <w:pStyle w:val="Ramme-slutt"/>
        <w:rPr>
          <w:sz w:val="26"/>
          <w:szCs w:val="26"/>
        </w:rPr>
      </w:pPr>
      <w:r>
        <w:rPr>
          <w:sz w:val="26"/>
          <w:szCs w:val="26"/>
        </w:rPr>
        <w:t>[Boks slutt]</w:t>
      </w:r>
    </w:p>
    <w:p w:rsidR="00D24D21" w:rsidRDefault="00D24D21" w:rsidP="00CE47F2">
      <w:pPr>
        <w:pStyle w:val="Overskrift3"/>
      </w:pPr>
      <w:r>
        <w:t>Eksportfinansiering</w:t>
      </w:r>
    </w:p>
    <w:p w:rsidR="00D24D21" w:rsidRDefault="00D24D21" w:rsidP="00CE47F2">
      <w:r>
        <w:t>Statlig eksportfinansiering skal fremme norsk eksport og investeringer i utlandet. Eksportfinansi</w:t>
      </w:r>
      <w:r>
        <w:t>e</w:t>
      </w:r>
      <w:r>
        <w:t>ringsordningene består i hovedsak av Garantiinstituttet for eksportkreditt (GIEK) og Eksportkreditt Norge AS. Utenlandske kjøpere av norske varer og tjenester kan søke om lån fra Eksportkreditt Norge, i tillegg til fra private banker. De kan også søke GIEK om å stille som garantist for slike eller andre lån som fremmer eksport.</w:t>
      </w:r>
    </w:p>
    <w:p w:rsidR="00D24D21" w:rsidRDefault="00D24D21" w:rsidP="00CE47F2">
      <w:r>
        <w:t>I tillegg tilbyr GIEK Kredittforsikring AS (GK) kortsiktig kundekredittforsikring med kredittider på inntil to år.</w:t>
      </w:r>
    </w:p>
    <w:p w:rsidR="00D24D21" w:rsidRDefault="00D24D21" w:rsidP="00CE47F2">
      <w:r>
        <w:t>GIEK kan tilby garantier til de som gir lån til kjøpere av norske eksportvarer og tjenester. GIEKs hovedordning har en garantiramme på 145 mrd. kroner i 2018. Når GIEK stiller som garantist r</w:t>
      </w:r>
      <w:r>
        <w:t>e</w:t>
      </w:r>
      <w:r>
        <w:t>duseres risikoen til långiverne ved at de kan få tilbakebetalt lånet fra GIEK dersom låntaker ikke betaler. Før GIEK treffer en avgjørelse om å stille som garantist gjør de vurderinger av risiko og om prosjektet bidrar til eksport og norske investeringer i utlandet.</w:t>
      </w:r>
    </w:p>
    <w:p w:rsidR="00D24D21" w:rsidRDefault="00D24D21" w:rsidP="00CE47F2">
      <w:r>
        <w:t>Eksportkreditt Norge AS kan gi lån til kjøpere av norske eksportvarer og tjenester på fastrentevilkår og marked</w:t>
      </w:r>
      <w:r>
        <w:t>s</w:t>
      </w:r>
      <w:r>
        <w:t>vilkår.</w:t>
      </w:r>
    </w:p>
    <w:p w:rsidR="00D24D21" w:rsidRDefault="00D24D21" w:rsidP="00CE47F2">
      <w:r>
        <w:lastRenderedPageBreak/>
        <w:t>Eksportkreditt og GIEK har utviklet en forenklet og tilpasset løsning for små og mellomstore b</w:t>
      </w:r>
      <w:r>
        <w:t>e</w:t>
      </w:r>
      <w:r>
        <w:t>drifter som skal gjøre ordningene lettere tilgjengelig for prosjekter av mindre omfang. Eksportf</w:t>
      </w:r>
      <w:r>
        <w:t>i</w:t>
      </w:r>
      <w:r>
        <w:t>nansieringsor</w:t>
      </w:r>
      <w:r>
        <w:t>d</w:t>
      </w:r>
      <w:r>
        <w:t>ningene er åpne for helsenæringen, og kan motta søknader fra utenlandske kjøpere av norske eksport</w:t>
      </w:r>
      <w:r>
        <w:t>ø</w:t>
      </w:r>
      <w:r>
        <w:t xml:space="preserve">rers varer og tjenester. Det er flere eksempler på aktører i helsenæringen har benyttet seg av eksportfinansieringsordningene. </w:t>
      </w:r>
      <w:r>
        <w:rPr>
          <w:rStyle w:val="kursiv"/>
          <w:sz w:val="21"/>
          <w:szCs w:val="21"/>
        </w:rPr>
        <w:t>Made for M</w:t>
      </w:r>
      <w:r>
        <w:rPr>
          <w:rStyle w:val="kursiv"/>
          <w:sz w:val="21"/>
          <w:szCs w:val="21"/>
        </w:rPr>
        <w:t>o</w:t>
      </w:r>
      <w:r>
        <w:rPr>
          <w:rStyle w:val="kursiv"/>
          <w:sz w:val="21"/>
          <w:szCs w:val="21"/>
        </w:rPr>
        <w:t>vemement</w:t>
      </w:r>
      <w:r>
        <w:t>, som utvikler og produserer dynamiske stå- og gåhjelpemidler for mennesker med store fysiske fun</w:t>
      </w:r>
      <w:r>
        <w:t>k</w:t>
      </w:r>
      <w:r>
        <w:t>sjonsnedsettelser, fikk ved hjelp av eksportfinansiering fra Eksportkreditt og GIEK utviklet og lansert et leiekonsept i Spania for sp</w:t>
      </w:r>
      <w:r>
        <w:t>e</w:t>
      </w:r>
      <w:r>
        <w:t>sialtilpassede produkter for barn og unge med stor funksjonsnedsettelse, Innowalk.</w:t>
      </w:r>
    </w:p>
    <w:p w:rsidR="00D24D21" w:rsidRDefault="00D24D21" w:rsidP="00CE47F2">
      <w:pPr>
        <w:pStyle w:val="tittel-ramme"/>
      </w:pPr>
      <w:r>
        <w:t>Strategisk posisjonering av norsk helsenæring internasjonalt</w:t>
      </w:r>
    </w:p>
    <w:p w:rsidR="00D24D21" w:rsidRDefault="00D24D21" w:rsidP="00CE47F2">
      <w:r>
        <w:t>Med et stort internasjonalt marked og mange unge, innovative foretak med vekstambisjoner, ligger det et potensiale for økt eksport fra norsk helsenæring. Som en del av tilleggsbevilgningen til helse i klyngeprogrammet over statsbudsjettet for 2017, har Innovasjon Norge derfor tatt initiativ til pr</w:t>
      </w:r>
      <w:r>
        <w:t>o</w:t>
      </w:r>
      <w:r>
        <w:t>sjektet «Strat</w:t>
      </w:r>
      <w:r>
        <w:t>e</w:t>
      </w:r>
      <w:r>
        <w:t>gisk posisjonering av norsk helseindustri internasjonalt». Prosjektgruppen har hatt dialog med et stort antall aktører i næringen for å sikre forankring. Målet med arbeidet er å styrke den norske helseindustriens eksportmuligheter og -volum. I arbeidet står temaene eksport, vertskapsa</w:t>
      </w:r>
      <w:r>
        <w:t>t</w:t>
      </w:r>
      <w:r>
        <w:t>traktivitet, samhandling og kommunikasjon sentralt.</w:t>
      </w:r>
    </w:p>
    <w:p w:rsidR="00D24D21" w:rsidRDefault="00D24D21">
      <w:pPr>
        <w:pStyle w:val="Ramme-slutt"/>
        <w:rPr>
          <w:sz w:val="26"/>
          <w:szCs w:val="26"/>
        </w:rPr>
      </w:pPr>
      <w:r>
        <w:rPr>
          <w:sz w:val="26"/>
          <w:szCs w:val="26"/>
        </w:rPr>
        <w:t>[Boks slutt]</w:t>
      </w:r>
    </w:p>
    <w:p w:rsidR="00D24D21" w:rsidRDefault="00D24D21" w:rsidP="00CE47F2">
      <w:pPr>
        <w:pStyle w:val="Overskrift2"/>
      </w:pPr>
      <w:r>
        <w:t>Standardisering</w:t>
      </w:r>
    </w:p>
    <w:p w:rsidR="00D24D21" w:rsidRDefault="00D24D21" w:rsidP="00CE47F2">
      <w:r>
        <w:t>Standardisering er en viktig del av regjeringens næringspolitikk. En standard</w:t>
      </w:r>
      <w:r>
        <w:rPr>
          <w:vertAlign w:val="superscript"/>
        </w:rPr>
        <w:footnoteReference w:id="45"/>
      </w:r>
      <w:r>
        <w:t xml:space="preserve"> er en felles «op</w:t>
      </w:r>
      <w:r>
        <w:t>p</w:t>
      </w:r>
      <w:r>
        <w:t>skrift» på hvordan noe skal lages eller gjennomføres, og standardisering er prosessen fra behoveller idé til ferdig utviklet standard.</w:t>
      </w:r>
      <w:r>
        <w:rPr>
          <w:vertAlign w:val="superscript"/>
        </w:rPr>
        <w:footnoteReference w:id="46"/>
      </w:r>
      <w:r>
        <w:t xml:space="preserve"> Standardisering innebærer med andre ord utarbeiding av krav og spesifikasjoner for varer, tjenester og prosesser. Utvikling av standarder er normalt basert på en bred enighet om hva som er beste praksis blant de som deltar i standardiseringsarbeidet. Standarder er ofte en forutsetning for at ulike teknologier kan virke sammen. Bruk av standarder er hovedsakelig fr</w:t>
      </w:r>
      <w:r>
        <w:t>i</w:t>
      </w:r>
      <w:r>
        <w:t>villig. Standarder finnes overalt i samfunnet og bidrar til å forenkle hverdagen.</w:t>
      </w:r>
    </w:p>
    <w:p w:rsidR="00D24D21" w:rsidRDefault="00D24D21" w:rsidP="00CE47F2">
      <w:r>
        <w:t>Standarder er et kollektivt gode som mange har nytte av. Standardiseringsarbeid styres ikke av st</w:t>
      </w:r>
      <w:r>
        <w:t>a</w:t>
      </w:r>
      <w:r>
        <w:t>ten, men gjøres av private og offentlige aktører i samspill. Bruk av standarder bidrar til mer effektiv utnyttelse av samfunnets ressurser, reduserer handelshindringer, bidrar til innovasjon og sikrer at produkter og tjenester har tilsiktet kvalitet og egenskaper i samsvar med krav fra marked og my</w:t>
      </w:r>
      <w:r>
        <w:t>n</w:t>
      </w:r>
      <w:r>
        <w:t>digheter. Åpne standarder gjør det enklere å utveksle informasjon og sikre samspillseffekter, ua</w:t>
      </w:r>
      <w:r>
        <w:t>v</w:t>
      </w:r>
      <w:r>
        <w:t>hengig av leverandør og plattform. Dette gjør at brukerne ikke blir låst til en bestemt leverandør eller programvare. I tillegg kan åpne standarder gi mer innovasjon gjennom å legge til rette for sa</w:t>
      </w:r>
      <w:r>
        <w:t>m</w:t>
      </w:r>
      <w:r>
        <w:t>handling med tredjepartsleverandører. Markedet vil ikke nødvendigvis selv frambringe de standa</w:t>
      </w:r>
      <w:r>
        <w:t>r</w:t>
      </w:r>
      <w:r>
        <w:lastRenderedPageBreak/>
        <w:t>dene som er ønskelig for samfunnet som helhet. Norske myndigheter bidrar derfor med å fremme og understøtte standard</w:t>
      </w:r>
      <w:r>
        <w:t>i</w:t>
      </w:r>
      <w:r>
        <w:t>seringsarbeidet.</w:t>
      </w:r>
    </w:p>
    <w:p w:rsidR="00D24D21" w:rsidRDefault="00D24D21" w:rsidP="00CE47F2">
      <w:r>
        <w:t xml:space="preserve"> </w:t>
      </w:r>
    </w:p>
    <w:p w:rsidR="00D24D21" w:rsidRDefault="00D24D21" w:rsidP="00CE47F2">
      <w:pPr>
        <w:pStyle w:val="tittel-ramme"/>
      </w:pPr>
      <w:r>
        <w:t>Standarders påvirkning på økonomien i de nordiske landene</w:t>
      </w:r>
    </w:p>
    <w:p w:rsidR="00D24D21" w:rsidRDefault="00D24D21" w:rsidP="00CE47F2">
      <w:r>
        <w:t>Menon Economics har gjennomført en studie i samarbeid med Oxford Research, der de ser på standarders påvirkning på økonomien i de fem nordiske landene: Sverige, Finland, Danmark, Island og Norge.</w:t>
      </w:r>
      <w:r>
        <w:rPr>
          <w:rStyle w:val="skrift-hevet"/>
          <w:sz w:val="21"/>
          <w:szCs w:val="21"/>
        </w:rPr>
        <w:t>1</w:t>
      </w:r>
      <w:r>
        <w:t xml:space="preserve"> I tillegg til en makroøkonomisk studie, er det gjennomført en foretaksundersøkelse av fordelene med standardis</w:t>
      </w:r>
      <w:r>
        <w:t>e</w:t>
      </w:r>
      <w:r>
        <w:t>ring.</w:t>
      </w:r>
    </w:p>
    <w:p w:rsidR="00D24D21" w:rsidRDefault="00D24D21" w:rsidP="00CE47F2">
      <w:r>
        <w:t>Studien finner at standarder har vesentlig påvirkning på vekst i arbeidsproduktivitet og brutton</w:t>
      </w:r>
      <w:r>
        <w:t>a</w:t>
      </w:r>
      <w:r>
        <w:t>sjonalprodukt i de nordiske landene.</w:t>
      </w:r>
    </w:p>
    <w:p w:rsidR="00D24D21" w:rsidRDefault="00D24D21" w:rsidP="00CE47F2">
      <w:r>
        <w:t>Den viktigste årsaken til at selskaper bruker standarder er at de vil forbedre markedsadgangen, forbedre kvaliteten og redusere risiko. En stor andel av virksomhetene mener at standarder gjør det enklere å eksportere varer og tjenester, skaper tillit hos kunder og hjelper med å overholde regelverk. Selskapene som er spurt oppgir at de tre viktigste fordelene ved å delta i standardiseringsarbeid er: mulighet til å påvirke standarder på sektornivå, net</w:t>
      </w:r>
      <w:r>
        <w:t>t</w:t>
      </w:r>
      <w:r>
        <w:t>verksbygging med andre eksperter og å forutse endringer i en tidlig fase.</w:t>
      </w:r>
    </w:p>
    <w:p w:rsidR="00D24D21" w:rsidRDefault="00D24D21" w:rsidP="00CE47F2">
      <w:pPr>
        <w:pStyle w:val="ramme-noter"/>
      </w:pPr>
      <w:r>
        <w:rPr>
          <w:rStyle w:val="skrift-hevet"/>
          <w:sz w:val="17"/>
          <w:szCs w:val="17"/>
        </w:rPr>
        <w:t>1</w:t>
      </w:r>
      <w:r>
        <w:tab/>
        <w:t xml:space="preserve">Grimsby, G. (2018). </w:t>
      </w:r>
      <w:r>
        <w:rPr>
          <w:rStyle w:val="kursiv"/>
          <w:sz w:val="17"/>
          <w:szCs w:val="17"/>
        </w:rPr>
        <w:t xml:space="preserve">The Influence of Standards on the Nordic Economies. </w:t>
      </w:r>
      <w:r>
        <w:t>Oslo: Menon Economics</w:t>
      </w:r>
    </w:p>
    <w:p w:rsidR="00D24D21" w:rsidRDefault="00D24D21" w:rsidP="00CE47F2">
      <w:pPr>
        <w:pStyle w:val="ramme-noter"/>
        <w:rPr>
          <w:rStyle w:val="skrift-hevet"/>
        </w:rPr>
      </w:pPr>
      <w:r>
        <w:t>.</w:t>
      </w:r>
    </w:p>
    <w:p w:rsidR="00D24D21" w:rsidRDefault="00D24D21">
      <w:pPr>
        <w:pStyle w:val="Ramme-slutt"/>
        <w:rPr>
          <w:sz w:val="26"/>
          <w:szCs w:val="26"/>
        </w:rPr>
      </w:pPr>
      <w:r>
        <w:rPr>
          <w:sz w:val="26"/>
          <w:szCs w:val="26"/>
        </w:rPr>
        <w:t>[Boks slutt]</w:t>
      </w:r>
    </w:p>
    <w:p w:rsidR="00D24D21" w:rsidRDefault="00D24D21" w:rsidP="00CE47F2">
      <w:r>
        <w:t>Europeisk standardisering har en viktig funksjon i det europeiske indre markedet, for eksempel gjennom bruk av harmoniserte standarder. Formålet med harmoniserte standarder er at disse skal oppfylle krav i EUs regelverk, for eksempel med hensyn til helse, miljø og sikkerhet. Bruk av ha</w:t>
      </w:r>
      <w:r>
        <w:t>r</w:t>
      </w:r>
      <w:r>
        <w:t>moniserte standarder reduserer tekniske handelsbarrierer og forenkler adgangen til det europeiske markedet.</w:t>
      </w:r>
    </w:p>
    <w:p w:rsidR="00D24D21" w:rsidRDefault="00D24D21" w:rsidP="00CE47F2">
      <w:r>
        <w:t>I tillegg til å ta standarder i bruk, er det viktig at norske offentlige og private virksomheter engasjerer seg i sta</w:t>
      </w:r>
      <w:r>
        <w:t>n</w:t>
      </w:r>
      <w:r>
        <w:t>dardiseringsarbeid. Utvikling av standarder skjer hovedsakelig internasjonalt. Det er viktig at norske aktører deltar i internasjonalt standardiseringsarbeid slik at standarder norske interesser blir iv</w:t>
      </w:r>
      <w:r>
        <w:t>a</w:t>
      </w:r>
      <w:r>
        <w:t>retatt, i tillegg til at det kan gi norske virksomheter et konkurransefortrinn.</w:t>
      </w:r>
    </w:p>
    <w:p w:rsidR="00D24D21" w:rsidRDefault="00D24D21" w:rsidP="009C17C8">
      <w:pPr>
        <w:pStyle w:val="Overskrift3"/>
        <w:numPr>
          <w:ilvl w:val="2"/>
          <w:numId w:val="225"/>
        </w:numPr>
      </w:pPr>
      <w:r>
        <w:t>Standardisering innenfor helse- og omsorg</w:t>
      </w:r>
    </w:p>
    <w:p w:rsidR="00D24D21" w:rsidRDefault="00D24D21" w:rsidP="00CE47F2">
      <w:r>
        <w:t>I arbeidet med standardisering i helse- og omsorgstjenesten må internasjonale standarder benyttes der disse er tilgjengelige. Dersom det utarbeides og tas i bruk ulike typer standarder regionalt, n</w:t>
      </w:r>
      <w:r>
        <w:t>a</w:t>
      </w:r>
      <w:r>
        <w:t>sjonalt og internasjonalt, er dette et hinder for eksport og interoperabilitet. Standarder bør utvikles av sentrale i</w:t>
      </w:r>
      <w:r>
        <w:t>n</w:t>
      </w:r>
      <w:r>
        <w:t>teressenter i fellesskap.</w:t>
      </w:r>
    </w:p>
    <w:p w:rsidR="00D24D21" w:rsidRDefault="00D24D21" w:rsidP="00CE47F2">
      <w:r>
        <w:t>Norske innbyggere har høy modenhet for å ta i bruk ny teknologi. Dette innebærer at både bedrifter, helsepersonell og brukere av helsetjenester har høy kompetanse og burde påvirke internasjonal standa</w:t>
      </w:r>
      <w:r>
        <w:t>r</w:t>
      </w:r>
      <w:r>
        <w:t>disering på helse- og omsorgsområdet. Dette kan gi norsk helsenæring viktige fortrinn i utvikling og internasjonal konkurranse, for eksempel ved å ta lederskap i internasjonalt komitéa</w:t>
      </w:r>
      <w:r>
        <w:t>r</w:t>
      </w:r>
      <w:r>
        <w:t>beid.</w:t>
      </w:r>
    </w:p>
    <w:p w:rsidR="00D24D21" w:rsidRDefault="00D24D21" w:rsidP="00CE47F2">
      <w:r>
        <w:lastRenderedPageBreak/>
        <w:t>Standardisering kan spille en betydelig rolle for å redusere kostnader og forbedre kvalitet i helse- og omsorg</w:t>
      </w:r>
      <w:r>
        <w:t>s</w:t>
      </w:r>
      <w:r>
        <w:t>sektoren. Standarder kan blant annet legge til rette for at teknologi lettere kan integreres med hverandre, noe som kan bidra til bedre samhandling og mer effektive pasientforløp.</w:t>
      </w:r>
    </w:p>
    <w:p w:rsidR="00D24D21" w:rsidRDefault="00D24D21" w:rsidP="00CE47F2">
      <w:r>
        <w:t>Bruk av standarder gjør det enklere for virksomheter å overholde regelverk, samtidig som standarder gjør det enklere for myndigheter å sikre at produkter oppfyller krav i regelverk. Bruk av standarder kan bidra til å forenkle og øke kvaliteten i innkjøps- og anbudsprosesser for næringsliv og offentlig sektor. For bedrifter vil bruk av standarder normalt være en mindre kostbar måte å vise at deres produkt er i tråd med regelverket, framfor å skulle dokumentere dette på egen hånd. For offentlige innkjøpere vil bruk av standarder kunne være tilstrekkelig dok</w:t>
      </w:r>
      <w:r>
        <w:t>u</w:t>
      </w:r>
      <w:r>
        <w:t>mentasjon på at et produkt følger de krav som er satt, for e</w:t>
      </w:r>
      <w:r>
        <w:t>k</w:t>
      </w:r>
      <w:r>
        <w:t>sempel med hensyn til miljø, sikkerhet eller andre tekniske spesifikasjoner.</w:t>
      </w:r>
    </w:p>
    <w:p w:rsidR="00D24D21" w:rsidRDefault="00D24D21" w:rsidP="00CE47F2">
      <w:pPr>
        <w:pStyle w:val="avsnitt-undertittel"/>
      </w:pPr>
      <w:r>
        <w:t>E-helsestandarder og samhandlingsarkitektur</w:t>
      </w:r>
    </w:p>
    <w:p w:rsidR="00D24D21" w:rsidRDefault="00D24D21" w:rsidP="00CE47F2">
      <w:r>
        <w:t>Standardisering av innhold, format og felles arkitektur er en forutsetning for å kunne forstå, dele og gjenbruke informasjon og data mellom virksomheter som samhandler elektronisk. Dagens elektr</w:t>
      </w:r>
      <w:r>
        <w:t>o</w:t>
      </w:r>
      <w:r>
        <w:t>niske samhandling mellom virksomhetene i helse- og omsorgstjenesten er i hovedsak basert på meldingsutvek</w:t>
      </w:r>
      <w:r>
        <w:t>s</w:t>
      </w:r>
      <w:r>
        <w:t>ling. E-helsestandardene som benyttes for dokument og meldingsutveksling gjelder for spesifikke formål og anvendelser, som for eksempel henvisning og epikrise.</w:t>
      </w:r>
    </w:p>
    <w:p w:rsidR="00D24D21" w:rsidRDefault="00D24D21" w:rsidP="00CE47F2">
      <w:r>
        <w:t>Selv om det er fordeler med standardisering, er erfaringene på e-helseområdet at innføring av n</w:t>
      </w:r>
      <w:r>
        <w:t>a</w:t>
      </w:r>
      <w:r>
        <w:t>sjonale standarder er komplekst og tar tid. I dag finnes det få retningslinjer eller anbefalinger om bruk av internasjonale standarder i helse- og omsorgssektoren, og hvordan de skal brukes eller fungere sammen. Erfaringsmessig vil da de enkelte aktører selv gjøre valg og tilpasninger av inte</w:t>
      </w:r>
      <w:r>
        <w:t>r</w:t>
      </w:r>
      <w:r>
        <w:t>nasjonale standarder b</w:t>
      </w:r>
      <w:r>
        <w:t>a</w:t>
      </w:r>
      <w:r>
        <w:t>sert på prosjektenes spesifikke behov. Ulike aktører vil bruke standarder forskjellig, noe som reduserer gevinsten standardene er ment å gi.</w:t>
      </w:r>
    </w:p>
    <w:p w:rsidR="00D24D21" w:rsidRDefault="00D24D21" w:rsidP="00CE47F2">
      <w:r>
        <w:t>Direktoratet for e-helse skal styrke sitt arbeid på standardiseringsområdet, jf. kap. 6.4. Målet er blant annet å sikre bedre koordinering, veiledning og anbefalinger om bruk av standarder til aktørene i sekt</w:t>
      </w:r>
      <w:r>
        <w:t>o</w:t>
      </w:r>
      <w:r>
        <w:t>ren.</w:t>
      </w:r>
    </w:p>
    <w:p w:rsidR="00D24D21" w:rsidRDefault="00D24D21" w:rsidP="00CE47F2">
      <w:r>
        <w:t>Forskrift om IKT-standarder i helse- og omsorgstjenesten inneholder i dag krav om elektronisk b</w:t>
      </w:r>
      <w:r>
        <w:t>e</w:t>
      </w:r>
      <w:r>
        <w:t>handling av helseopplysninger og et sett av meldingsstandarder som er utviklet for spesifikke områder over mange år. Formålet med forskriften er å bidra til bruk av IKT-standarder for å fremme sikker og effektiv elektronisk samhandling i tjenesten. Forskriften gjelder private og offentlige virksomheter inne</w:t>
      </w:r>
      <w:r>
        <w:t>n</w:t>
      </w:r>
      <w:r>
        <w:t>for helse- og omsorgstjenesten som bruker behandlingsrettede helseregistre.</w:t>
      </w:r>
    </w:p>
    <w:p w:rsidR="00D24D21" w:rsidRDefault="00D24D21" w:rsidP="00CE47F2">
      <w:r>
        <w:t>Direktoratet for e-helse har ansvar for forvaltning og utvikling av kodeverk, terminologi og IKT-standarder i helse- og omsorgssektoren.</w:t>
      </w:r>
      <w:r>
        <w:rPr>
          <w:vertAlign w:val="superscript"/>
        </w:rPr>
        <w:footnoteReference w:id="47"/>
      </w:r>
      <w:r>
        <w:t xml:space="preserve"> Direktoratet gir ut en katalog med oversikt over obligatoriske og anbefalte e-helsestandarder – referansekatalogen. Referansekatalogen inneholder oversikt over standarder og kravdok</w:t>
      </w:r>
      <w:r>
        <w:t>u</w:t>
      </w:r>
      <w:r>
        <w:t>menter for IKT-systemer som er obligatoriske eller anbefalt for virkso</w:t>
      </w:r>
      <w:r>
        <w:t>m</w:t>
      </w:r>
      <w:r>
        <w:t>heter i helse- og omsorgstjenesten.</w:t>
      </w:r>
    </w:p>
    <w:p w:rsidR="00D24D21" w:rsidRDefault="00D24D21" w:rsidP="00CE47F2">
      <w:r>
        <w:t xml:space="preserve">Som en del av ansvaret til Direktoratet for e-helse inngår også ansvaret for forvaltning og utvikling av helsefaglige kodeverk. Helsefaglige kodeverk er utgangspunktet for bedre helsedata. Kodene gjør </w:t>
      </w:r>
      <w:r>
        <w:lastRenderedPageBreak/>
        <w:t>at man kan følge med på befolkningens helse, oppdage og endre sykdomsmønstre og fordele re</w:t>
      </w:r>
      <w:r>
        <w:t>s</w:t>
      </w:r>
      <w:r>
        <w:t>surser i helse- og omsorgstjenesten. H</w:t>
      </w:r>
      <w:r>
        <w:t>o</w:t>
      </w:r>
      <w:r>
        <w:t>vedformålet med standardiserte kodeverk og terminologier er at helsefaglige opplysninger skal kunne dokume</w:t>
      </w:r>
      <w:r>
        <w:t>n</w:t>
      </w:r>
      <w:r>
        <w:t>teres strukturert, og forstås og brukes på en entydig måte av involverte parter, også ved sekundær bruk.</w:t>
      </w:r>
    </w:p>
    <w:p w:rsidR="00D24D21" w:rsidRDefault="00D24D21" w:rsidP="00CE47F2">
      <w:r>
        <w:t>Direktoratet for e-helse leder arbeidet med å prøve ut og innføre den internasjonale standarden for klinisk term</w:t>
      </w:r>
      <w:r>
        <w:t>i</w:t>
      </w:r>
      <w:r>
        <w:t>nologi, SNOMED CT, i helse- og omsorgssektoren. SNOMED CT er primært utviklet for detaljert og strukturert dokumentasjon av pasientrelaterte data i elektroniske pasientjournaler eller he</w:t>
      </w:r>
      <w:r>
        <w:t>l</w:t>
      </w:r>
      <w:r>
        <w:t>seregistre. Formålet er å danne et strukturert og entydig datagrunnlag som kan utveksles på tvers av sy</w:t>
      </w:r>
      <w:r>
        <w:t>s</w:t>
      </w:r>
      <w:r>
        <w:t>temer og helseområder. Norge ble medlem av SNOMED International 1. januar 2017, og startet samtidig en vurdering av SNOMED CT for utvalgte områder innenfor den norske helsetj</w:t>
      </w:r>
      <w:r>
        <w:t>e</w:t>
      </w:r>
      <w:r>
        <w:t>nesten.</w:t>
      </w:r>
    </w:p>
    <w:p w:rsidR="00D24D21" w:rsidRDefault="00D24D21" w:rsidP="00CE47F2">
      <w:r>
        <w:t>Samhandling i helse- og omsorgstjenesten vil foregå på flere områder, med flere aktører enn tidligere og med nye metoder. Direktoratet for e-helse, som fagmyndighet på e-helseområdet, mener at b</w:t>
      </w:r>
      <w:r>
        <w:t>e</w:t>
      </w:r>
      <w:r>
        <w:t>hovet for standarder vil øke og det vil være en dreining fra spesifikke meldingsstandarder til mer generelle in</w:t>
      </w:r>
      <w:r>
        <w:t>n</w:t>
      </w:r>
      <w:r>
        <w:t>holdsstandarder som kan gjenbrukes i ulike samhandlingsmodeller som meldinger, dokumenter og datadeling.</w:t>
      </w:r>
    </w:p>
    <w:p w:rsidR="00D24D21" w:rsidRDefault="00D24D21" w:rsidP="00CE47F2">
      <w:r>
        <w:t>Det er myndighetenes mål å tilrettelegge for økt bruk av internasjonale standarder der dette er mulig. Det vil gi et bredere tilbud av leverandører, samtidig som norske leverandører kan få tilgang til et større marked. Det er også et mål at alle som driver elektronisk samhandling i helse- og omsorg</w:t>
      </w:r>
      <w:r>
        <w:t>s</w:t>
      </w:r>
      <w:r>
        <w:t>sektoren benytter relevante e-helsestandarder og referansearkitekturen som angitt i referansekat</w:t>
      </w:r>
      <w:r>
        <w:t>a</w:t>
      </w:r>
      <w:r>
        <w:t>logen, enten som anbefalt eller som obligatorisk med hjemmel i forskrift.</w:t>
      </w:r>
    </w:p>
    <w:p w:rsidR="00D24D21" w:rsidRDefault="00D24D21" w:rsidP="00CE47F2">
      <w:pPr>
        <w:pStyle w:val="tittel-ramme"/>
      </w:pPr>
      <w:r>
        <w:t>Eksempler på standarder på helse- og omsorgsområdet</w:t>
      </w:r>
    </w:p>
    <w:p w:rsidR="00D24D21" w:rsidRDefault="00D24D21" w:rsidP="00CE47F2">
      <w:r>
        <w:t>De internasjonale standardene ISO</w:t>
      </w:r>
      <w:r>
        <w:rPr>
          <w:rStyle w:val="skrift-hevet"/>
          <w:sz w:val="21"/>
          <w:szCs w:val="21"/>
        </w:rPr>
        <w:t>1</w:t>
      </w:r>
      <w:r>
        <w:t xml:space="preserve"> 13482, ISO 13485 og ISO 14971 er sentrale for utvikling av digitale hjelpemidler og medisinsk utstyr. Standardene stiller krav til kvalitet, risiko og sikkerhet og gjør det e</w:t>
      </w:r>
      <w:r>
        <w:t>n</w:t>
      </w:r>
      <w:r>
        <w:t>kelt for produsenter å teste ut sine produkter ved å følge de krav som er satt i standardene.</w:t>
      </w:r>
    </w:p>
    <w:p w:rsidR="00D24D21" w:rsidRDefault="00D24D21" w:rsidP="00CE47F2">
      <w:r>
        <w:t>ICD-kodeverket som forvaltes av WHO (Verdens helseorganisasjon) er den internasjonale statistiske klassifikasjonen av sykdommer og beslektede helseproblemer. Kodeverket er et redskap for syst</w:t>
      </w:r>
      <w:r>
        <w:t>e</w:t>
      </w:r>
      <w:r>
        <w:t>matisk klassifisering og registrering av sykdommer og beslektede helseproblemer.</w:t>
      </w:r>
    </w:p>
    <w:p w:rsidR="00D24D21" w:rsidRDefault="00D24D21" w:rsidP="00CE47F2">
      <w:r>
        <w:t>Medisinsk utstyr skal i henhold til forskrift om medisinsk utstyr oppfylle harmoniserte standarder for å oppfylle regelverket. Standarder for medisinsk utstyr bidrar både til pasientsikkerhet og til si</w:t>
      </w:r>
      <w:r>
        <w:t>k</w:t>
      </w:r>
      <w:r>
        <w:t>kerhet for personell, for eksempel standarder innenfor anestesi. Her finnes det utstyr som sikrer at gassen kommer i riktig dose til pasienten, og som også gir trygghet til helsepersonell.</w:t>
      </w:r>
    </w:p>
    <w:p w:rsidR="00D24D21" w:rsidRDefault="00D24D21" w:rsidP="00CE47F2">
      <w:r>
        <w:t>Bruk av standarder for bekledning i helsetjenesten er brukervennlig, vedlikeholdsvennlig og det er rimeligere å produsere enn bekledning i mange varianter. Dette bidrar til å redusere kostnadene for pr</w:t>
      </w:r>
      <w:r>
        <w:t>o</w:t>
      </w:r>
      <w:r>
        <w:t>dusent og helsetjenesten.</w:t>
      </w:r>
    </w:p>
    <w:p w:rsidR="00D24D21" w:rsidRDefault="00D24D21" w:rsidP="00CE47F2">
      <w:r>
        <w:t>Standarder innenfor smittevern – for eksempel sykehusrenhold – kan bidra til lavere andel syk</w:t>
      </w:r>
      <w:r>
        <w:t>e</w:t>
      </w:r>
      <w:r>
        <w:t>husinfeksjoner. Det gir bedre pasientsikkerhet og reduserer ressursbruk i sykehusene.</w:t>
      </w:r>
    </w:p>
    <w:p w:rsidR="00D24D21" w:rsidRDefault="00D24D21" w:rsidP="00CE47F2">
      <w:r>
        <w:t>Continua Health Alliance er en internasjonal non-profit organisasjon som skaper standarder for integrasjon mellom utstyr som brukes til velferdsteknologi og utstyr som inneholder helserelevant inform</w:t>
      </w:r>
      <w:r>
        <w:t>a</w:t>
      </w:r>
      <w:r>
        <w:t xml:space="preserve">sjon, for eksempel utstyr for fitness og trening. Målet er å skape en standard som kan gjøre </w:t>
      </w:r>
      <w:r>
        <w:lastRenderedPageBreak/>
        <w:t>deling og uthenting av informasjon mellom systemer som arbeider med helse, enklest mulig. Co</w:t>
      </w:r>
      <w:r>
        <w:t>n</w:t>
      </w:r>
      <w:r>
        <w:t>tinua er den off</w:t>
      </w:r>
      <w:r>
        <w:t>i</w:t>
      </w:r>
      <w:r>
        <w:t>sielle norske standarden for slikt utstyr.</w:t>
      </w:r>
    </w:p>
    <w:p w:rsidR="00D24D21" w:rsidRDefault="00D24D21" w:rsidP="00CE47F2">
      <w:r>
        <w:t>IDMP (Identification of Medicinal Products) er et sett med fem ISO-standarder som er utviklet som svar på behovet for internasjonalt harmoniserte spesifikasjoner for legemidler.</w:t>
      </w:r>
    </w:p>
    <w:p w:rsidR="00D24D21" w:rsidRDefault="00D24D21" w:rsidP="00CE47F2">
      <w:pPr>
        <w:pStyle w:val="ramme-noter"/>
      </w:pPr>
      <w:r>
        <w:rPr>
          <w:rStyle w:val="skrift-hevet"/>
          <w:sz w:val="17"/>
          <w:szCs w:val="17"/>
        </w:rPr>
        <w:t>1</w:t>
      </w:r>
      <w:r>
        <w:tab/>
        <w:t>ISO-standarder er standarderer som er utviklet av Den internasjonale standardiseringsorganisasjonen ISO (Intern</w:t>
      </w:r>
      <w:r>
        <w:t>a</w:t>
      </w:r>
      <w:r>
        <w:t>tional Org</w:t>
      </w:r>
      <w:r>
        <w:t>a</w:t>
      </w:r>
      <w:r>
        <w:t>nization for Standardization).</w:t>
      </w:r>
    </w:p>
    <w:p w:rsidR="00D24D21" w:rsidRDefault="00D24D21">
      <w:pPr>
        <w:pStyle w:val="Ramme-slutt"/>
        <w:rPr>
          <w:sz w:val="26"/>
          <w:szCs w:val="26"/>
        </w:rPr>
      </w:pPr>
      <w:r>
        <w:rPr>
          <w:sz w:val="26"/>
          <w:szCs w:val="26"/>
        </w:rPr>
        <w:t>[Boks slutt]</w:t>
      </w:r>
    </w:p>
    <w:p w:rsidR="00D24D21" w:rsidRDefault="00D24D21" w:rsidP="00CE47F2">
      <w:pPr>
        <w:pStyle w:val="Overskrift1"/>
      </w:pPr>
      <w:r>
        <w:t>Bedre samhandling om helseinnovasjon</w:t>
      </w:r>
    </w:p>
    <w:p w:rsidR="00D24D21" w:rsidRDefault="00D24D21" w:rsidP="00CE47F2">
      <w:pPr>
        <w:pStyle w:val="Overskrift2"/>
      </w:pPr>
      <w:r>
        <w:t>Regjeringens politikk</w:t>
      </w:r>
    </w:p>
    <w:p w:rsidR="00D24D21" w:rsidRDefault="00D24D21" w:rsidP="00CE47F2">
      <w:r>
        <w:t>Næringslivet utvikler produkter og tjenester som kan bidra til å løse utfordringene i helse- og o</w:t>
      </w:r>
      <w:r>
        <w:t>m</w:t>
      </w:r>
      <w:r>
        <w:t>sorgstjenesten. Bedrifter som leverer de varene og tjenestene helse- og omsorgstjenesten trenger kan nå et stort marked, ikke bare i Norge, men også internasjonalt. Regjeringen vil derfor arbeide for at norsk he</w:t>
      </w:r>
      <w:r>
        <w:t>l</w:t>
      </w:r>
      <w:r>
        <w:t>se- og omsorgstjeneste skal være en attraktiv samarbeidspartner for norsk og internasjonalt næringsliv.</w:t>
      </w:r>
    </w:p>
    <w:p w:rsidR="00D24D21" w:rsidRDefault="00D24D21" w:rsidP="00CE47F2">
      <w:r>
        <w:t>Dette kapittelet beskriver hvordan helse- og omsorgstjenesten og næringslivet samhandler i de ulike trinnene i utviklingsløpene når nye produkter, tjenester og arbeidsprosesser utvikles og innføres. Kapi</w:t>
      </w:r>
      <w:r>
        <w:t>t</w:t>
      </w:r>
      <w:r>
        <w:t>telet drøfter hvordan helse- og omsorgstjenesten i de ulike trinnene kan bruke helsenæringen for å nå sine mål.</w:t>
      </w:r>
    </w:p>
    <w:p w:rsidR="00D24D21" w:rsidRDefault="00D24D21" w:rsidP="00CE47F2">
      <w:r>
        <w:t>For at norsk helse- og omsorgstjeneste skal være en attraktiv samarbeidspartner for norsk og inte</w:t>
      </w:r>
      <w:r>
        <w:t>r</w:t>
      </w:r>
      <w:r>
        <w:t>nasjonalt n</w:t>
      </w:r>
      <w:r>
        <w:t>æ</w:t>
      </w:r>
      <w:r>
        <w:t>ringsliv vil regjeringen:</w:t>
      </w:r>
    </w:p>
    <w:p w:rsidR="00D24D21" w:rsidRDefault="00D24D21" w:rsidP="00CE47F2">
      <w:pPr>
        <w:pStyle w:val="Liste"/>
      </w:pPr>
      <w:r>
        <w:t>legge til rette for økt bruk av innovative offentlige anskaffelser i helse- og omsorgstjenesten og hels</w:t>
      </w:r>
      <w:r>
        <w:t>e</w:t>
      </w:r>
      <w:r>
        <w:t>forvaltningen</w:t>
      </w:r>
    </w:p>
    <w:p w:rsidR="00D24D21" w:rsidRDefault="00D24D21" w:rsidP="00CE47F2">
      <w:pPr>
        <w:pStyle w:val="Liste"/>
      </w:pPr>
      <w:r>
        <w:t>legge fram en handlingsplan for kliniske studier</w:t>
      </w:r>
    </w:p>
    <w:p w:rsidR="00D24D21" w:rsidRDefault="00D24D21" w:rsidP="00CE47F2">
      <w:pPr>
        <w:pStyle w:val="Liste"/>
      </w:pPr>
      <w:r>
        <w:t>etablere «én vei inn» for kliniske studier ved at NorCRIN</w:t>
      </w:r>
      <w:r>
        <w:rPr>
          <w:vertAlign w:val="superscript"/>
        </w:rPr>
        <w:footnoteReference w:id="48"/>
      </w:r>
      <w:r>
        <w:t xml:space="preserve"> kobles tettere til næringslivet gjennom en partnerskapsmodell</w:t>
      </w:r>
    </w:p>
    <w:p w:rsidR="00D24D21" w:rsidRDefault="00D24D21" w:rsidP="00CE47F2">
      <w:pPr>
        <w:pStyle w:val="Liste"/>
      </w:pPr>
      <w:r>
        <w:t>utrede hvordan ulike virkemidler for forskning og innovasjon i kombinasjon kan bidra til et mer helhetlig løp fram mot implementering av ny teknologi og nye løsninger i helse- og omsorgstjenesten</w:t>
      </w:r>
    </w:p>
    <w:p w:rsidR="00D24D21" w:rsidRDefault="00D24D21" w:rsidP="00CE47F2">
      <w:pPr>
        <w:pStyle w:val="Liste"/>
      </w:pPr>
      <w:r>
        <w:t>innføre en indikator for kliniske studier og på sikt bruke den som del av resultatbasert f</w:t>
      </w:r>
      <w:r>
        <w:t>i</w:t>
      </w:r>
      <w:r>
        <w:t>nansiering av forskning i spesialisthelsetjenesten</w:t>
      </w:r>
    </w:p>
    <w:p w:rsidR="00D24D21" w:rsidRDefault="00D24D21" w:rsidP="00CE47F2">
      <w:pPr>
        <w:pStyle w:val="Liste"/>
      </w:pPr>
      <w:r>
        <w:t>innføre indikatorer for måling av innovasjon i spesialisthelsetjenesten og vurdere å bruke dem som del av resultatbasert finansiering av forskning og innovasjon i spesialisthelsetj</w:t>
      </w:r>
      <w:r>
        <w:t>e</w:t>
      </w:r>
      <w:r>
        <w:t>nesten</w:t>
      </w:r>
    </w:p>
    <w:p w:rsidR="00D24D21" w:rsidRDefault="00D24D21" w:rsidP="00CE47F2">
      <w:pPr>
        <w:pStyle w:val="Liste"/>
      </w:pPr>
      <w:r>
        <w:t>etablere en helseanalyseplattform for å effektivisere og forenkle tilgangen til helsedata til forskning og analyse samtidig som personvernet styrkes, herunder gjøre det mulig å benytte helsedata mer aktivt i u</w:t>
      </w:r>
      <w:r>
        <w:t>t</w:t>
      </w:r>
      <w:r>
        <w:t>viklingsforløpet til legemidler og medisinsk teknologi</w:t>
      </w:r>
    </w:p>
    <w:p w:rsidR="00D24D21" w:rsidRDefault="00D24D21" w:rsidP="00CE47F2">
      <w:pPr>
        <w:pStyle w:val="Liste"/>
      </w:pPr>
      <w:r>
        <w:lastRenderedPageBreak/>
        <w:t>legge til rette for at det utvikles flere verdensledende fagmiljøer i Norge. Som ledd i dette arbeidet bygges Livsvitenskapsbygget på Universitetet i Oslo, som vil sikre høy kvalitet og relevans i utdanning og forskning</w:t>
      </w:r>
    </w:p>
    <w:p w:rsidR="00D24D21" w:rsidRDefault="00D24D21" w:rsidP="00CE47F2">
      <w:pPr>
        <w:pStyle w:val="Liste"/>
      </w:pPr>
      <w:r>
        <w:t xml:space="preserve">styrke koblingen mellom kunnskapsbehovene som identifiseres i </w:t>
      </w:r>
      <w:r>
        <w:rPr>
          <w:rStyle w:val="kursiv"/>
          <w:sz w:val="21"/>
          <w:szCs w:val="21"/>
        </w:rPr>
        <w:t>Nye metoder</w:t>
      </w:r>
      <w:r>
        <w:t xml:space="preserve"> og bruk av elektroniske legemiddelkurver, medisinske kvalitetsregistre og registerstøttede kliniske studier (real world data)</w:t>
      </w:r>
    </w:p>
    <w:p w:rsidR="00D24D21" w:rsidRDefault="00D24D21" w:rsidP="00CE47F2">
      <w:pPr>
        <w:pStyle w:val="Liste"/>
      </w:pPr>
      <w:r>
        <w:t>sikre at Innovasjonskontoret i Statens legemiddelverk er i stand til å gi god regulatorisk rådgivning for næringslivet og helsetjenesten</w:t>
      </w:r>
    </w:p>
    <w:p w:rsidR="00D24D21" w:rsidRDefault="00D24D21" w:rsidP="00CE47F2">
      <w:pPr>
        <w:pStyle w:val="Overskrift2"/>
      </w:pPr>
      <w:r>
        <w:t>Bedre samhandling om helseinnovasjon</w:t>
      </w:r>
    </w:p>
    <w:p w:rsidR="00D24D21" w:rsidRDefault="00D24D21" w:rsidP="00CE47F2">
      <w:r>
        <w:t>Det stilles særskilte krav til produkter i helse- og omsorgstjenesten, særlig når disse skal prøves ut på pasienter. Bedrifter som skal lykkes med å levere til den offentlige helse- og omsorgstjenesten må kjenne til tjenestens behov og være i stand til å møte kravene til dokumentasjon av effekt, sikkerhet og kostnad</w:t>
      </w:r>
      <w:r>
        <w:t>s</w:t>
      </w:r>
      <w:r>
        <w:t>effektivitet. Bedriftene trenger derfor kunnskap om organisatoriske, regulatoriske og etiske rammer, prinsippene for prioritering og vurderings- og beslutningssystemer for innføring av nye løsninger i helse- og omsorgstjenesten. Dette omfatter forståelse av kunnskapsbasert praksis som et rammeverk for godt informerte beslutninger for innføring og anvendelse av produkter og løsninger i klinisk praksis.</w:t>
      </w:r>
    </w:p>
    <w:p w:rsidR="00D24D21" w:rsidRDefault="00D24D21" w:rsidP="00CE47F2">
      <w:r>
        <w:t>Regjeringen ønsker å legge til rette for bedre samhandling mellom helse- og omsorgstjenestene og ulike private og ideelle aktører i økosystemet for helseinnovasjon. Det skal skje i de ulike leddene fra behovsanalyse, gjennom utviklingsløpet, via anskaffelse og til implementering, spredning og ev</w:t>
      </w:r>
      <w:r>
        <w:t>a</w:t>
      </w:r>
      <w:r>
        <w:t>luering av produktet i klinisk praksis, jf. illustrasjonen i figur 8.1. Sentralt i dette økosystemet er kunnskapen som ligger til grunn for diagnostikk, oppfø</w:t>
      </w:r>
      <w:r>
        <w:t>l</w:t>
      </w:r>
      <w:r>
        <w:t>ging og behandling og som bør flyte fra produksjon til dokumentert nytte i helsetjenesten. Et velfungerende øk</w:t>
      </w:r>
      <w:r>
        <w:t>o</w:t>
      </w:r>
      <w:r>
        <w:t>system kan bidra til økt innovasjon, mangfold, kvalitet og valgfrihet i tjenestetilbudet og at nye produkter og ny teknologi med dokumentert nytte tas i bruk i hjemmemarkedet og internasjonalt. Bedre og mer kostnadse</w:t>
      </w:r>
      <w:r>
        <w:t>f</w:t>
      </w:r>
      <w:r>
        <w:t>fektive løsninger som møter tjenestens b</w:t>
      </w:r>
      <w:r>
        <w:t>e</w:t>
      </w:r>
      <w:r>
        <w:t>hov vil bidra til en mer bærekraftig helsetjeneste. Det vil også bidra til å gjøre Norge til et mer attraktivt land for helseinnovasjon og øke antallet suksessfulle selskapsetableringer, kliniske studier og utenlandske inve</w:t>
      </w:r>
      <w:r>
        <w:t>s</w:t>
      </w:r>
      <w:r>
        <w:t>teringer i Norge innenfor helse.</w:t>
      </w:r>
    </w:p>
    <w:p w:rsidR="00D24D21" w:rsidRDefault="00E636F4" w:rsidP="00E636F4">
      <w:pPr>
        <w:pStyle w:val="Figur"/>
      </w:pPr>
      <w:r>
        <w:rPr>
          <w:noProof/>
        </w:rPr>
        <w:t>[:figur:figX-X.jpg]</w:t>
      </w:r>
    </w:p>
    <w:p w:rsidR="00D24D21" w:rsidRDefault="00D24D21" w:rsidP="00CE47F2">
      <w:pPr>
        <w:pStyle w:val="figur-tittel"/>
      </w:pPr>
      <w:r>
        <w:t>Økosystem for helseinnovasjon</w:t>
      </w:r>
    </w:p>
    <w:p w:rsidR="00D24D21" w:rsidRDefault="00D24D21" w:rsidP="00CE47F2">
      <w:pPr>
        <w:pStyle w:val="figur-noter"/>
      </w:pPr>
      <w:r>
        <w:t>Dialog og samarbeid mellom det offentlige og næringslivet kan inngå i alle delene av økosystemet. Alle delene bør også understø</w:t>
      </w:r>
      <w:r>
        <w:t>t</w:t>
      </w:r>
      <w:r>
        <w:t>tes av dokumentasjon i form av helsedata. Framstillingen i figuren over er forenklet, og interaksjonen mellom næringslivet og tjenesten vil kunne starte ulike steder i utviklingsløpet. I praksis vil ofte de ulike fasene gli over i hverandre.</w:t>
      </w:r>
    </w:p>
    <w:p w:rsidR="00D24D21" w:rsidRDefault="00D24D21" w:rsidP="00CE47F2">
      <w:pPr>
        <w:pStyle w:val="Kilde"/>
        <w:rPr>
          <w:rFonts w:cs="Times New Roman"/>
          <w:lang w:val="en-GB"/>
        </w:rPr>
      </w:pPr>
      <w:r>
        <w:t>Helse- og omsorgsdepartementet</w:t>
      </w:r>
    </w:p>
    <w:p w:rsidR="00D24D21" w:rsidRDefault="00D24D21" w:rsidP="00CE47F2">
      <w:pPr>
        <w:pStyle w:val="Overskrift2"/>
      </w:pPr>
      <w:r>
        <w:t>Identifisering av behov</w:t>
      </w:r>
    </w:p>
    <w:p w:rsidR="00D24D21" w:rsidRDefault="00D24D21" w:rsidP="00CE47F2">
      <w:r>
        <w:t>Forenklet kan man si at innovasjonsprosessen starter med å identifisere utfordringer man står overfor eller oppgaver som må løses. Noen ganger vil behovsidentifisering være ad hoc og lite systematisk. Andre ganger vil det identifiseres behov gjennom kunnskapsoppsummeringer, faglige retningslinjer, strateg</w:t>
      </w:r>
      <w:r>
        <w:t>i</w:t>
      </w:r>
      <w:r>
        <w:t xml:space="preserve">prosesser, pasient- og brukerrepresentanter eller egne enheter for innovasjon. Når et behov </w:t>
      </w:r>
      <w:r>
        <w:lastRenderedPageBreak/>
        <w:t>oppstår, e</w:t>
      </w:r>
      <w:r>
        <w:t>t</w:t>
      </w:r>
      <w:r>
        <w:t>terspørres det ofte mer av eksisterende løsninger, istedenfor at man bruker mulighetene til å finne nye og bedre løsninger. I mange tilfeller vil pasienter, pårørende og helsepersonell være de som kjenner beh</w:t>
      </w:r>
      <w:r>
        <w:t>o</w:t>
      </w:r>
      <w:r>
        <w:t>vene best, og som kan se hvordan nye løsninger kan utformes. For å sikre at nye løsninger treffer behovene i tjenesten, bør brukere, pasienter, helsepersonell og næringslivet invo</w:t>
      </w:r>
      <w:r>
        <w:t>l</w:t>
      </w:r>
      <w:r>
        <w:t>veres i identifisering og pri</w:t>
      </w:r>
      <w:r>
        <w:t>o</w:t>
      </w:r>
      <w:r>
        <w:t>ritering av behov.</w:t>
      </w:r>
    </w:p>
    <w:p w:rsidR="00D24D21" w:rsidRDefault="00D24D21" w:rsidP="00CE47F2">
      <w:r>
        <w:t>Dersom helsenæringen har innsikt i og arbeider for å løse behov som helse- og omsorgstjenesten og pasientene har, vil det øke mulighetene for at produktene tas i bruk og spres. Bruk av tjenestedesign og metoder for analyse og utvikling av pasient- og brukerforløp, har i den senere tid fått økt op</w:t>
      </w:r>
      <w:r>
        <w:t>p</w:t>
      </w:r>
      <w:r>
        <w:t>merksomhet som viktige virkemidler for å identifisere og konkretisere brukerbehov. I mange tilfeller vil innovative bedrifter i næringslivet kunne finne løsninger på problemer tjenestene ikke hadde tenkt på at de hadde. For næringsaktører vil analyser av og dialog med markedet og helse- og o</w:t>
      </w:r>
      <w:r>
        <w:t>m</w:t>
      </w:r>
      <w:r>
        <w:t>sorgstjenesten være helt se</w:t>
      </w:r>
      <w:r>
        <w:t>n</w:t>
      </w:r>
      <w:r>
        <w:t>tralt.</w:t>
      </w:r>
    </w:p>
    <w:p w:rsidR="00D24D21" w:rsidRDefault="00D24D21" w:rsidP="00CE47F2">
      <w:r>
        <w:t>De siste årene har pasientenes, brukernes og helsepersonellets rolle og innflytelse i utvikling av tj</w:t>
      </w:r>
      <w:r>
        <w:t>e</w:t>
      </w:r>
      <w:r>
        <w:t>nestene styrket, både i Norge og internasjonalt. Næringslivet må derfor være bevisst og legge til rette for at bruker- og pasien</w:t>
      </w:r>
      <w:r>
        <w:t>t</w:t>
      </w:r>
      <w:r>
        <w:t>perspektivet ivaretas i hele forsknings- og innovasjonsprosessen, fra idé til innføring i tjenesten.</w:t>
      </w:r>
    </w:p>
    <w:p w:rsidR="00D24D21" w:rsidRDefault="00D24D21" w:rsidP="00CE47F2">
      <w:r>
        <w:t>Fra helse- og omsorgstjenestens side bør det i større grad arbeides systematisk for å identifisere behov for forbedring og innovasjon. Slikt arbeid bør ta utgangspunkt i brukere, pasienter og hels</w:t>
      </w:r>
      <w:r>
        <w:t>e</w:t>
      </w:r>
      <w:r>
        <w:t>personell. I tillegg må ledere, myndigheter og andre arbeide systematisk for å identifisere behov og muligheter, enten det er innenfor pasien</w:t>
      </w:r>
      <w:r>
        <w:t>t</w:t>
      </w:r>
      <w:r>
        <w:t>sikkerhet, kvaliteten på tjenestene eller på grunnlag av utvikling innenfor medisin, teknologi, demografi eller sykdomsbyrde. Forskning, helsedataanalyser og framskrivninger er verktøy for dette.</w:t>
      </w:r>
    </w:p>
    <w:p w:rsidR="00D24D21" w:rsidRDefault="00D24D21" w:rsidP="00CE47F2">
      <w:r>
        <w:t>Tjenesten må ha kapasitet, kunnskap og kompetanse til å definere behovene sine og til å komm</w:t>
      </w:r>
      <w:r>
        <w:t>u</w:t>
      </w:r>
      <w:r>
        <w:t>nisere dem utad. Det må være dialog mellom tjenesten og næringslivet om utfordringer, mulige løsninger og samarbeid. For å understøtte denne dialogen må dagens samarbeidsarenaer videreu</w:t>
      </w:r>
      <w:r>
        <w:t>t</w:t>
      </w:r>
      <w:r>
        <w:t>vikles og det må etableres synlige kontak</w:t>
      </w:r>
      <w:r>
        <w:t>t</w:t>
      </w:r>
      <w:r>
        <w:t>punkter i tjenesten der helsenæringen kan henvende seg, eksempelvis utpr</w:t>
      </w:r>
      <w:r>
        <w:t>ø</w:t>
      </w:r>
      <w:r>
        <w:t>vingsenheter eller kontaktpunkt for kliniske studier.</w:t>
      </w:r>
    </w:p>
    <w:p w:rsidR="00D24D21" w:rsidRDefault="00D24D21" w:rsidP="00CE47F2">
      <w:pPr>
        <w:pStyle w:val="avsnitt-undertittel"/>
      </w:pPr>
      <w:r>
        <w:t>Helthetlig utviklingsløp for helseinnovasjon</w:t>
      </w:r>
    </w:p>
    <w:p w:rsidR="00D24D21" w:rsidRDefault="00D24D21" w:rsidP="00CE47F2">
      <w:r>
        <w:t>Det finnes i dag en rekke ulike virkemidler for støtte til forskning og utvikling, innovasjon, ko</w:t>
      </w:r>
      <w:r>
        <w:t>m</w:t>
      </w:r>
      <w:r>
        <w:t>mersialisering, oppskalering, infrastruktur og offentlig-privat samarbeid. Noen har næringspolitiske formål og andre har helsepolitiske formål. I noen sammenhenger er det en utfordring at disse vi</w:t>
      </w:r>
      <w:r>
        <w:t>r</w:t>
      </w:r>
      <w:r>
        <w:t>kemidlene ikke er koordinerte. En utfordring er knyttet til at ingen av disse likestiller verdiskaping for bedriften med verd</w:t>
      </w:r>
      <w:r>
        <w:t>i</w:t>
      </w:r>
      <w:r>
        <w:t>skaping i offentlig helsetjeneste. Dette kan medføre at prosjekter som tar sikte på å utvikle løsninger som kan gi en potensielt høy verdiskaping i helsetjenestene, men bare en alminnelig avkastning på bedriftsn</w:t>
      </w:r>
      <w:r>
        <w:t>i</w:t>
      </w:r>
      <w:r>
        <w:t>vå, ikke når opp i åpne konkurransearenaer. En annen utfordring er knyttet til at det i dag finansieres et b</w:t>
      </w:r>
      <w:r>
        <w:t>e</w:t>
      </w:r>
      <w:r>
        <w:t>tydelig antall lovende forsknings- og innovasjonsprosjekter i næringslivet rettet mot helse- og omsorg</w:t>
      </w:r>
      <w:r>
        <w:t>s</w:t>
      </w:r>
      <w:r>
        <w:t>tjenesten, men at mange av disse har utfordringer med å få videreutviklet, solgt og implementert lø</w:t>
      </w:r>
      <w:r>
        <w:t>s</w:t>
      </w:r>
      <w:r>
        <w:t>ningene i helse- og omsorgstjenesten i Norge.</w:t>
      </w:r>
    </w:p>
    <w:p w:rsidR="00D24D21" w:rsidRDefault="00D24D21" w:rsidP="00CE47F2">
      <w:r>
        <w:t>Ved å se enkelte av disse virkemidlene mer i sammenheng, kan vi få raskere og mer treffsikre i</w:t>
      </w:r>
      <w:r>
        <w:t>n</w:t>
      </w:r>
      <w:r>
        <w:t>novasjonsløp og lettere implementering i tjenesten. Dette kan gi bedre og mer effektive helsetj</w:t>
      </w:r>
      <w:r>
        <w:t>e</w:t>
      </w:r>
      <w:r>
        <w:lastRenderedPageBreak/>
        <w:t>nester, og samtidig utvikle bedrifter i helsenæringen som leverer de varene og tjenestene som trengs i det norske hjemmemarkedet.</w:t>
      </w:r>
    </w:p>
    <w:p w:rsidR="00D24D21" w:rsidRDefault="00D24D21" w:rsidP="00CE47F2">
      <w:r>
        <w:t>Regjeringen vil derfor utrede hvordan ulike virkemidler for forskning og innovasjon i kombinasjon kan bidra til et mer helhetlig løp fram mot implementering av ny teknologi og nye løsninger i helse- og omsorgstjenesten. Sentrale aktører i dette arbeidet vil være Forskningsrådet, Innovasjon Norge og helseforetakene. Formålet er å bidra til bedre og mer effektive helse- og omsorgstjenester og sa</w:t>
      </w:r>
      <w:r>
        <w:t>m</w:t>
      </w:r>
      <w:r>
        <w:t>tidig utvikle bedrifter i helsenæringen som leverer de varene og tjenestene som trengs i det norske hjemmemarkedet. Behovene i helse- og omsorgstjenesten må derfor være avgjørende for utarbe</w:t>
      </w:r>
      <w:r>
        <w:t>i</w:t>
      </w:r>
      <w:r>
        <w:t>delsen av et slikt helthelig løp.</w:t>
      </w:r>
    </w:p>
    <w:p w:rsidR="00D24D21" w:rsidRDefault="00D24D21" w:rsidP="00CE47F2">
      <w:r>
        <w:t>En mulig ordning bør være rettet mot større og komplekse prosjekter som krever samarbeid mellom en eller flere bedrifter og en eller flere offentlige aktører i helsetjenesten, samt en eller flere fors</w:t>
      </w:r>
      <w:r>
        <w:t>k</w:t>
      </w:r>
      <w:r>
        <w:t>ningsorganisasjoner. Lignende ordninger er etablert innenfor helse i Storbritannia og Sverige, og innenfor energi (Pilot-E) og transportsektoren (Pilot-T) i Norge. Disse ordningene er ulikt innrettet, og erfaring</w:t>
      </w:r>
      <w:r>
        <w:t>s</w:t>
      </w:r>
      <w:r>
        <w:t>grunnlag fra disse bør ses på i forbindelse med en utredning av ordningen.</w:t>
      </w:r>
    </w:p>
    <w:p w:rsidR="00D24D21" w:rsidRDefault="00D24D21" w:rsidP="00CE47F2">
      <w:pPr>
        <w:pStyle w:val="Overskrift2"/>
      </w:pPr>
      <w:r>
        <w:t>Utvikling gjennom forskning og innovasjon</w:t>
      </w:r>
    </w:p>
    <w:p w:rsidR="00D24D21" w:rsidRDefault="00D24D21" w:rsidP="00CE47F2">
      <w:r>
        <w:t>Utvikling av nye produkter og tjenester kan være drevet både av tilbud og etterspørsel. I noen tilfeller vil tjenesten ut fra sine behov etterspørre noe nytt i markedet, i andre tilfeller vil industrien eller tjenesten basere sine forsknings- eller innovasjonsprosjekter ut i fra definerte behov. Offentlige anskaffelser er et viktig virkemiddel for å utvikle og innføre nye løsninger.</w:t>
      </w:r>
    </w:p>
    <w:p w:rsidR="00D24D21" w:rsidRDefault="00D24D21" w:rsidP="00CE47F2">
      <w:pPr>
        <w:pStyle w:val="Overskrift3"/>
      </w:pPr>
      <w:r>
        <w:t>Samspill mellom næringslivet og forskningsmiljøer i offentlig sektor</w:t>
      </w:r>
    </w:p>
    <w:p w:rsidR="00D24D21" w:rsidRDefault="00D24D21" w:rsidP="00CE47F2">
      <w:r>
        <w:t>Næringslivet trenger tilgang til sterke fagmiljøer og infrastruktur for å utvikle nye produkter. Norsk he</w:t>
      </w:r>
      <w:r>
        <w:t>l</w:t>
      </w:r>
      <w:r>
        <w:t>seforskning har forskningsmiljøer av høy kvalitet innenfor blant annet kreft, nevrovitenskap, epidemiologi og billedteknologi. Samtidig går internasjonal utvikling fort, og det er behov for å utvikle flere toppfors</w:t>
      </w:r>
      <w:r>
        <w:t>k</w:t>
      </w:r>
      <w:r>
        <w:t>ningsmiljøer, både innenfor grunnforskning og anvendt helseforskning. Helse- og omsorgsforskning og forskningsdrevet innovasjon finansieres av flere departementer gjennom Forskningsrådet, og dekker grunnleggende og anvendt forskning. Regjeringens satsing på livsv</w:t>
      </w:r>
      <w:r>
        <w:t>i</w:t>
      </w:r>
      <w:r>
        <w:t>tenskap vil bidra til å styrke grunnleggende forskning og anvendt forskning, som igjen danner grunnlag for innovasjon og næringsvirkso</w:t>
      </w:r>
      <w:r>
        <w:t>m</w:t>
      </w:r>
      <w:r>
        <w:t>het. Kobling til aktører i helsetjenesten for å forstå behov for ny kunnskap, tjenester og løsninger vil sty</w:t>
      </w:r>
      <w:r>
        <w:t>r</w:t>
      </w:r>
      <w:r>
        <w:t>ke mulighetene for industrielle aktører til å lykkes.</w:t>
      </w:r>
    </w:p>
    <w:p w:rsidR="00D24D21" w:rsidRDefault="00D24D21" w:rsidP="00CE47F2">
      <w:r>
        <w:t>Forskning er én av fire lovpålagte oppgaver i spesialisthelsetjenesten, i tillegg til pasientbehandling, utdanning og opplæring av pasienter og pårørende. Kommunene har et lovpålagt medvirkningsa</w:t>
      </w:r>
      <w:r>
        <w:t>n</w:t>
      </w:r>
      <w:r>
        <w:t>svar for forskning. Forskning og innovasjon inngår i samarbeidsavtalene mellom kommunene og spesialisthelsetjenesten. Formålet med lovp</w:t>
      </w:r>
      <w:r>
        <w:t>å</w:t>
      </w:r>
      <w:r>
        <w:t>lagt ansvar eller medvirkningsansvar er blant annet å knytte forskningen tett til tjenestens behov for kunnskap og til pasientbehandling. Det er etablert flere nasjonale kompetansesentre utenfor spesialisthelsetjenesten, hvor forskning inngår i sa</w:t>
      </w:r>
      <w:r>
        <w:t>m</w:t>
      </w:r>
      <w:r>
        <w:t>funnsoppdraget. Disse skal rapportere på forskningsindikatorer fra 2018, og vil på sikt inngå i r</w:t>
      </w:r>
      <w:r>
        <w:t>e</w:t>
      </w:r>
      <w:r>
        <w:t>sultatbaserte finansieringssystemer for å stimulere til forskning av høy kvalitet på lik linje med de regionale helseforetakene og universitets- og høysk</w:t>
      </w:r>
      <w:r>
        <w:t>o</w:t>
      </w:r>
      <w:r>
        <w:t>lesektoren.</w:t>
      </w:r>
    </w:p>
    <w:p w:rsidR="00D24D21" w:rsidRDefault="00D24D21" w:rsidP="00CE47F2">
      <w:pPr>
        <w:pStyle w:val="tittel-ramme"/>
      </w:pPr>
      <w:r>
        <w:lastRenderedPageBreak/>
        <w:t>Livsvitenskapsbygget ved Universitetet i Oslo</w:t>
      </w:r>
    </w:p>
    <w:p w:rsidR="00D24D21" w:rsidRDefault="00D24D21" w:rsidP="00CE47F2">
      <w:r>
        <w:t>Bygg for kjemi, farmasi og livsvitenskap (Livsvitenskapsbygget) ved Universitetet i Oslo (UiO) skal stå ferdig i 2024, og skal gi økt verdiskaping og sikre Norge internasjonal konkurransekraft innenfor livsvitenskap. Om lag 1 000 ansatte og 1 600 studenter skal ha sitt daglige virke i bygget. Stortinget vedtok i statsbudsjettet for 2018 en startbevilgning på 45 mill. kroner og fem mill. kroner til utre</w:t>
      </w:r>
      <w:r>
        <w:t>d</w:t>
      </w:r>
      <w:r>
        <w:t>ning av brukerutstyr. Byggeprosjektet har en kostnadsramme på 5,7 mrd. kroner, og i tillegg kommer brukerutstyr for 1,1 mrd. kroner.</w:t>
      </w:r>
    </w:p>
    <w:p w:rsidR="00D24D21" w:rsidRDefault="00D24D21" w:rsidP="00CE47F2">
      <w:r>
        <w:t>Livsvitenskapsbygget skal gi realfagene og livsvitenskap, og i særdeleshet medisinsk og helsefaglig forskning, gode rammevilkår i framtiden. Det tette samarbeidet med helseforetak, kommuner og næringsliv skal gi høyere kvalitet og relevans i forskning og utdanning av morgendagens arbeid</w:t>
      </w:r>
      <w:r>
        <w:t>s</w:t>
      </w:r>
      <w:r>
        <w:t>kraft.</w:t>
      </w:r>
    </w:p>
    <w:p w:rsidR="00D24D21" w:rsidRDefault="00D24D21" w:rsidP="00CE47F2">
      <w:r>
        <w:t>Livsvitenskapsbygget skal være et åpent bygg og én dør inn for eksterne partnere. Eksterne aktører vil ha tilgang til både kontorer, møterom, åpne soner, laboratorieareal, og tungt vitenskapelig utstyr. Bygget skal ha en ny enhet for innovasjon, samfunns- og næringslivskontakt. Enheten og hele bygget skal innrettes for å stimulere til samspill slik at UiO sammen med eksterne partnere utnytter ko</w:t>
      </w:r>
      <w:r>
        <w:t>m</w:t>
      </w:r>
      <w:r>
        <w:t>petansen og infrastrukturen i bygget til beste for samfunn og næringsliv.</w:t>
      </w:r>
    </w:p>
    <w:p w:rsidR="00D24D21" w:rsidRDefault="00D24D21" w:rsidP="00CE47F2">
      <w:r>
        <w:t>En arbeidsgruppe med interne og eksterne representanter har gitt innspill til hvordan enheten skal organiseres og innrettes. Arbeidsgruppen har kommet med anbefalinger om bemanning for prof</w:t>
      </w:r>
      <w:r>
        <w:t>e</w:t>
      </w:r>
      <w:r>
        <w:t>sjonell drift av enheten, area</w:t>
      </w:r>
      <w:r>
        <w:t>l</w:t>
      </w:r>
      <w:r>
        <w:t>behov for ulike funksjoner og aktiviteter som trengs for å få til det samspillet UiO ønsker. Et nytt bygg for livsv</w:t>
      </w:r>
      <w:r>
        <w:t>i</w:t>
      </w:r>
      <w:r>
        <w:t>tenskap vil bidra til å videreutvikle fagmiljøene og samarbeidet med bioteknologiindustrien i Oslo-området, samtidig som det vil være positivt for verdiskapingen i Norge.</w:t>
      </w:r>
    </w:p>
    <w:p w:rsidR="00D24D21" w:rsidRDefault="00E636F4" w:rsidP="00E636F4">
      <w:pPr>
        <w:pStyle w:val="Figur"/>
      </w:pPr>
      <w:r>
        <w:rPr>
          <w:noProof/>
        </w:rPr>
        <w:t>[:figur:figX-X.jpg]</w:t>
      </w:r>
    </w:p>
    <w:p w:rsidR="00D24D21" w:rsidRDefault="00D24D21" w:rsidP="00CE47F2">
      <w:pPr>
        <w:pStyle w:val="figur-tittel"/>
      </w:pPr>
      <w:r>
        <w:t>Statsminister Erna Solberg starter gravearbeidene på Livsvitenskapsbygget 8. februar 2019.</w:t>
      </w:r>
    </w:p>
    <w:p w:rsidR="00D24D21" w:rsidRDefault="00D24D21" w:rsidP="00CE47F2">
      <w:pPr>
        <w:pStyle w:val="figur-noter"/>
      </w:pPr>
      <w:r>
        <w:t>Foto: Universitetet i Oslo/Terje Heiestad</w:t>
      </w:r>
    </w:p>
    <w:p w:rsidR="00D24D21" w:rsidRDefault="00D24D21">
      <w:pPr>
        <w:pStyle w:val="Ramme-slutt"/>
        <w:rPr>
          <w:sz w:val="26"/>
          <w:szCs w:val="26"/>
        </w:rPr>
      </w:pPr>
      <w:r>
        <w:rPr>
          <w:sz w:val="26"/>
          <w:szCs w:val="26"/>
        </w:rPr>
        <w:t>[Boks slutt]</w:t>
      </w:r>
    </w:p>
    <w:p w:rsidR="00D24D21" w:rsidRDefault="00D24D21" w:rsidP="00CE47F2">
      <w:pPr>
        <w:pStyle w:val="Overskrift3"/>
      </w:pPr>
      <w:r>
        <w:t>Innovasjon i helse- og omsorgstjenesten</w:t>
      </w:r>
    </w:p>
    <w:p w:rsidR="00D24D21" w:rsidRDefault="00D24D21" w:rsidP="00CE47F2">
      <w:r>
        <w:t>For alle deler av helse- og omsorgstjenesten er det viktig at næringslivet betraktes som aktører det er legitimt og positivt å samarbeide med, forutsatt at samarbeidet er transparent, forutsigbart og at rutiner er på plass og følges. Store kommuner og de regionale helseforetakene må anerkjenne sin rolle som innovatører av både produkter og tjenester, og utvikle modeller og programmer som v</w:t>
      </w:r>
      <w:r>
        <w:t>i</w:t>
      </w:r>
      <w:r>
        <w:t>dereutvikler disse roll</w:t>
      </w:r>
      <w:r>
        <w:t>e</w:t>
      </w:r>
      <w:r>
        <w:t>ne, i samarbeid med næringslivet. Selv om innovasjon innenfor helse og omsorg er et område med til dels høy risiko, er det viktig at det skapes rom for innovasjon, og at det er vilje til å prøve ut nye løsninger. Etablering av såkalte sandkasser for utprøving, innovasjon</w:t>
      </w:r>
      <w:r>
        <w:t>s</w:t>
      </w:r>
      <w:r>
        <w:t>arenaer og klynger er eksempler på dette.</w:t>
      </w:r>
    </w:p>
    <w:p w:rsidR="00D24D21" w:rsidRDefault="00D24D21" w:rsidP="00CE47F2">
      <w:r>
        <w:t>Det har vært en økende innovasjonsaktivitet i sykehusene og kommunene, men det er lokale vari</w:t>
      </w:r>
      <w:r>
        <w:t>a</w:t>
      </w:r>
      <w:r>
        <w:t>sjoner og fortsatt et uutnyttet potensial, spesielt med tanke på hvor tidlig næringslivet involveres. Det er de</w:t>
      </w:r>
      <w:r>
        <w:t>r</w:t>
      </w:r>
      <w:r>
        <w:t xml:space="preserve">for viktig at tjenesten og næringslivet etablerer møteplasser og aktivt involverer hverandre i </w:t>
      </w:r>
      <w:r>
        <w:lastRenderedPageBreak/>
        <w:t>innovasjonspr</w:t>
      </w:r>
      <w:r>
        <w:t>o</w:t>
      </w:r>
      <w:r>
        <w:t>sjekter på et tidlig stadium, gjerne allerede i idefasen. I mange tilfeller tar det for lang tid fra et behov er identifisert til det er etablert et marked for produkter og tjenester.</w:t>
      </w:r>
    </w:p>
    <w:p w:rsidR="00D24D21" w:rsidRDefault="00D24D21" w:rsidP="00CE47F2">
      <w:r>
        <w:t>Det er etablert flere virkemidler for å stimulere til innovasjon i helse- og omsorgstjenesten. Disse omfatter fors</w:t>
      </w:r>
      <w:r>
        <w:t>k</w:t>
      </w:r>
      <w:r>
        <w:t>nings- og innovasjonsprogrammer og satsinger gjennom Norges forskningsråd og Innovasjon Norge, og særskilte nettverk og programmer som InnoMed og Nasjonalt velferdste</w:t>
      </w:r>
      <w:r>
        <w:t>k</w:t>
      </w:r>
      <w:r>
        <w:t>nologiprogram. InnoMed er et nasjonalt komp</w:t>
      </w:r>
      <w:r>
        <w:t>e</w:t>
      </w:r>
      <w:r>
        <w:t>tansenettverk for behovsdrevet innovasjon i helse- og omsorgstjenesten. Løsningene skal være forankret i nasjonale behov, ha internasjonale marked</w:t>
      </w:r>
      <w:r>
        <w:t>s</w:t>
      </w:r>
      <w:r>
        <w:t>muligheter og utvikles i tett samarbeid mellom brukerne, norske bedrifter, ane</w:t>
      </w:r>
      <w:r>
        <w:t>r</w:t>
      </w:r>
      <w:r>
        <w:t>kjente fagmiljøer og virkemiddelapparatet. For ko</w:t>
      </w:r>
      <w:r>
        <w:t>m</w:t>
      </w:r>
      <w:r>
        <w:t>muner som skal ta i bruk velferdsteknologi bistår InnoMed blant annet med tjenestedesign og prosessveiledning. Fra 2019 ligger ansvaret for InnoMed i de regionale hels</w:t>
      </w:r>
      <w:r>
        <w:t>e</w:t>
      </w:r>
      <w:r>
        <w:t>foretakene i et tett samarbeid med KS. Det er over tid bygd opp mye kompetanse gjennom nettverket, og det er viktig at de ulike aktørene innenfor helseinnovasjon er kjent med nasjonale satsinger som InnoMed, og hvilke muligheter som fi</w:t>
      </w:r>
      <w:r>
        <w:t>n</w:t>
      </w:r>
      <w:r>
        <w:t>nes.</w:t>
      </w:r>
    </w:p>
    <w:p w:rsidR="00D24D21" w:rsidRDefault="00D24D21" w:rsidP="00CE47F2">
      <w:r>
        <w:t>Innovasjon finansieres innenfor «sørge-for»-ansvaret til de regionale helseforetakene. Helse- og omsorgsdepa</w:t>
      </w:r>
      <w:r>
        <w:t>r</w:t>
      </w:r>
      <w:r>
        <w:t>tementet har siden 2007 satt krav om innovasjon og innovative offentlige anskaffelser til de regionale helseforetakene. Innovasjon er ikke en lovpålagt oppgave, men de regionale hels</w:t>
      </w:r>
      <w:r>
        <w:t>e</w:t>
      </w:r>
      <w:r>
        <w:t>foretakene har i flere år rapportert på innovasjonsaktivitet, som inngåtte kontrakter, patenter og antall oppdragsforskningsprosjekter.</w:t>
      </w:r>
      <w:r>
        <w:rPr>
          <w:vertAlign w:val="superscript"/>
        </w:rPr>
        <w:footnoteReference w:id="49"/>
      </w:r>
      <w:r>
        <w:t xml:space="preserve"> I flere helser</w:t>
      </w:r>
      <w:r>
        <w:t>e</w:t>
      </w:r>
      <w:r>
        <w:t>gioner er det etablert idemottak, og de regionale helseforetakene setter av egne midler til utlysning av innov</w:t>
      </w:r>
      <w:r>
        <w:t>a</w:t>
      </w:r>
      <w:r>
        <w:t>sjonsprosjekter. Flere av disse har også etablert årlige innov</w:t>
      </w:r>
      <w:r>
        <w:t>a</w:t>
      </w:r>
      <w:r>
        <w:t>sjonspriser og stipend i egen region.</w:t>
      </w:r>
    </w:p>
    <w:p w:rsidR="00D24D21" w:rsidRDefault="00D24D21" w:rsidP="00CE47F2">
      <w:r>
        <w:t>KS har laget en delingsportal for kommunale innovasjonsprosjekter. I komINN kan alle kommuner og fylke</w:t>
      </w:r>
      <w:r>
        <w:t>s</w:t>
      </w:r>
      <w:r>
        <w:t>kommuner dele kunnskap, få erfaringer og hente inspirasjon. Målet er å unngå at andre skal bruke unødvendig tid og krefter på det noen allerede har gjort. Mange kommuner kan ha stort utbytte av å kjøpe eksterne konsulenttj</w:t>
      </w:r>
      <w:r>
        <w:t>e</w:t>
      </w:r>
      <w:r>
        <w:t>nester, for eksempel en tjenestedesigner, for å optimalisere prosessen fra idé til innovasjon og implementering i praksis.</w:t>
      </w:r>
    </w:p>
    <w:p w:rsidR="00D24D21" w:rsidRDefault="00D24D21" w:rsidP="00CE47F2">
      <w:r>
        <w:t>Fylkesmennene forvalter tilskuddsmidler til kompetanse og innovasjon. Formålet med tilskuddet er å styrke kommunenes evne og mulighet til å utvikle bærekraftige og gode helse- og omsorgstjenester, og gi en tydelig prioritet til noen av de viktigste utfordringene kommunene står overfor på helse- og omsorg</w:t>
      </w:r>
      <w:r>
        <w:t>s</w:t>
      </w:r>
      <w:r>
        <w:t>feltet. Det ble i 2016 blant annet gitt tilskudd til 350 innovasjonsprosjekter, der hoveddelen av prosjektene omhandler velferdsteknologi, forebygging og egenmestring, og til prosjekter som skal utvikle nye og framtidsrettede løsninger for forebygging, tidlig innsats og samspill med pårørende og frivillige i o</w:t>
      </w:r>
      <w:r>
        <w:t>m</w:t>
      </w:r>
      <w:r>
        <w:t>sorgstjenesten generelt og demensomsorgen spesielt.</w:t>
      </w:r>
    </w:p>
    <w:p w:rsidR="00D24D21" w:rsidRDefault="00D24D21" w:rsidP="00CE47F2">
      <w:pPr>
        <w:pStyle w:val="Overskrift3"/>
      </w:pPr>
      <w:r>
        <w:t>Offentlige anskaffelser som verktøy for innovasjon</w:t>
      </w:r>
    </w:p>
    <w:p w:rsidR="00D24D21" w:rsidRDefault="00D24D21" w:rsidP="00CE47F2">
      <w:r>
        <w:t>Offentlig sektor kjøper inn varer og tjenester for om lag 500 mrd. kroner årlig. Anskaffelsesrege</w:t>
      </w:r>
      <w:r>
        <w:t>l</w:t>
      </w:r>
      <w:r>
        <w:t>verket skal fremme effektiv bruk av samfunnets ressurser, og samtidig bidra til at det offentlige opptrer med integritet. Regjeringen vil at offentlige anskaffelser skal bidra til mer innovasjon. Bedre metoder for in</w:t>
      </w:r>
      <w:r>
        <w:t>n</w:t>
      </w:r>
      <w:r>
        <w:t>kjøp kan bidra til bedre løsninger innenfor helse og omsorg og et mer innovativt og omstillingsdyktig næringsliv.</w:t>
      </w:r>
    </w:p>
    <w:p w:rsidR="00D24D21" w:rsidRDefault="00D24D21" w:rsidP="00CE47F2">
      <w:r>
        <w:lastRenderedPageBreak/>
        <w:t>Nærings- og fiskeridepartementet skal legge fram en stortingsmelding om offentlige anskaffelser.</w:t>
      </w:r>
      <w:r>
        <w:rPr>
          <w:vertAlign w:val="superscript"/>
        </w:rPr>
        <w:footnoteReference w:id="50"/>
      </w:r>
      <w:r>
        <w:t xml:space="preserve"> Det er et stort potensial for å utføre offentlige anskaffelser bedre og mer effektivt. Det er også et behov for å øke kompetansen hos offentlige oppdragsgivere. Meldingen om anskaffelser tar opp flere problemstillinger som er relevant for offentlige anskaffelser innenfor helse og omsorg. Denne me</w:t>
      </w:r>
      <w:r>
        <w:t>l</w:t>
      </w:r>
      <w:r>
        <w:t>dingen trekker fram at innovative, offentlige anskaffelser er særlig aktuelt for å bidra til omstilling innenfor blant annet helse og aldring.</w:t>
      </w:r>
    </w:p>
    <w:p w:rsidR="00D24D21" w:rsidRDefault="00D24D21" w:rsidP="00CE47F2">
      <w:pPr>
        <w:pStyle w:val="avsnitt-undertittel"/>
      </w:pPr>
      <w:r>
        <w:t>Kompetansebehov hos innkjøpere</w:t>
      </w:r>
    </w:p>
    <w:p w:rsidR="00D24D21" w:rsidRDefault="00D24D21" w:rsidP="00CE47F2">
      <w:r>
        <w:t>For å oppnå gode og effektive anskaffelser kreves det at oppdragsgiverne bruker handlingsrommet i regelverket godt. For å oppnå gode anskaffelser kreves det tid, ressurser og relevant kompetanse om lede</w:t>
      </w:r>
      <w:r>
        <w:t>l</w:t>
      </w:r>
      <w:r>
        <w:t>se av anskaffelsesfunksjonen og gjennomføring av anskaffelsesprosesser. Manglende kapasitet, ressurser og kompetanse kan særlig være problem for mindre kommuner, for anskaffelser som er store eller for anskaffelser av spesialiserte varer og tjenester. Dette kan resultere i gjenbruk av ti</w:t>
      </w:r>
      <w:r>
        <w:t>d</w:t>
      </w:r>
      <w:r>
        <w:t>ligere konkurrans</w:t>
      </w:r>
      <w:r>
        <w:t>e</w:t>
      </w:r>
      <w:r>
        <w:t>grunnlag og at det i manglende grad åpnes for nye løsninger i anskaffelsen. I tillegg til at dette reduserer innovasjonspotensialet, blir det krevende for næringslivet å skalere opp når volumet er lite, eller innkj</w:t>
      </w:r>
      <w:r>
        <w:t>ø</w:t>
      </w:r>
      <w:r>
        <w:t>perne krever spesialtilpasning av produktene.</w:t>
      </w:r>
    </w:p>
    <w:p w:rsidR="00D24D21" w:rsidRDefault="00D24D21" w:rsidP="00CE47F2">
      <w:r>
        <w:t>Den desentraliserte organiseringen av innkjøp i helse- og omsorgstjenesten gjør at hver kommune eller helseforetak har et selvstendig ansvar for å sørge for at de som skal lede og gjennomføre a</w:t>
      </w:r>
      <w:r>
        <w:t>n</w:t>
      </w:r>
      <w:r>
        <w:t>skaffelsesprosesser har den nø</w:t>
      </w:r>
      <w:r>
        <w:t>d</w:t>
      </w:r>
      <w:r>
        <w:t>vendige kompetansen til det. Flere offentlige oppdragsgivere ser det derfor som hensiktsmessig å samarbeide med andre for å spare penger og ressurser. Det finnes ulike typer innkjøpssamarbeid, fra midlertidige samarbeid om enkeltanskaffelser mellom to oppdragsg</w:t>
      </w:r>
      <w:r>
        <w:t>i</w:t>
      </w:r>
      <w:r>
        <w:t>vere, til perm</w:t>
      </w:r>
      <w:r>
        <w:t>a</w:t>
      </w:r>
      <w:r>
        <w:t>nente innkjøpssentraler som er etablert for å kjøpe inn varer og tjenester på vegne av en rekke virkso</w:t>
      </w:r>
      <w:r>
        <w:t>m</w:t>
      </w:r>
      <w:r>
        <w:t>heter. Det er stor variasjon på størrelsen av innkjøpssamarbeidene og hvordan de er organisert.</w:t>
      </w:r>
      <w:r>
        <w:rPr>
          <w:vertAlign w:val="superscript"/>
        </w:rPr>
        <w:footnoteReference w:id="51"/>
      </w:r>
      <w:r>
        <w:t xml:space="preserve"> I de regionale helseforetakene er innkjøp av legemidler, medisinsk utstyr m.m., sa</w:t>
      </w:r>
      <w:r>
        <w:t>m</w:t>
      </w:r>
      <w:r>
        <w:t>ordnet på tvers av de fire regionale helseforetakene gjennom etableringen av Sykehusinnkjøp HF, jf. omtale i boks 8.2.</w:t>
      </w:r>
    </w:p>
    <w:p w:rsidR="00D24D21" w:rsidRDefault="00D24D21" w:rsidP="00CE47F2">
      <w:r>
        <w:t>Det er en tendens til at innkjøpskompetansen og kapasiteten er størst hos de store, sentrale op</w:t>
      </w:r>
      <w:r>
        <w:t>p</w:t>
      </w:r>
      <w:r>
        <w:t>dragsgiverne og lavest hos de små og desentraliserte. En del kommunale innkjøpere havner i sis</w:t>
      </w:r>
      <w:r>
        <w:t>t</w:t>
      </w:r>
      <w:r>
        <w:t>nevnte kategori. Mange, og i noen tilfeller små, innkjøpsenheter skal foreta anskaffelser av ulike størrelser og verdi.</w:t>
      </w:r>
    </w:p>
    <w:p w:rsidR="00D24D21" w:rsidRDefault="00D24D21" w:rsidP="00CE47F2">
      <w:r>
        <w:t>Kommunale oppdragsgivere opplever at de bruker for liten tid på anskaffelsesprosessen.</w:t>
      </w:r>
      <w:r>
        <w:rPr>
          <w:vertAlign w:val="superscript"/>
        </w:rPr>
        <w:footnoteReference w:id="52"/>
      </w:r>
      <w:r>
        <w:t xml:space="preserve"> Pla</w:t>
      </w:r>
      <w:r>
        <w:t>n</w:t>
      </w:r>
      <w:r>
        <w:t>leggingsfasen og oppfølgingsfasen trekkes fram. Manglende kapasitet og innkjøpsfaglig kompetanse medfører at flere ikke gje</w:t>
      </w:r>
      <w:r>
        <w:t>n</w:t>
      </w:r>
      <w:r>
        <w:t>nomfører markedsundersøkelser og heller ikke bruker tilstrekkelig tid på vurdering av behov.</w:t>
      </w:r>
    </w:p>
    <w:p w:rsidR="00D24D21" w:rsidRDefault="00D24D21" w:rsidP="00CE47F2">
      <w:r>
        <w:lastRenderedPageBreak/>
        <w:t>Regjeringen vil utrede samordning av fylkeskommunale og kommunale innkjøp, slik det er b</w:t>
      </w:r>
      <w:r>
        <w:t>e</w:t>
      </w:r>
      <w:r>
        <w:t>skrevet i sto</w:t>
      </w:r>
      <w:r>
        <w:t>r</w:t>
      </w:r>
      <w:r>
        <w:t>tingsmeldingen om offentlige anskaffelser. En slik samordning kan være nyttig for anskaffelser innenfor helse</w:t>
      </w:r>
      <w:r>
        <w:t>n</w:t>
      </w:r>
      <w:r>
        <w:t>æringen, som ofte kan være komplekse og store i omfang, og det kan være flere fordeler ved at flere oppdragsgivere samarbeider. Et nylig eksempel på et slikt samarbeid er at 30 kommuner i Agder gått sammen om en fellesa</w:t>
      </w:r>
      <w:r>
        <w:t>n</w:t>
      </w:r>
      <w:r>
        <w:t>skaffelse av velferdsteknologi, jf. omtale i boks 6.4.</w:t>
      </w:r>
    </w:p>
    <w:p w:rsidR="00D24D21" w:rsidRDefault="00D24D21" w:rsidP="00CE47F2">
      <w:r>
        <w:t>Kjøp av hjelpemidler utgjør i dag en betydelig utgiftspost på offentlige budsjetter. Det er Arbeids- og velferdsetaten (NAV) som anskaffer hjelpemidler for dem som fyller vilkårene for rett til hjelp</w:t>
      </w:r>
      <w:r>
        <w:t>e</w:t>
      </w:r>
      <w:r>
        <w:t>midler etter folketrygdloven. I NAV er anskaffelsene på hjelpemiddelområdet sentralisert og samlet i en egen seksjon. Innenfor rammene av regelverket for offentlige anskaffelser arbeider NAV med å ivareta ulike mål og hensyn. Brukerne skal blant annet få god dekning for sine behov, samtidig som statens ressurser utnyttes effektivt. NAV har en omfattende ma</w:t>
      </w:r>
      <w:r>
        <w:t>r</w:t>
      </w:r>
      <w:r>
        <w:t>kedsdialog og gjennomfører jevnlig dialogkonferanser. De siste årene har de hatt som mål å i enda større grad bruke innovasjonskraften i næringslivet. I en rapport fra Oslo Economics konkluderes det med at det ikke er vesentlig effekt</w:t>
      </w:r>
      <w:r>
        <w:t>i</w:t>
      </w:r>
      <w:r>
        <w:t>viserings-potensial knyttet til hvordan NAV håndterer anskaffelsen av hjelpemidler.</w:t>
      </w:r>
      <w:r>
        <w:rPr>
          <w:vertAlign w:val="superscript"/>
        </w:rPr>
        <w:footnoteReference w:id="53"/>
      </w:r>
    </w:p>
    <w:p w:rsidR="00D24D21" w:rsidRDefault="00D24D21" w:rsidP="00CE47F2">
      <w:pPr>
        <w:pStyle w:val="tittel-ramme"/>
      </w:pPr>
      <w:r>
        <w:t>Sykehusinnkjøp HF</w:t>
      </w:r>
    </w:p>
    <w:p w:rsidR="00D24D21" w:rsidRDefault="00D24D21" w:rsidP="00CE47F2">
      <w:r>
        <w:t>I 2015 ble Sykehusinnkjøp HF etablert slik at  alle innkjøpsorganisasjonene i spesialisthelsetjene</w:t>
      </w:r>
      <w:r>
        <w:t>s</w:t>
      </w:r>
      <w:r>
        <w:t>ten ble samlet i ett foretak som eies av de regionale helseforetakene i fellesskap. Dette gir et selskap med strategisk og operativt ansvar for innkjøp i spesialisthelsetjenesten. I stiftelsesprotokollen framgår det at Syk</w:t>
      </w:r>
      <w:r>
        <w:t>e</w:t>
      </w:r>
      <w:r>
        <w:t>husinnkjøp skal fremme innovasjon og legge til rette for nye innovative løsninger i spesialisthelsetjene</w:t>
      </w:r>
      <w:r>
        <w:t>s</w:t>
      </w:r>
      <w:r>
        <w:t>ten. Tradisjonell åpen anskaffelse er imidlertid fortsatt mest brukt. I mange tilfeller vil denne anskaffelsesfo</w:t>
      </w:r>
      <w:r>
        <w:t>r</w:t>
      </w:r>
      <w:r>
        <w:t>men være den mest hensiktsmessige og effektive formen. I andre tilfeller kan en differensiert ti</w:t>
      </w:r>
      <w:r>
        <w:t>l</w:t>
      </w:r>
      <w:r>
        <w:t>nærming til anskaffelsene gi bedre måloppnåelse, jf. Sykehusinnkjøp sin legemiddelstrategi.</w:t>
      </w:r>
    </w:p>
    <w:p w:rsidR="00D24D21" w:rsidRDefault="00D24D21">
      <w:pPr>
        <w:pStyle w:val="Ramme-slutt"/>
        <w:rPr>
          <w:sz w:val="26"/>
          <w:szCs w:val="26"/>
        </w:rPr>
      </w:pPr>
      <w:r>
        <w:rPr>
          <w:sz w:val="26"/>
          <w:szCs w:val="26"/>
        </w:rPr>
        <w:t>[Boks slutt]</w:t>
      </w:r>
    </w:p>
    <w:p w:rsidR="00D24D21" w:rsidRDefault="00D24D21" w:rsidP="00CE47F2">
      <w:pPr>
        <w:pStyle w:val="avsnitt-undertittel"/>
      </w:pPr>
      <w:r>
        <w:t>Oppdeling av kontrakter</w:t>
      </w:r>
    </w:p>
    <w:p w:rsidR="00D24D21" w:rsidRDefault="00D24D21" w:rsidP="00CE47F2">
      <w:r>
        <w:t>Oppdeling av anskaffelser kan gi økt konkurranse om oppdraget, ved at delkontraktene er bedre tilpasset små og mellomstore bedrifters kapasitet, fagområde eller geografiske plassering. Oppdeling av anskaffelser kan skje på ulike måter, for eksempel kvantitativt, geografisk eller etter ulike pr</w:t>
      </w:r>
      <w:r>
        <w:t>o</w:t>
      </w:r>
      <w:r>
        <w:t>dukter eller typer tjenester. Det er opp til oppdragsgiverne å vurdere om en kontrakt skal deles opp, og i så fall hva som skal være størrelsen på og innholdet i de enkelte delkontraktene. Oppdragsgivere har ikke anledning til å dele opp en kontrakt med det formål å unnta kontrakten fra regelverksfo</w:t>
      </w:r>
      <w:r>
        <w:t>r</w:t>
      </w:r>
      <w:r>
        <w:t>skriftene. For anskaffelser over visse terskelverdier er oppdragsgiver forpliktet til å vurdere om en anskaffelse skal deles opp.</w:t>
      </w:r>
    </w:p>
    <w:p w:rsidR="00D24D21" w:rsidRDefault="00D24D21" w:rsidP="00CE47F2">
      <w:pPr>
        <w:pStyle w:val="avsnitt-undertittel"/>
      </w:pPr>
      <w:r>
        <w:lastRenderedPageBreak/>
        <w:t>Dialog med markedet</w:t>
      </w:r>
    </w:p>
    <w:p w:rsidR="00D24D21" w:rsidRDefault="00D24D21" w:rsidP="00CE47F2">
      <w:r>
        <w:t>Oppdragsgivere har mulighet til å gjennomføre dialog med markedet før en anskaffelsesprosess iverkse</w:t>
      </w:r>
      <w:r>
        <w:t>t</w:t>
      </w:r>
      <w:r>
        <w:t>tes. Dialog med leverandører, bransjer, fagmiljøer og andre før kunngjøring av konkurranse gir bedre behovsdekning og kan fremme innovasjon. Dialog med markedet er nyttig ved planlegging av anskaffe</w:t>
      </w:r>
      <w:r>
        <w:t>l</w:t>
      </w:r>
      <w:r>
        <w:t>ser og utarbeidelse av anskaffelsesdokumentene. Det kan også gi informasjon om nye løsninger.</w:t>
      </w:r>
    </w:p>
    <w:p w:rsidR="00D24D21" w:rsidRDefault="00D24D21" w:rsidP="00CE47F2">
      <w:pPr>
        <w:pStyle w:val="avsnitt-undertittel"/>
      </w:pPr>
      <w:r>
        <w:t>Innovative anskaffelser</w:t>
      </w:r>
    </w:p>
    <w:p w:rsidR="00D24D21" w:rsidRDefault="00D24D21" w:rsidP="00CE47F2">
      <w:r>
        <w:t>Offentlige anskaffelser har potensial til å bli et viktig strategisk virkemiddel og drivkraft for å st</w:t>
      </w:r>
      <w:r>
        <w:t>i</w:t>
      </w:r>
      <w:r>
        <w:t>mulere til nytenking og omstilling innenfor helse- og omsorgsektoren. Et felles utgangspunkt for alle innovative anskaffelser er at oppdragsgiver fokuserer på hvilket behov løsningen skal dekke framfor mulige lø</w:t>
      </w:r>
      <w:r>
        <w:t>s</w:t>
      </w:r>
      <w:r>
        <w:t>ningsforslag.</w:t>
      </w:r>
    </w:p>
    <w:p w:rsidR="00D24D21" w:rsidRDefault="00D24D21" w:rsidP="00CE47F2">
      <w:r>
        <w:t xml:space="preserve">Det skilles mellom innovasjonsvennlige anskaffelser og anskaffelser av innovasjon. </w:t>
      </w:r>
      <w:r>
        <w:rPr>
          <w:rStyle w:val="kursiv"/>
          <w:sz w:val="21"/>
          <w:szCs w:val="21"/>
        </w:rPr>
        <w:t>Innovasjon</w:t>
      </w:r>
      <w:r>
        <w:rPr>
          <w:rStyle w:val="kursiv"/>
          <w:sz w:val="21"/>
          <w:szCs w:val="21"/>
        </w:rPr>
        <w:t>s</w:t>
      </w:r>
      <w:r>
        <w:rPr>
          <w:rStyle w:val="kursiv"/>
          <w:sz w:val="21"/>
          <w:szCs w:val="21"/>
        </w:rPr>
        <w:t>vennlige anska</w:t>
      </w:r>
      <w:r>
        <w:rPr>
          <w:rStyle w:val="kursiv"/>
          <w:sz w:val="21"/>
          <w:szCs w:val="21"/>
        </w:rPr>
        <w:t>f</w:t>
      </w:r>
      <w:r>
        <w:rPr>
          <w:rStyle w:val="kursiv"/>
          <w:sz w:val="21"/>
          <w:szCs w:val="21"/>
        </w:rPr>
        <w:t>felser</w:t>
      </w:r>
      <w:r>
        <w:t xml:space="preserve"> kjennetegnes ved at de åpner for tilbud med innovative løsninger. Typisk for slike anskaffelser er at det for eksempel avholdes dialog med markedet og at det benyttes åpne kravsp</w:t>
      </w:r>
      <w:r>
        <w:t>e</w:t>
      </w:r>
      <w:r>
        <w:t xml:space="preserve">sifikasjoner som beskriver oppdragsgivers behov heller enn kravspesifikasjoner som angir en gitt løsning. </w:t>
      </w:r>
      <w:r>
        <w:rPr>
          <w:rStyle w:val="kursiv"/>
          <w:sz w:val="21"/>
          <w:szCs w:val="21"/>
        </w:rPr>
        <w:t>Anskaffelse av innovasjon</w:t>
      </w:r>
      <w:r>
        <w:t xml:space="preserve"> kjennetegnes av at oppdragsgiver aktivt søker nye løsninger for å møte et behov som ikke dekkes gjennom eksisterende løsninger som markedet kan tilby.</w:t>
      </w:r>
    </w:p>
    <w:p w:rsidR="00D24D21" w:rsidRDefault="00D24D21" w:rsidP="00CE47F2">
      <w:r>
        <w:t>Samlet sett vil både mindre og større innovasjoner bidra til nødvendig omstilling i de offentlige vir</w:t>
      </w:r>
      <w:r>
        <w:t>k</w:t>
      </w:r>
      <w:r>
        <w:t>somhetene. De færreste anskaffelser resulterer i radikale nyvinninger, men også anskaffelser med lavere innovasjonsgrad kan bidra til å løse helseutfordringene offentlig sektor står overfor.</w:t>
      </w:r>
    </w:p>
    <w:p w:rsidR="00D24D21" w:rsidRDefault="00D24D21" w:rsidP="00CE47F2">
      <w:r>
        <w:t>Regjeringen vil legge til rette for økt bruk av innovative anskaffelser, også i helse- og omsorgstj</w:t>
      </w:r>
      <w:r>
        <w:t>e</w:t>
      </w:r>
      <w:r>
        <w:t>nesten. Dette vil være i tråd med tiltakene om innovasjon i stortingsmeldingen om offentlige a</w:t>
      </w:r>
      <w:r>
        <w:t>n</w:t>
      </w:r>
      <w:r>
        <w:t>skaffelser.</w:t>
      </w:r>
    </w:p>
    <w:p w:rsidR="00D24D21" w:rsidRDefault="00D24D21" w:rsidP="00CE47F2">
      <w:pPr>
        <w:pStyle w:val="avsnitt-undertittel"/>
      </w:pPr>
      <w:r>
        <w:t>Virkemidler for innovative anskaffelser</w:t>
      </w:r>
    </w:p>
    <w:p w:rsidR="00D24D21" w:rsidRDefault="00D24D21" w:rsidP="00CE47F2">
      <w:r>
        <w:t>Det er flere aktører som på ulike måter arbeider med tiltak som skal bidra til å få innovative a</w:t>
      </w:r>
      <w:r>
        <w:t>n</w:t>
      </w:r>
      <w:r>
        <w:t>skaffelser til å bli en varig og etablert praksis. De offentlige virkemiddelaktørene på innovasjon</w:t>
      </w:r>
      <w:r>
        <w:t>s</w:t>
      </w:r>
      <w:r>
        <w:t>området omfatter Innovasjon Norge, Nasjonalt program for leverandørutvikling (Leverandørutvi</w:t>
      </w:r>
      <w:r>
        <w:t>k</w:t>
      </w:r>
      <w:r>
        <w:t>lingsprogrammet), Difi og KS.</w:t>
      </w:r>
    </w:p>
    <w:p w:rsidR="00D24D21" w:rsidRDefault="00D24D21" w:rsidP="00CE47F2">
      <w:r>
        <w:t>Difi har siden 2010 hatt en viktig rolle i arbeidet med å fremme innovative anskaffelser. Difis rolle er å utvikle og spre kompetanse i form av veiledning, maler og verktøy. Anskaffelser.no og Difis øvrige kan</w:t>
      </w:r>
      <w:r>
        <w:t>a</w:t>
      </w:r>
      <w:r>
        <w:t>ler ut mot ledere, innkjøpssjefer eller innkjøperne er viktig å benytte for å spre kunnskap om innovative o</w:t>
      </w:r>
      <w:r>
        <w:t>f</w:t>
      </w:r>
      <w:r>
        <w:t>fentlige anskaffelser.</w:t>
      </w:r>
    </w:p>
    <w:p w:rsidR="00D24D21" w:rsidRDefault="00D24D21" w:rsidP="00CE47F2">
      <w:r>
        <w:t>I tillegg bidrar en rekke andre aktører til å spre erfaringer og bygge kompetanse. KS har etablert flere nettverk som bidrar til kompetanseheving og erfaringsutveksling, og som har bidratt til å få på plass et forskningsbasert kunnskapsgrunnlag for innovative anskaffelser. Norges forskningsråd admin</w:t>
      </w:r>
      <w:r>
        <w:t>i</w:t>
      </w:r>
      <w:r>
        <w:t>strerer ulike virkemidler med formål å finansiere forskning og utvikling. Ordningene er relevante for aktører som gjennom anskaffelse skal utvikle nye løsninger eller produkter. Innovasjon Norge bistår med sin kunnskap om innovasjon og virkemidler, og deres kompetanse har hjulpet både oppdrag</w:t>
      </w:r>
      <w:r>
        <w:t>s</w:t>
      </w:r>
      <w:r>
        <w:t>givere og leverand</w:t>
      </w:r>
      <w:r>
        <w:t>ø</w:t>
      </w:r>
      <w:r>
        <w:t xml:space="preserve">rer i utviklingen av innovative løsninger. Design og arkitektur Norge (DOGA) bidrar til innovasjon i offentlig sektor ved å fremme kvalitet og nytenkning på de nærings- og </w:t>
      </w:r>
      <w:r>
        <w:lastRenderedPageBreak/>
        <w:t>samfunnsområdene som berøres av deres fagområde. Gjennom ulike støtte- og låneordninger bidrar disse aktørene til å skape et handling</w:t>
      </w:r>
      <w:r>
        <w:t>s</w:t>
      </w:r>
      <w:r>
        <w:t>rom for det private næringslivet til å gjennomføre de prosesser som er nødvendige for å kunne levere innovative løsninger til offentlige virksomheter. Blant disse ordningene er designdrevet innovasjonsprogram (DIP) som omtales i boks 3.2 og innovasjonsko</w:t>
      </w:r>
      <w:r>
        <w:t>n</w:t>
      </w:r>
      <w:r>
        <w:t>trakter som er omtalt i boks 8.3.</w:t>
      </w:r>
    </w:p>
    <w:p w:rsidR="00D24D21" w:rsidRDefault="00D24D21" w:rsidP="00CE47F2">
      <w:pPr>
        <w:pStyle w:val="tittel-ramme"/>
      </w:pPr>
      <w:r>
        <w:t>Innovasjonskontrakter og innovasjonspartnerskap</w:t>
      </w:r>
    </w:p>
    <w:p w:rsidR="00D24D21" w:rsidRDefault="00D24D21" w:rsidP="00CE47F2">
      <w:r>
        <w:t xml:space="preserve">Gjennom ordningen </w:t>
      </w:r>
      <w:r>
        <w:rPr>
          <w:rStyle w:val="kursiv"/>
          <w:sz w:val="21"/>
          <w:szCs w:val="21"/>
        </w:rPr>
        <w:t>Innovasjonskontrakter</w:t>
      </w:r>
      <w:r>
        <w:t xml:space="preserve"> tilbyr Innovasjon Norge tilskudd til norske bedrifter som u</w:t>
      </w:r>
      <w:r>
        <w:t>t</w:t>
      </w:r>
      <w:r>
        <w:t xml:space="preserve">vikler helt nye løsninger i tett samarbeid med en kunde. En innovasjonskontrakt inngås mellom én eller flere små eller mellomstore bedrifter og én eller flere offentlige eller private </w:t>
      </w:r>
      <w:r>
        <w:rPr>
          <w:spacing w:val="-2"/>
        </w:rPr>
        <w:t>virksomheter. Ordningen egner seg for offentlig-</w:t>
      </w:r>
      <w:r>
        <w:t>private samarbeid i før-kommersiell fase, der en eventuell a</w:t>
      </w:r>
      <w:r>
        <w:t>n</w:t>
      </w:r>
      <w:r>
        <w:t>skaffelse foregår i etterkant etter vanlige anskaffelsesregler. Nærings- og fiskeridepartementet f</w:t>
      </w:r>
      <w:r>
        <w:t>i</w:t>
      </w:r>
      <w:r>
        <w:t>nansierer ordningen med 329 mill. kroner i 2018. Innovasjonskontrakter er et særlig egnet risik</w:t>
      </w:r>
      <w:r>
        <w:t>o</w:t>
      </w:r>
      <w:r>
        <w:t>avlastende virkemiddel i de tilfeller den offentlige kunden har et godt identifisert, formulert behov som det foreligger en vilje til å investere i å få løst.</w:t>
      </w:r>
    </w:p>
    <w:p w:rsidR="00D24D21" w:rsidRDefault="00D24D21" w:rsidP="00CE47F2">
      <w:r>
        <w:t>I 2018 gikk 23 pst. av midlene under Innovasjonskontrakter til prosjekter merket «helse». Kon</w:t>
      </w:r>
      <w:r>
        <w:t>t</w:t>
      </w:r>
      <w:r>
        <w:t>raktene innebærer et tett og målrettet samarbeid mellom kunden og leverandørbedriften gjennom innovasjon</w:t>
      </w:r>
      <w:r>
        <w:t>s</w:t>
      </w:r>
      <w:r>
        <w:t>prosessen. Innovasjon Norge registrerer at pilotkundene i helse-innovasjonskontrakter i økende grad er internasjonale, f.eks. amerikanske eller nordiske sykehus. Dette kan reflektere at mange bedrifter i helse</w:t>
      </w:r>
      <w:r>
        <w:rPr>
          <w:spacing w:val="-3"/>
        </w:rPr>
        <w:t>næringen er «born globals», men også at hjemme</w:t>
      </w:r>
      <w:r>
        <w:t>markedet er krevende å ly</w:t>
      </w:r>
      <w:r>
        <w:t>k</w:t>
      </w:r>
      <w:r>
        <w:t>kes i.</w:t>
      </w:r>
    </w:p>
    <w:p w:rsidR="00D24D21" w:rsidRDefault="00D24D21" w:rsidP="00CE47F2">
      <w:r>
        <w:t>De siste årene har Innovasjon Norge, Difi og Leverandørutviklingsprogrammet samarbeidet om å u</w:t>
      </w:r>
      <w:r>
        <w:t>t</w:t>
      </w:r>
      <w:r>
        <w:t xml:space="preserve">vikle en ny samarbeidsmodell for offentlig-privat innovasjon. </w:t>
      </w:r>
      <w:r>
        <w:rPr>
          <w:rStyle w:val="kursiv"/>
          <w:sz w:val="21"/>
          <w:szCs w:val="21"/>
        </w:rPr>
        <w:t>Innovasjonspartnerskap</w:t>
      </w:r>
      <w:r>
        <w:t xml:space="preserve"> er utviklet etter modell av den eur</w:t>
      </w:r>
      <w:r>
        <w:t>o</w:t>
      </w:r>
      <w:r>
        <w:t>peiske prose</w:t>
      </w:r>
      <w:r>
        <w:rPr>
          <w:spacing w:val="-2"/>
        </w:rPr>
        <w:t>dyreformen «Innovation Partnership». Formålet</w:t>
      </w:r>
      <w:r>
        <w:t xml:space="preserve"> er å skape en mer forutsigbar og krevende etterspørsel på kundesiden, gjennom utvikling og skalering av nye løsninger på samfunn</w:t>
      </w:r>
      <w:r>
        <w:t>s</w:t>
      </w:r>
      <w:r>
        <w:t>behov (herunder helse og velferd). I løpet av 2017 og 2018 er ni testprosjekter innenfor rammen av denne prosedyreformen igangsatt, alle med offen</w:t>
      </w:r>
      <w:r>
        <w:t>t</w:t>
      </w:r>
      <w:r>
        <w:t>lige virksomheter i førersetet. Prosjektene tar utgangspunkt i viktige, uløste samfunnsbehov som næringslivet kan konkurrere om å få være med på å løse. Innovasjon Norge, Difi og Leverandørutviklingsprogrammet bidrar med metodikk, prosessveiledning, risikofinansiering og hjelp til gjennomføring av gode markedsdialoger og utvi</w:t>
      </w:r>
      <w:r>
        <w:t>k</w:t>
      </w:r>
      <w:r>
        <w:t>lingssamarbeid. Av de ni prosjektene er det fire innovasjonspartnerskap innenfor helse, som dermed er det største nedslagsfeltet for ordningen.</w:t>
      </w:r>
    </w:p>
    <w:p w:rsidR="00D24D21" w:rsidRDefault="00D24D21" w:rsidP="00CE47F2">
      <w:r>
        <w:t>Sykehuset Østfold leder et innovasjonssamarbeid som skal utvikle framtidens virtuelle og digitale lø</w:t>
      </w:r>
      <w:r>
        <w:t>s</w:t>
      </w:r>
      <w:r>
        <w:t>ninger for trygg og god oppfølging av kreftpasienter. Målet er at pasientene i større grad skal få være mest mulig hjemme, kunne håndtere sykdom og ivareta egen helse, og at helsepersonell i større grad kan følge opp pasientene mens de er hjemme. Sykehuset Østfold utfordrer nå næringslivet til å skape lø</w:t>
      </w:r>
      <w:r>
        <w:t>s</w:t>
      </w:r>
      <w:r>
        <w:t>ninger som på sikt kan breddes ut til mange ulike pasientgrupper. Helse Sør-Øst følger anskaffelsen tett. Det inn</w:t>
      </w:r>
      <w:r>
        <w:t>e</w:t>
      </w:r>
      <w:r>
        <w:t>bærer at når den nye løsningen eller tjenesten er klar i 2020, kan også andre helseforetak i r</w:t>
      </w:r>
      <w:r>
        <w:t>e</w:t>
      </w:r>
      <w:r>
        <w:t>gionen kjøpe den uten og møtte gå ut på anbud.</w:t>
      </w:r>
    </w:p>
    <w:p w:rsidR="00D24D21" w:rsidRDefault="00E636F4" w:rsidP="00E636F4">
      <w:pPr>
        <w:pStyle w:val="Figur"/>
      </w:pPr>
      <w:r>
        <w:rPr>
          <w:noProof/>
        </w:rPr>
        <w:t>[:figur:figX-X.jpg]</w:t>
      </w:r>
    </w:p>
    <w:p w:rsidR="00D24D21" w:rsidRDefault="00D24D21" w:rsidP="00CE47F2">
      <w:pPr>
        <w:pStyle w:val="figur-tittel"/>
      </w:pPr>
      <w:r>
        <w:t>Innovasjonskontrakter – antall prosjekter merket «helse»</w:t>
      </w:r>
    </w:p>
    <w:p w:rsidR="00D24D21" w:rsidRDefault="00D24D21" w:rsidP="00CE47F2">
      <w:pPr>
        <w:pStyle w:val="Kilde"/>
      </w:pPr>
      <w:r>
        <w:lastRenderedPageBreak/>
        <w:t>Innovasjon Norge</w:t>
      </w:r>
    </w:p>
    <w:p w:rsidR="00D24D21" w:rsidRDefault="00D24D21">
      <w:pPr>
        <w:pStyle w:val="Ramme-slutt"/>
        <w:rPr>
          <w:sz w:val="26"/>
          <w:szCs w:val="26"/>
        </w:rPr>
      </w:pPr>
      <w:r>
        <w:rPr>
          <w:sz w:val="26"/>
          <w:szCs w:val="26"/>
        </w:rPr>
        <w:t>[Boks slutt]</w:t>
      </w:r>
    </w:p>
    <w:p w:rsidR="00D24D21" w:rsidRDefault="00D24D21" w:rsidP="00CE47F2">
      <w:pPr>
        <w:pStyle w:val="tittel-ramme"/>
      </w:pPr>
      <w:r>
        <w:t>Nasjonalt program for leverandørutvikling</w:t>
      </w:r>
    </w:p>
    <w:p w:rsidR="00D24D21" w:rsidRDefault="00D24D21" w:rsidP="00CE47F2">
      <w:r>
        <w:t>Nasjonalt program for leverandørutvikling (LUP) ble etablert i 2010 av NHO og KS. Siden har Difi, Inn</w:t>
      </w:r>
      <w:r>
        <w:t>o</w:t>
      </w:r>
      <w:r>
        <w:t>vasjon Norge og Forskningsrådet blitt med i samarbeidet. LUP har som mål å bistå utvalgte offentlige virksomheter i enkelte anskaffelser, som deretter brukes som gode eksempler for ette</w:t>
      </w:r>
      <w:r>
        <w:t>r</w:t>
      </w:r>
      <w:r>
        <w:t>følgelse av andre tilsvarende virksomheter. Gjennom sitt arbeid har LUP utarbeidet en modell for hvordan det er mulig å gjennomføre en innovativ anskaffelse. Metoden legger vekt på betydningen av at stat og kommuner implementerer både prosess og holdninger, som bidrar til fokus på innov</w:t>
      </w:r>
      <w:r>
        <w:t>a</w:t>
      </w:r>
      <w:r>
        <w:t>sjon i anskaffelsesprosessen.</w:t>
      </w:r>
    </w:p>
    <w:p w:rsidR="00D24D21" w:rsidRDefault="00D24D21" w:rsidP="00CE47F2">
      <w:r>
        <w:t>Inneværende programperiode løper ut 2019. Programmet har i dag 24 nasjonale partnere som bidrar med fina</w:t>
      </w:r>
      <w:r>
        <w:t>n</w:t>
      </w:r>
      <w:r>
        <w:t>siering av programmet, hvor Nærings- og fiskeridepartementet er den aktøren som gir det største enkeltbidraget med ti mill. kroner i 2018. Et viktig mål med departementets tilskudd er å styrke spredningseffekten av programmets aktiviteter slik at også aktører som ikke får direkte b</w:t>
      </w:r>
      <w:r>
        <w:t>i</w:t>
      </w:r>
      <w:r>
        <w:t>stand fra LUP får kunnskap og inspirasjon til å gjennomføre innovative anskaffelser.</w:t>
      </w:r>
    </w:p>
    <w:p w:rsidR="00D24D21" w:rsidRDefault="00D24D21">
      <w:pPr>
        <w:pStyle w:val="Ramme-slutt"/>
        <w:rPr>
          <w:sz w:val="26"/>
          <w:szCs w:val="26"/>
        </w:rPr>
      </w:pPr>
      <w:r>
        <w:rPr>
          <w:sz w:val="26"/>
          <w:szCs w:val="26"/>
        </w:rPr>
        <w:t>[Boks slutt]</w:t>
      </w:r>
    </w:p>
    <w:p w:rsidR="00D24D21" w:rsidRDefault="00D24D21" w:rsidP="00CE47F2">
      <w:pPr>
        <w:pStyle w:val="Overskrift2"/>
      </w:pPr>
      <w:r>
        <w:t>Utprøving av nye løsninger</w:t>
      </w:r>
    </w:p>
    <w:p w:rsidR="00D24D21" w:rsidRDefault="00D24D21" w:rsidP="00CE47F2">
      <w:r>
        <w:t>Helsenæringen skiller seg fra andre næringer ved at det stilles særskilte krav om at produkter som skal benyttes i forebygging, behandling, rehabilitering eller omsorg må gjennomgå en omfattende utprøving på mennesker. Enten det er snakk om et nytt legemiddel eller medisinsk utstyr, må dette testes i en klinisk sammenheng. Klinisk utprøving er ressurskrevende og tar lang tid, men må gjennomføres for å dok</w:t>
      </w:r>
      <w:r>
        <w:t>u</w:t>
      </w:r>
      <w:r>
        <w:t>mentere sikkerheten, kvaliteten og effekten av nye legemidler, ny teknologi eller andre metoder som benyttes i pasientbehandling. For alt medisinsk utstyr skal det foreligge klinisk evaluering. Klinisk evaluering er en kontinuerlig prosess som innebærer vurdering av kl</w:t>
      </w:r>
      <w:r>
        <w:t>i</w:t>
      </w:r>
      <w:r>
        <w:t>niske data knyttet til utstyret for å avgjøre hvorvidt utstyret oppfyller regelverkets krav til klinisk ytelse og sikkerhet. Derfor er utprøving og go</w:t>
      </w:r>
      <w:r>
        <w:t>d</w:t>
      </w:r>
      <w:r>
        <w:t>kjenning både av legemidler og medisinsk utstyr underlagt nasjonalt og internasjonalt regelverk som setter rammene for utviklingsprosesser, kval</w:t>
      </w:r>
      <w:r>
        <w:t>i</w:t>
      </w:r>
      <w:r>
        <w:t>tetsnormer og beslutningsgrunnlag for tilgang til markedet.</w:t>
      </w:r>
    </w:p>
    <w:p w:rsidR="00D24D21" w:rsidRDefault="00D24D21" w:rsidP="00CE47F2">
      <w:r>
        <w:t>For digitale løsninger er det ikke regulatoriske krav om klinisk testing, men det er likevel en stor styrke, og vil bidra til innkjøp og spredning, dersom løsningene påviselig fungerer hos fastlegen, i et operasjonsrom eller på et syk</w:t>
      </w:r>
      <w:r>
        <w:t>e</w:t>
      </w:r>
      <w:r>
        <w:t>hjem.</w:t>
      </w:r>
    </w:p>
    <w:p w:rsidR="00D24D21" w:rsidRDefault="00D24D21" w:rsidP="00CE47F2">
      <w:r>
        <w:t>Det er behov for å legge enda bedre til rette for samarbeid mellom næringslivet og helse- og o</w:t>
      </w:r>
      <w:r>
        <w:t>m</w:t>
      </w:r>
      <w:r>
        <w:t>sorgstjenestene om utprøving og dokumentasjon. Helsepersonell må kunne bidra i gjennomføring av studier eller utprøving i komb</w:t>
      </w:r>
      <w:r>
        <w:t>i</w:t>
      </w:r>
      <w:r>
        <w:t>nasjon med klinisk stilling. Det er behov for studiesykepleiere og annet forskningspersonale, administrative støttefunksjoner og annen infrastruktur som gjør at forskning og utprøving kan skje integrert i en klinisk hverdag.</w:t>
      </w:r>
    </w:p>
    <w:p w:rsidR="00D24D21" w:rsidRDefault="00D24D21" w:rsidP="00CE47F2">
      <w:r>
        <w:t xml:space="preserve">Kliniske studier bidrar til økt kompetanse og kunnskap i helsetjenesten, og kan gi pasienter tilgang til nye metoder som kan ha bedre effekt enn standard behandling. Pasienter som deltar i kliniske studier </w:t>
      </w:r>
      <w:r>
        <w:lastRenderedPageBreak/>
        <w:t>får tilgang til ny behandling før den kommer på markedet, og de følges tettere opp av helsepers</w:t>
      </w:r>
      <w:r>
        <w:t>o</w:t>
      </w:r>
      <w:r>
        <w:t>nell.</w:t>
      </w:r>
      <w:r>
        <w:rPr>
          <w:vertAlign w:val="superscript"/>
        </w:rPr>
        <w:footnoteReference w:id="54"/>
      </w:r>
      <w:r>
        <w:t xml:space="preserve"> Samtidig ser mange det som en verdi i seg selv å bidra til kunnskapsutviklingen, uavhengig av resultatene for sin egen del.</w:t>
      </w:r>
    </w:p>
    <w:p w:rsidR="00D24D21" w:rsidRDefault="00D24D21" w:rsidP="00CE47F2">
      <w:r>
        <w:t>Gjennom de siste tiårene er antall kliniske studier, og antall pasienter inkludert i slike studier, r</w:t>
      </w:r>
      <w:r>
        <w:t>e</w:t>
      </w:r>
      <w:r>
        <w:t>dusert. Trenden har vært den samme i alle de nordiske og vesteuropeiske landene. Nedgangen har vært størst i såkalte fase III-studier, som er store sammenlignende effektstudier av legemidler. Noe av årsaken er at studiene flyttes til land der det er billigere og enklere å rekruttere pasienter. Andre årsaker kan være manglende forskningsinfrastruktur, kompetanse eller kapasitet til å rekruttere pasienter og gjennomføre kliniske studier innenfor en rimelig tidshorisont.</w:t>
      </w:r>
    </w:p>
    <w:p w:rsidR="00D24D21" w:rsidRDefault="00D24D21" w:rsidP="00CE47F2">
      <w:r>
        <w:t>Figur 8.4 viser antall søknader om klinisk utprøving til Statens legemiddelverk (SLV) fra 2000 til 2018, fordelt på kommersielle og ikke-kommersielle sponsorer. Dette er altså bare legemiddelst</w:t>
      </w:r>
      <w:r>
        <w:t>u</w:t>
      </w:r>
      <w:r>
        <w:t>dier, og viser ikke kliniske studier som ikke involverer legemidler. Figuren viser bare antallet som har søkt, ikke hvor mange som faktisk pågår. Figuren peker i retning av synkende aktivitet, særlig på studier som involverer kommersielle aktører.</w:t>
      </w:r>
    </w:p>
    <w:p w:rsidR="00D24D21" w:rsidRDefault="00E636F4" w:rsidP="00E636F4">
      <w:pPr>
        <w:pStyle w:val="Figur"/>
      </w:pPr>
      <w:r>
        <w:rPr>
          <w:noProof/>
        </w:rPr>
        <w:t>[:figur:figX-X.jpg]</w:t>
      </w:r>
    </w:p>
    <w:p w:rsidR="00D24D21" w:rsidRDefault="00D24D21" w:rsidP="00CE47F2">
      <w:pPr>
        <w:pStyle w:val="figur-tittel"/>
      </w:pPr>
      <w:r>
        <w:t>Antall søkte kliniske studier fordelt på sponsor</w:t>
      </w:r>
    </w:p>
    <w:p w:rsidR="00D24D21" w:rsidRDefault="00D24D21" w:rsidP="00CE47F2">
      <w:pPr>
        <w:pStyle w:val="Kilde"/>
        <w:rPr>
          <w:rFonts w:cs="Times New Roman"/>
          <w:sz w:val="24"/>
          <w:szCs w:val="24"/>
          <w:lang w:val="en-GB"/>
        </w:rPr>
      </w:pPr>
      <w:r>
        <w:t>Statens legemiddelverk</w:t>
      </w:r>
    </w:p>
    <w:p w:rsidR="00D24D21" w:rsidRDefault="00D24D21" w:rsidP="00CE47F2">
      <w:r>
        <w:t>Norge har noen nasjonale konkurransefortrinn når det gjelder kliniske studier. Vi har en godt org</w:t>
      </w:r>
      <w:r>
        <w:t>a</w:t>
      </w:r>
      <w:r>
        <w:t>nisert helsetjeneste, høy kvalitet på forskningen og nasjonale helsedata, med mulighet for å koble datakilder ved bruk av personnummer. Det er et helsepolitisk mål å gi flere pasienter tilgang til utprøvende behandling, fortrinnsvis gjennom deltakelse i kliniske studier. For å bli mer konkurra</w:t>
      </w:r>
      <w:r>
        <w:t>n</w:t>
      </w:r>
      <w:r>
        <w:t>sedyktige og sikre at flere fi</w:t>
      </w:r>
      <w:r>
        <w:t>r</w:t>
      </w:r>
      <w:r>
        <w:t>maer gjennomfører studier i Norge må det legges bedre til rette for god infrastruktur og rask rekruttering av pasienter til kliniske studier. Det er også viktig med lederfo</w:t>
      </w:r>
      <w:r>
        <w:t>r</w:t>
      </w:r>
      <w:r>
        <w:t>ankring, klare rammer, insentiver og ku</w:t>
      </w:r>
      <w:r>
        <w:t>l</w:t>
      </w:r>
      <w:r>
        <w:t>tur for næringslivssamarbeid om kliniske studier.</w:t>
      </w:r>
    </w:p>
    <w:p w:rsidR="00D24D21" w:rsidRDefault="00D24D21" w:rsidP="00CE47F2">
      <w:r>
        <w:t>Regjeringens målsetning om økning i antall kliniske behandlingsstudier omfatter både offentlig init</w:t>
      </w:r>
      <w:r>
        <w:t>i</w:t>
      </w:r>
      <w:r>
        <w:t xml:space="preserve">erte studier og studier initiert av næringslivet. Dette er belyst i flere meldinger og strategier, som Meld. St. 28 (2014–2015) </w:t>
      </w:r>
      <w:r>
        <w:rPr>
          <w:rStyle w:val="kursiv"/>
          <w:sz w:val="21"/>
          <w:szCs w:val="21"/>
        </w:rPr>
        <w:t>Legemiddelmeldingen</w:t>
      </w:r>
      <w:r>
        <w:t>, og i regjeringens handlingsplan for oppfølging av HelseO</w:t>
      </w:r>
      <w:r>
        <w:t>m</w:t>
      </w:r>
      <w:r>
        <w:t>sorg21-strategien, der bedre klinisk behandling er ett av ti prioriterte satsingsområder. Det må sikres en god balanse mellom industrifinansierte kliniske studier og offentlig initierte studier. Det kan være behov for offentlige initierte studier selv om det ikke er et næringspotensial eller interesse fra industrien. Det sikrer klinisk forskning og utvikling av behandling også for pasientgrupper der behandlingen ikke er økonomisk innbringende for industrien, men kan ha stor betydning både for den enkelte pasient og sa</w:t>
      </w:r>
      <w:r>
        <w:t>m</w:t>
      </w:r>
      <w:r>
        <w:t>funnet. Dette gjelder for eksempel behandlinger som har kurativ effekt etter kun én gangs behandling per pasient, som stamcellebehandling for enkelte grupper av MS-pasienter.</w:t>
      </w:r>
    </w:p>
    <w:p w:rsidR="00D24D21" w:rsidRDefault="00E636F4" w:rsidP="00E636F4">
      <w:pPr>
        <w:pStyle w:val="Figur"/>
      </w:pPr>
      <w:r>
        <w:rPr>
          <w:noProof/>
        </w:rPr>
        <w:t>[:figur:figX-X.jpg]</w:t>
      </w:r>
    </w:p>
    <w:p w:rsidR="00D24D21" w:rsidRDefault="00D24D21" w:rsidP="00CE47F2">
      <w:pPr>
        <w:pStyle w:val="figur-tittel"/>
      </w:pPr>
      <w:r>
        <w:lastRenderedPageBreak/>
        <w:t>Antall søkte kliniske studier fordelt på faser</w:t>
      </w:r>
    </w:p>
    <w:p w:rsidR="00D24D21" w:rsidRDefault="00D24D21" w:rsidP="00CE47F2">
      <w:pPr>
        <w:pStyle w:val="Kilde"/>
        <w:rPr>
          <w:rFonts w:cs="Times New Roman"/>
          <w:sz w:val="24"/>
          <w:szCs w:val="24"/>
          <w:lang w:val="en-GB"/>
        </w:rPr>
      </w:pPr>
      <w:r>
        <w:t>Statens legemiddelverk</w:t>
      </w:r>
    </w:p>
    <w:p w:rsidR="00D24D21" w:rsidRDefault="00D24D21" w:rsidP="009C17C8">
      <w:pPr>
        <w:pStyle w:val="Overskrift3"/>
        <w:numPr>
          <w:ilvl w:val="2"/>
          <w:numId w:val="226"/>
        </w:numPr>
      </w:pPr>
      <w:r>
        <w:t>Klinisk utprøving av legemidler</w:t>
      </w:r>
    </w:p>
    <w:p w:rsidR="00D24D21" w:rsidRDefault="00D24D21" w:rsidP="00CE47F2">
      <w:r>
        <w:t>En søknad om markedføringstillatelse for et legemiddel skal innbefatte dokumentasjon av leg</w:t>
      </w:r>
      <w:r>
        <w:t>e</w:t>
      </w:r>
      <w:r>
        <w:t>midlets kvalitet, sikkerhet og effekt. For å framskaffe denne dokumentajsonen som benyttes til å vurdere ny</w:t>
      </w:r>
      <w:r>
        <w:t>t</w:t>
      </w:r>
      <w:r>
        <w:t>te-/risikoforholdet blir det gjennomført tre hovedkategorier av studier, såkalte fase I, II og III-studier. Etter at legemidlet er godkjent og har fått markedsføringstillatelse, gjennomføres kliniske studier for å dok</w:t>
      </w:r>
      <w:r>
        <w:t>u</w:t>
      </w:r>
      <w:r>
        <w:t>mentere effekt, sikkerhet og kvalitet relatert til langtidsvirkninger og bruk i ulike pasientgrupper på et stort antall pasienter, såkalte fase IV-studier.</w:t>
      </w:r>
    </w:p>
    <w:p w:rsidR="00D24D21" w:rsidRDefault="00E636F4" w:rsidP="00E636F4">
      <w:pPr>
        <w:pStyle w:val="Figur"/>
      </w:pPr>
      <w:r>
        <w:rPr>
          <w:noProof/>
        </w:rPr>
        <w:t>[:figur:figX-X.jpg]</w:t>
      </w:r>
    </w:p>
    <w:p w:rsidR="00D24D21" w:rsidRDefault="00D24D21" w:rsidP="00CE47F2">
      <w:pPr>
        <w:pStyle w:val="figur-tittel"/>
      </w:pPr>
      <w:r>
        <w:t>Faser i kliniske studier</w:t>
      </w:r>
    </w:p>
    <w:p w:rsidR="00D24D21" w:rsidRDefault="00D24D21" w:rsidP="00CE47F2">
      <w:pPr>
        <w:pStyle w:val="Kilde"/>
        <w:rPr>
          <w:rFonts w:cs="Times New Roman"/>
          <w:sz w:val="24"/>
          <w:szCs w:val="24"/>
          <w:lang w:val="en-GB"/>
        </w:rPr>
      </w:pPr>
      <w:r>
        <w:t>HOD</w:t>
      </w:r>
    </w:p>
    <w:p w:rsidR="00D24D21" w:rsidRDefault="00D24D21" w:rsidP="00CE47F2">
      <w:r>
        <w:t>For å sørge for raskere tilgang til nye legemidler har det europeiske legemiddelbyrået EMA åpnet for nye godkjenningsløp innenfor de eksisterende EØS-prosedyrene, som gjør at enkelte legemidler til små pas</w:t>
      </w:r>
      <w:r>
        <w:t>i</w:t>
      </w:r>
      <w:r>
        <w:t>entpopulasjoner kan få markedsføringstillatelse på et tidligere stadium. Disse løpene heter PRIME: priority medicines og Adaptive pathways. Per 1. januar 2019 har to legemidler fått ma</w:t>
      </w:r>
      <w:r>
        <w:t>r</w:t>
      </w:r>
      <w:r>
        <w:t>kedføringstillatelse gjennom PRIME og 39 legemidler har fått en betinget markedsføringstillatelse. Dette fører til at de store fase III-studiene ikke alltid gjennomføres. Fase IV-studier vil kunne være et virkemiddel for å følge effe</w:t>
      </w:r>
      <w:r>
        <w:t>k</w:t>
      </w:r>
      <w:r>
        <w:t>ten, for eksempel gjennom registre.</w:t>
      </w:r>
    </w:p>
    <w:p w:rsidR="00D24D21" w:rsidRDefault="00D24D21" w:rsidP="00CE47F2">
      <w:r>
        <w:t>Kliniske studier reguleres av nasjonalt og internasjonalt regelverk og etiske standarder. Kliniske utprøvninger av legemidler for mennesker er regulert av flere EU-direktiver inntatt i EØS-avtalen og gje</w:t>
      </w:r>
      <w:r>
        <w:t>n</w:t>
      </w:r>
      <w:r>
        <w:t>nomført i norsk rett gjennom legemiddelloven og forskrift om klinisk utprøving av legemidler på mennesker. Regelverket gir pasientene beskyttelse mot den risiko slik utprøving innebærer og fremmer europeisk farmasøytisk industri. I tillegg inneholder helseforskningsloven, Helsinkidekl</w:t>
      </w:r>
      <w:r>
        <w:t>a</w:t>
      </w:r>
      <w:r>
        <w:t>rasjonen om etiske prinsipper for forskning på mennesker og Oviedokonvensjonen om mennesk</w:t>
      </w:r>
      <w:r>
        <w:t>e</w:t>
      </w:r>
      <w:r>
        <w:t>rettigheter og biomedisin bestemmelser knyttet til etiske sider ved gjennomføring av klinisk u</w:t>
      </w:r>
      <w:r>
        <w:t>t</w:t>
      </w:r>
      <w:r>
        <w:t>prøvning av legemidler.</w:t>
      </w:r>
    </w:p>
    <w:p w:rsidR="00D24D21" w:rsidRDefault="00D24D21" w:rsidP="00CE47F2">
      <w:pPr>
        <w:pStyle w:val="tittel-ramme"/>
      </w:pPr>
      <w:r>
        <w:t>Utprøving av genterapi for leukemi i Norge</w:t>
      </w:r>
    </w:p>
    <w:p w:rsidR="00D24D21" w:rsidRDefault="00D24D21" w:rsidP="00CE47F2">
      <w:r>
        <w:t xml:space="preserve">I desember 2018 bestemte beslutningsforum i </w:t>
      </w:r>
      <w:r>
        <w:rPr>
          <w:rStyle w:val="kursiv"/>
          <w:sz w:val="21"/>
          <w:szCs w:val="21"/>
        </w:rPr>
        <w:t>Nye metoder</w:t>
      </w:r>
      <w:r>
        <w:t xml:space="preserve"> at genterapien Kymriah (tisagenlecleucel) til behandling av en form for leukemi for barn og unge kan innføres i spesialisthelsetjenesten under b</w:t>
      </w:r>
      <w:r>
        <w:t>e</w:t>
      </w:r>
      <w:r>
        <w:t>stemte forutsetninger. Kymriah er utviklet av Novartis, og er en form for celleterapi der pasientens egne T-celler genmodifiseres. De modifiserte T-cellene kan dermed kjenne igjen bestemte kreftceller og drepe disse. Terapien, som kalles CAR-T, baserer seg blant annet på de norskutviklede Uge</w:t>
      </w:r>
      <w:r>
        <w:t>l</w:t>
      </w:r>
      <w:r>
        <w:t>stad-kulene omtalt i boks 7.9.</w:t>
      </w:r>
    </w:p>
    <w:p w:rsidR="00D24D21" w:rsidRDefault="00D24D21" w:rsidP="00CE47F2">
      <w:r>
        <w:t>Utprøvingen av behandlingen foregikk ved 12 sentre i åtte land i Europa, der Oslo universitetss</w:t>
      </w:r>
      <w:r>
        <w:t>y</w:t>
      </w:r>
      <w:r>
        <w:t>kehus (OUS) som eneste senter gjennomførte kliniske studier på både barn og voksne. Den norske delen av studiene foregikk i tett samarbeid mellom Novartis, Kreftklinikken, Rikshospitalet og Seksjon for cellet</w:t>
      </w:r>
      <w:r>
        <w:t>e</w:t>
      </w:r>
      <w:r>
        <w:t xml:space="preserve">rapi på OUS. Inven2 tok seg av kontraktene mellom partene. Siden CAR-T er en </w:t>
      </w:r>
      <w:r>
        <w:lastRenderedPageBreak/>
        <w:t>kompleks prosess og involverer flere regelverk, blant annet regelverket for klinisk utprøvning av legemidler, bioteknologi og genmodifisering, var det viktig med god dialog med myndighetene. Statens legemiddelverk koordinerte de andre etatene, som Helsedirektoratet og Miljødirekt</w:t>
      </w:r>
      <w:r>
        <w:t>o</w:t>
      </w:r>
      <w:r>
        <w:t>ratet, slik at Novartis fikk de nødvendige tillatelsene på plass. Parallelt med godkjenningsprosessene p</w:t>
      </w:r>
      <w:r>
        <w:t>å</w:t>
      </w:r>
      <w:r>
        <w:t>gikk det et utstrakt arbeid også internt på OUS for å få alle studieprosedyrer implementert. Mange ulike faggrupper og nivåer i administrasjonen var i</w:t>
      </w:r>
      <w:r>
        <w:t>n</w:t>
      </w:r>
      <w:r>
        <w:t>volvert.</w:t>
      </w:r>
    </w:p>
    <w:p w:rsidR="00D24D21" w:rsidRDefault="00D24D21" w:rsidP="00CE47F2">
      <w:r>
        <w:t>Det tette samarbeidet mellom legemiddelfirmaet, sykehuset og regulatoriske myndigheter, og viljen til å finne løsninger raskt, medførte at OUS var det første sykehuset som kom i gang med studiene i Europa. Den raske oppstarten var en avgjørende årsak til at OUS har fått flere CAR-T studier i</w:t>
      </w:r>
      <w:r>
        <w:t>n</w:t>
      </w:r>
      <w:r>
        <w:t>nenfor kreft.</w:t>
      </w:r>
    </w:p>
    <w:p w:rsidR="00D24D21" w:rsidRDefault="00E636F4" w:rsidP="00E636F4">
      <w:pPr>
        <w:pStyle w:val="Figur"/>
      </w:pPr>
      <w:r>
        <w:rPr>
          <w:noProof/>
        </w:rPr>
        <w:t>[:figur:figX-X.jpg]</w:t>
      </w:r>
    </w:p>
    <w:p w:rsidR="00D24D21" w:rsidRDefault="00D24D21" w:rsidP="00CE47F2">
      <w:pPr>
        <w:pStyle w:val="figur-tittel"/>
      </w:pPr>
      <w:r>
        <w:t>Prosessering av celler til bruk i genterapi</w:t>
      </w:r>
    </w:p>
    <w:p w:rsidR="00D24D21" w:rsidRDefault="00D24D21" w:rsidP="00CE47F2">
      <w:pPr>
        <w:pStyle w:val="figur-noter"/>
      </w:pPr>
      <w:r>
        <w:t>Foto: Novartis</w:t>
      </w:r>
    </w:p>
    <w:p w:rsidR="00D24D21" w:rsidRDefault="00D24D21">
      <w:pPr>
        <w:pStyle w:val="Ramme-slutt"/>
        <w:rPr>
          <w:sz w:val="26"/>
          <w:szCs w:val="26"/>
        </w:rPr>
      </w:pPr>
      <w:r>
        <w:rPr>
          <w:sz w:val="26"/>
          <w:szCs w:val="26"/>
        </w:rPr>
        <w:t>[Boks slutt]</w:t>
      </w:r>
    </w:p>
    <w:p w:rsidR="00D24D21" w:rsidRDefault="00D24D21" w:rsidP="00CE47F2">
      <w:pPr>
        <w:pStyle w:val="tittel-ramme"/>
      </w:pPr>
      <w:r>
        <w:t>NorPedMed</w:t>
      </w:r>
    </w:p>
    <w:p w:rsidR="00D24D21" w:rsidRDefault="00D24D21" w:rsidP="00CE47F2">
      <w:r>
        <w:t>Legemidler kan ha en annen effekt på barn enn voksne, og det er derfor nødvendig at legemidler også prøves ut på barn og at dette kvalitetssikres. Mange av utfordringene ved legemiddelbruk hos barn sky</w:t>
      </w:r>
      <w:r>
        <w:t>l</w:t>
      </w:r>
      <w:r>
        <w:t>des mangel på godkjente legemidler til barn, i egnet formulering. Det er viktig å legge til rette for økt fors</w:t>
      </w:r>
      <w:r>
        <w:t>k</w:t>
      </w:r>
      <w:r>
        <w:t>ningsinnsats på dette området. NorPedMed er et nettverk av forskningsposter som legger til rette for praktisk gjennomføring av pediatriske legemiddelutprøvinger. Nettverket ledes fra Bergen gjennom N</w:t>
      </w:r>
      <w:r>
        <w:t>a</w:t>
      </w:r>
      <w:r>
        <w:t>sjonalt kompetansenettverk for legemidler til barn.</w:t>
      </w:r>
    </w:p>
    <w:p w:rsidR="00D24D21" w:rsidRDefault="00D24D21" w:rsidP="00CE47F2">
      <w:r>
        <w:t>NorPedMed er partner i konsortiet Collaboration Network for European Clinical Trials for Children (Connect4Children eller C4C), som i desember 2017 fikk tildelt midler gjennom Innovative Medicines Initiative (IMI) (se egen omtale i kapittel 7). Europakommisjonen og legemiddelind</w:t>
      </w:r>
      <w:r>
        <w:t>u</w:t>
      </w:r>
      <w:r>
        <w:t>strien investerer over en periode på seks år 140 mill. euro for å bygge opp en bærekraftig infr</w:t>
      </w:r>
      <w:r>
        <w:t>a</w:t>
      </w:r>
      <w:r>
        <w:t>struktur for gjennomføring av flernasjonale legemiddelutprøvinger blant barn i Europa. Flere leg</w:t>
      </w:r>
      <w:r>
        <w:t>e</w:t>
      </w:r>
      <w:r>
        <w:t>middelutprøvinger i barneavd</w:t>
      </w:r>
      <w:r>
        <w:t>e</w:t>
      </w:r>
      <w:r>
        <w:t>lingene vil gi norske barn tilgang til moderne behandling, og det gir norske barneleger og forskere ti</w:t>
      </w:r>
      <w:r>
        <w:t>l</w:t>
      </w:r>
      <w:r>
        <w:t>gang til innovative kliniske og akademisk medisinske fagmiljøer.</w:t>
      </w:r>
    </w:p>
    <w:p w:rsidR="00D24D21" w:rsidRDefault="00E636F4" w:rsidP="00E636F4">
      <w:pPr>
        <w:pStyle w:val="Figur"/>
      </w:pPr>
      <w:r>
        <w:rPr>
          <w:noProof/>
        </w:rPr>
        <w:t>[:figur:figX-X.jpg]</w:t>
      </w:r>
    </w:p>
    <w:p w:rsidR="00D24D21" w:rsidRDefault="00D24D21" w:rsidP="00CE47F2">
      <w:pPr>
        <w:pStyle w:val="figur-tittel"/>
      </w:pPr>
      <w:r>
        <w:t>Kunnskap om hvordan legemidler virker på barn er viktig</w:t>
      </w:r>
    </w:p>
    <w:p w:rsidR="00D24D21" w:rsidRDefault="00D24D21" w:rsidP="00CE47F2">
      <w:pPr>
        <w:pStyle w:val="figur-noter"/>
      </w:pPr>
      <w:r>
        <w:t>Foto: Helse Bergen</w:t>
      </w:r>
    </w:p>
    <w:p w:rsidR="00D24D21" w:rsidRDefault="00D24D21">
      <w:pPr>
        <w:pStyle w:val="Ramme-slutt"/>
        <w:rPr>
          <w:sz w:val="26"/>
          <w:szCs w:val="26"/>
        </w:rPr>
      </w:pPr>
      <w:r>
        <w:rPr>
          <w:sz w:val="26"/>
          <w:szCs w:val="26"/>
        </w:rPr>
        <w:t>[Boks slutt]</w:t>
      </w:r>
    </w:p>
    <w:p w:rsidR="00D24D21" w:rsidRDefault="00D24D21" w:rsidP="00CE47F2">
      <w:r>
        <w:t>Legemiddellovgivningen har regler om rett til dokumentbeskyttelse for innehavere av markedsf</w:t>
      </w:r>
      <w:r>
        <w:t>ø</w:t>
      </w:r>
      <w:r>
        <w:t>ringstillatelser for legemidler. Disse er omtalt i boks 9.6.</w:t>
      </w:r>
    </w:p>
    <w:p w:rsidR="00D24D21" w:rsidRDefault="00D24D21" w:rsidP="00CE47F2">
      <w:r>
        <w:t>Det har i flere år vært stilt krav om å tilrettelegge for bedre infrastruktur i norske sykehus for å drive kliniske studier. Det er etablert en rekke kliniske forskningsposter, også på mindre lokalsykehus. Det er stilt krav til de regionale helseforetakene om å styrke kapasiteten ved de kliniske utprøvingse</w:t>
      </w:r>
      <w:r>
        <w:t>n</w:t>
      </w:r>
      <w:r>
        <w:lastRenderedPageBreak/>
        <w:t>hetene, og dette har vært fulgt opp. Like fullt kan det være behov for ytterligere forbedring av infrastrukturen, ikke minst ved tidlig-fase enhetene. Tilbakemeldingene fra helseforetakene med kliniske forskningsposter er at oppbygging av kompetanse for å drifte kliniske studier er tid- og ressurskrevende, men helt avgjørende for å få gjennomført studier. Det er derfor viktig at hels</w:t>
      </w:r>
      <w:r>
        <w:t>e</w:t>
      </w:r>
      <w:r>
        <w:t>foretakene sørger for kontinuitet og tilbyr opplæring og stillinger til forskningssykepleiere og annet admin</w:t>
      </w:r>
      <w:r>
        <w:t>i</w:t>
      </w:r>
      <w:r>
        <w:t>strativt personell, for å unngå forsinkelser i forskningsprosjektene og for å øke kapasiteten til å gjennomføre kl</w:t>
      </w:r>
      <w:r>
        <w:t>i</w:t>
      </w:r>
      <w:r>
        <w:t>niske studier.</w:t>
      </w:r>
    </w:p>
    <w:p w:rsidR="00D24D21" w:rsidRDefault="00D24D21" w:rsidP="00CE47F2">
      <w:pPr>
        <w:pStyle w:val="avsnitt-undertittel"/>
      </w:pPr>
      <w:r>
        <w:t>Tidligfase-enheter</w:t>
      </w:r>
    </w:p>
    <w:p w:rsidR="00D24D21" w:rsidRDefault="00D24D21" w:rsidP="00CE47F2">
      <w:pPr>
        <w:rPr>
          <w:rFonts w:cs="Times New Roman"/>
          <w:b/>
          <w:bCs/>
          <w:color w:val="800000"/>
          <w:sz w:val="26"/>
          <w:szCs w:val="26"/>
          <w:lang w:val="en-GB"/>
        </w:rPr>
      </w:pPr>
      <w:r>
        <w:t>I tidligfase-enhetene prøves ofte et legemiddel, produkt eller behandling ut på mennesker for første gang. Slike enheter krever særskilt kompetanse, dedikert personell og de må arbeide etter intern</w:t>
      </w:r>
      <w:r>
        <w:t>a</w:t>
      </w:r>
      <w:r>
        <w:t>sjonale pr</w:t>
      </w:r>
      <w:r>
        <w:t>o</w:t>
      </w:r>
      <w:r>
        <w:t>sedyrer og standarder. Selv om dyrestudier kan ha vist lovende resultater og få alvorlige bivirkninger, er det alltid høy risiko forbundet med denne fasen. Gjennom den nasjonale fors</w:t>
      </w:r>
      <w:r>
        <w:t>k</w:t>
      </w:r>
      <w:r>
        <w:t>ningsinfrastrukturen for kliniske studier, NorCRIN, er det etablert et nettverk av kontaktpunkter for tidligfase kliniske studier der alle de seks universitetssykehusene deltar. Se boks 8.8 for beskrivelse av NorCRIN. Disse har ansvar for oppfølging av en av NorCRINs arbeidspakker (WP7) i perioden 2015–2020, og ønsker blant annet å uta</w:t>
      </w:r>
      <w:r>
        <w:t>r</w:t>
      </w:r>
      <w:r>
        <w:t>beide felles retningslinjer for gjennomføring av tidligfase kliniske studier (standard operating procedures), som bygger på anerkjente internasjonale retning</w:t>
      </w:r>
      <w:r>
        <w:t>s</w:t>
      </w:r>
      <w:r>
        <w:t>linjer.</w:t>
      </w:r>
    </w:p>
    <w:p w:rsidR="00D24D21" w:rsidRDefault="00D24D21" w:rsidP="00CE47F2">
      <w:pPr>
        <w:pStyle w:val="Overskrift3"/>
      </w:pPr>
      <w:r>
        <w:t>Klinisk evaluering av medisinsk utstyr</w:t>
      </w:r>
    </w:p>
    <w:p w:rsidR="00D24D21" w:rsidRDefault="00D24D21" w:rsidP="00CE47F2">
      <w:r>
        <w:t>Medisinsk utstyr er utstyr som fra produsentens side er laget for å diagnostisere, forebygge, ove</w:t>
      </w:r>
      <w:r>
        <w:t>r</w:t>
      </w:r>
      <w:r>
        <w:t>våke, behandle eller lindre sykdom, skade eller handikap hos mennesker. Enkelte svangerskapsf</w:t>
      </w:r>
      <w:r>
        <w:t>o</w:t>
      </w:r>
      <w:r>
        <w:t>rebyggende midler, samt hjelpemidler til funksjonshemmede regnes også som medisinsk utstyr. Det er behov for å videreutvikle systematikk og industrisamarbeid for å sikre bedre vitenskapelig d</w:t>
      </w:r>
      <w:r>
        <w:t>o</w:t>
      </w:r>
      <w:r>
        <w:t>kumentasjon av effekt og sikkerhet av medisinsk utstyr før innføring i helsetjenesten.</w:t>
      </w:r>
    </w:p>
    <w:p w:rsidR="00D24D21" w:rsidRDefault="00D24D21" w:rsidP="00CE47F2">
      <w:r>
        <w:t>Kravene til dokumentasjon for markedsføringstillatelse (MT) for legemidler og for CE-merkingen for medisinsk utstyr er forskjellige. Det er i dag en utfordring å skaffe nødvendig klinisk dokume</w:t>
      </w:r>
      <w:r>
        <w:t>n</w:t>
      </w:r>
      <w:r>
        <w:t>tasjon av medisinsk utstyr som grunnlag for eventuell beslutning for å bli innført i helsetjenesten. Innenfor kirurgi har sykehusene hatt en tradisjon for at utprøving av nytt medisinsk utstyr inngår som en integrert del av klinisk praksis (se også boks 6.1). EU vedtok i 2017 et nytt regelverk for med</w:t>
      </w:r>
      <w:r>
        <w:t>i</w:t>
      </w:r>
      <w:r>
        <w:t>sinsk utstyr som vil stille strengere krav til klinisk evaluering av medisinsk utstyr. Dette vil styrke pasientsikkerheten og virke f</w:t>
      </w:r>
      <w:r>
        <w:t>o</w:t>
      </w:r>
      <w:r>
        <w:t>rebyggede på pasientskader eller uønskede virkninger som følge av bruk av medisinsk utstyr. Arbeidet med klinisk evaluering av medisinsk utstyr må imidlertid styrkes ytterligere. Kvalitetsregistre er et egnet verktøy til å følge med på kvaliteten på medisinsk utstyr. For eksempel har flere nasjonale medisinske kvalitetsregistre endret praksis for bruk av implantater i norske sykehus. Felles testfasiliteter mellom industrien og helsetjenesten er et annet viktig virk</w:t>
      </w:r>
      <w:r>
        <w:t>e</w:t>
      </w:r>
      <w:r>
        <w:t>middel for å styrke klinisk evaluering av m</w:t>
      </w:r>
      <w:r>
        <w:t>e</w:t>
      </w:r>
      <w:r>
        <w:t>disinsk utstyr. I Norge har vi noen vellykkede eksempler på dette, som Oslo Cancer Cluster og Catapult Life Science (jf. omtale i boks 7.14 og 7.15). Videre er det etablert et nordisk samarbeid om kliniske testfasil</w:t>
      </w:r>
      <w:r>
        <w:t>i</w:t>
      </w:r>
      <w:r>
        <w:t>teter for blant annet medisinsk utstyr, jf. boks 8.7.</w:t>
      </w:r>
    </w:p>
    <w:p w:rsidR="00D24D21" w:rsidRDefault="00D24D21" w:rsidP="00CE47F2">
      <w:pPr>
        <w:pStyle w:val="tittel-ramme"/>
      </w:pPr>
      <w:r>
        <w:lastRenderedPageBreak/>
        <w:t>Nordisk samarbeid om kliniske testfasiliteter</w:t>
      </w:r>
    </w:p>
    <w:p w:rsidR="00D24D21" w:rsidRDefault="00D24D21" w:rsidP="00CE47F2">
      <w:r>
        <w:t>Nordic Proof er et nettverk av testfasiliteter på de største sykehusene i Norden, som aktivt bidrar til n</w:t>
      </w:r>
      <w:r>
        <w:t>æ</w:t>
      </w:r>
      <w:r>
        <w:t>ringsutvikling i helsetjenesten i de nordiske landene. Nettverket administreres av Norway Health Tech, på vegne av de øvrige partnerne. Øvrige norske medlemmer er Intervensjonssenteret ved Oslo universitetssykehus og Sunnaas sykehus. Selskapene som benytter tilbudet i Nordic Proof får ti</w:t>
      </w:r>
      <w:r>
        <w:t>l</w:t>
      </w:r>
      <w:r>
        <w:t>bakemelding på ideer fra fagmiljøene og tester produkter og løsninger basert på forskningsmessige prinsipper. Dette gjør se</w:t>
      </w:r>
      <w:r>
        <w:t>l</w:t>
      </w:r>
      <w:r>
        <w:t>skapene i stand til å utvikle bedre produkter som igjen sykehusene har glede av i sin behandling av pas</w:t>
      </w:r>
      <w:r>
        <w:t>i</w:t>
      </w:r>
      <w:r>
        <w:t>enter. Nordic Proof tar imot alle henvendelser via ett kontaktpunkt («én vei inn») og videreformidler f</w:t>
      </w:r>
      <w:r>
        <w:t>o</w:t>
      </w:r>
      <w:r>
        <w:t>respørselen til de testfasilitetene som kan være aktuelle, avhengig av type tjeneste som etterspørres. Dette gjør det også enklere for bedriftene å raskt finne riktig fagmiljø for sine tester. Målet med nettve</w:t>
      </w:r>
      <w:r>
        <w:t>r</w:t>
      </w:r>
      <w:r>
        <w:t>ket er å øke antall bedrifter som benytter testfasilitetene og bidra til å styrke kvaliteten og promotere de nordiske testfasilitetene også i et internasjonalt marked.</w:t>
      </w:r>
    </w:p>
    <w:p w:rsidR="00D24D21" w:rsidRDefault="00E636F4" w:rsidP="00E636F4">
      <w:pPr>
        <w:pStyle w:val="Figur"/>
      </w:pPr>
      <w:r>
        <w:rPr>
          <w:noProof/>
        </w:rPr>
        <w:t>[:figur:figX-X.jpg]</w:t>
      </w:r>
    </w:p>
    <w:p w:rsidR="00D24D21" w:rsidRDefault="00D24D21" w:rsidP="00CE47F2">
      <w:pPr>
        <w:pStyle w:val="figur-tittel"/>
      </w:pPr>
      <w:r>
        <w:t>Virtuell rehabilitering</w:t>
      </w:r>
    </w:p>
    <w:p w:rsidR="00D24D21" w:rsidRDefault="00D24D21" w:rsidP="00CE47F2">
      <w:pPr>
        <w:pStyle w:val="figur-noter"/>
      </w:pPr>
      <w:r>
        <w:t>Foto: Bård Gudim/Sunnaas sykehus HF</w:t>
      </w:r>
    </w:p>
    <w:p w:rsidR="00D24D21" w:rsidRDefault="00D24D21">
      <w:pPr>
        <w:pStyle w:val="Ramme-slutt"/>
        <w:rPr>
          <w:sz w:val="26"/>
          <w:szCs w:val="26"/>
        </w:rPr>
      </w:pPr>
      <w:r>
        <w:rPr>
          <w:sz w:val="26"/>
          <w:szCs w:val="26"/>
        </w:rPr>
        <w:t>[Boks slutt]</w:t>
      </w:r>
    </w:p>
    <w:p w:rsidR="00D24D21" w:rsidRDefault="00D24D21" w:rsidP="00CE47F2">
      <w:pPr>
        <w:pStyle w:val="Overskrift3"/>
      </w:pPr>
      <w:r>
        <w:t>E-helseløsninger</w:t>
      </w:r>
    </w:p>
    <w:p w:rsidR="00D24D21" w:rsidRDefault="00D24D21" w:rsidP="00CE47F2">
      <w:r>
        <w:t>Det må i større grad legges til rette for utprøving og testing av informasjonsløsninger og velferd</w:t>
      </w:r>
      <w:r>
        <w:t>s</w:t>
      </w:r>
      <w:r>
        <w:t>teknologi. Tilgang til data, systemer og brukere for å teste og validere ideer og produkter basert på reelle behov er viktig for leverandørene. Det er viktig å ha gode testfasiliteter som representerer den faktiske infrastru</w:t>
      </w:r>
      <w:r>
        <w:t>k</w:t>
      </w:r>
      <w:r>
        <w:t>turen.</w:t>
      </w:r>
    </w:p>
    <w:p w:rsidR="00D24D21" w:rsidRDefault="00D24D21" w:rsidP="00CE47F2">
      <w:r>
        <w:t>Testarenaer som legger til rette for offentlig-privat samarbeid om evaluering av e-helseløsninger vil gi viktig innsikt om hva som fungerer og hva som må forbedres. Det kan være behov for å etablere flere arenaer for testing og verifisering av digitale helseløsninger. Regionale helseforetak og ko</w:t>
      </w:r>
      <w:r>
        <w:t>m</w:t>
      </w:r>
      <w:r>
        <w:t>muner bør i samarbeid med helse</w:t>
      </w:r>
      <w:r>
        <w:t>n</w:t>
      </w:r>
      <w:r>
        <w:t>æringen legge til rette for testmiljøer for utvikling, pilotering og kvalitetssikring av e-helseløsninger. Gjennom standarder, infrastruktur og arkitektur skal tilgangen til det globale markedet forenkles for leverandørene. Det nasjonale rammeverket på e-helseområdet styres og utarbeides gjennom Direktoratet for e-helse og bør i størst mulig grad harmoniseres med e-helsearkitektur og standarder i Norden og Europa jf. omtale i kap. 7.7. Det er i dag ikke utviklet noe felles system for evaluering av e-helseløsninger som vurderes tatt i bruk i helse- og omsorgstjene</w:t>
      </w:r>
      <w:r>
        <w:t>s</w:t>
      </w:r>
      <w:r>
        <w:t>ten, slik det er for legemidler og med</w:t>
      </w:r>
      <w:r>
        <w:t>i</w:t>
      </w:r>
      <w:r>
        <w:t>sinsk utstyr.</w:t>
      </w:r>
    </w:p>
    <w:p w:rsidR="00D24D21" w:rsidRDefault="00D24D21" w:rsidP="00CE47F2">
      <w:pPr>
        <w:pStyle w:val="Overskrift3"/>
      </w:pPr>
      <w:r>
        <w:t>Regulatorisk veiledning</w:t>
      </w:r>
    </w:p>
    <w:p w:rsidR="00D24D21" w:rsidRDefault="00D24D21" w:rsidP="00CE47F2">
      <w:r>
        <w:t>Legemiddelverket deltar sammen med alle øvrige legemiddelmyndigheter i EU/EØS, i det eur</w:t>
      </w:r>
      <w:r>
        <w:t>o</w:t>
      </w:r>
      <w:r>
        <w:t>peiske legemiddelbyrået (EMA) sitt arbeid med å utrede og fatte beslutning om utstedelse av ma</w:t>
      </w:r>
      <w:r>
        <w:t>r</w:t>
      </w:r>
      <w:r>
        <w:t>kedsføringsti</w:t>
      </w:r>
      <w:r>
        <w:t>l</w:t>
      </w:r>
      <w:r>
        <w:t>latelse i EU/EØS. Derfor besitter legemiddelmyndighetene en unik kompetanse som gjøres tilgjengelig via veiledningstjenester og innovasjonsstøtte. Legemiddelverket har etablert et innovasjonskontor som kan bidra til at forskningsmiljøene gjennomfører sine studier i henhold til regulatoriske krav.</w:t>
      </w:r>
    </w:p>
    <w:p w:rsidR="00D24D21" w:rsidRDefault="00D24D21" w:rsidP="00CE47F2">
      <w:r>
        <w:lastRenderedPageBreak/>
        <w:t>For å redusere risiko i utviklingsprosjekter er det viktig for innovasjonsmiljøene i offentlig og privat sektor å ha tidlig dialog med nasjonale og europeiske regulatoriske myndigheter. Dette kan bidra til at et legemiddel får markedsføringstillatelse eller at medisinsk utstyr kan CE-merkes. Veiledningen fra Legemiddelverket kommer på denne måten næringen til nytte. I løpet av de siste årene har i</w:t>
      </w:r>
      <w:r>
        <w:t>n</w:t>
      </w:r>
      <w:r>
        <w:t>novasjonskontoret tilbudt og gjennomført veile</w:t>
      </w:r>
      <w:r>
        <w:t>d</w:t>
      </w:r>
      <w:r>
        <w:t>ningsmøter med forskere, innovasjonsmiljøer og legemiddelindustri. Denne aktiviteten har tydeliggjort at behovet for regulatorisk og vitenskapelig veiledning i de norske utvikling</w:t>
      </w:r>
      <w:r>
        <w:t>s</w:t>
      </w:r>
      <w:r>
        <w:t>miljøene er stort.</w:t>
      </w:r>
    </w:p>
    <w:p w:rsidR="00D24D21" w:rsidRDefault="00D24D21" w:rsidP="00CE47F2">
      <w:r>
        <w:t>Legemiddelverket gir råd på legemiddelområdet basert på sitt ansvar som godkjenningsmyndighet. For medisinsk utstyr er dette regulert annerledes, da det ikke kreves forhåndsgodkjenning av med</w:t>
      </w:r>
      <w:r>
        <w:t>i</w:t>
      </w:r>
      <w:r>
        <w:t>sinsk utstyr for å plassere det på markedet. Ansvar for CE-merking er delt mellom produsent og teknisk ko</w:t>
      </w:r>
      <w:r>
        <w:t>n</w:t>
      </w:r>
      <w:r>
        <w:t>trollorgan. Legemiddelverket kan gi regulatorisk veiledning, men kan ikke gi råd om detaljene i teknol</w:t>
      </w:r>
      <w:r>
        <w:t>o</w:t>
      </w:r>
      <w:r>
        <w:t>gien eller hvordan spesifikt å legge opp en klinisk utprøving for medisinsk utstyr. EU vedtok i 2017 et nytt regelverk for medisinsk utstyr. Regelverket vil få anvendelse fra he</w:t>
      </w:r>
      <w:r>
        <w:t>n</w:t>
      </w:r>
      <w:r>
        <w:t>holdsvis 2020 og 2023. Dette vil kreve kapasitets- og kompetanseøkning innenfor stort sett alle områder som omfattes av medisinsk utstyrsr</w:t>
      </w:r>
      <w:r>
        <w:t>e</w:t>
      </w:r>
      <w:r>
        <w:t>gelverk, herunder klinisk evaluering.</w:t>
      </w:r>
    </w:p>
    <w:p w:rsidR="00D24D21" w:rsidRDefault="00D24D21" w:rsidP="00CE47F2">
      <w:pPr>
        <w:pStyle w:val="Overskrift3"/>
      </w:pPr>
      <w:r>
        <w:t>Styrking av klinisk forskning og næringslivssamarbeid</w:t>
      </w:r>
    </w:p>
    <w:p w:rsidR="00D24D21" w:rsidRDefault="00D24D21" w:rsidP="00CE47F2">
      <w:r>
        <w:t>Det er iverksatt en rekke tiltak for å legge bedre til rette for klinisk forskning. Oppbygging av infrastruktur og stabil finansiering av tjenestens egen forskningsaktivitet bidrar til bedre kapasitet og kompetanse. God informasjon om studier til pasienter og leger og måling av studieaktivitet, vil legge til rette for raskere inklusjon. Videreutviklingen av NorCRIN vil bidra til at næringslivets henve</w:t>
      </w:r>
      <w:r>
        <w:t>n</w:t>
      </w:r>
      <w:r>
        <w:t>delser håndteres effektivt og profesjonelt, og at de raskt kan få oversikt over antall pasienter, kostnad og forventet tidsramme for inklusjon. Dette pågående arbeidet er oppsummert her. I tillegg vil r</w:t>
      </w:r>
      <w:r>
        <w:t>e</w:t>
      </w:r>
      <w:r>
        <w:t>gjeringen vil legge fram en egen han</w:t>
      </w:r>
      <w:r>
        <w:t>d</w:t>
      </w:r>
      <w:r>
        <w:t>lingsplan for kliniske studier i 2020.</w:t>
      </w:r>
    </w:p>
    <w:p w:rsidR="00D24D21" w:rsidRDefault="00D24D21" w:rsidP="00CE47F2">
      <w:pPr>
        <w:pStyle w:val="avsnitt-undertittel"/>
      </w:pPr>
      <w:r>
        <w:t>Stabil og forutsigbar finansiering av forskning i tjenesten</w:t>
      </w:r>
    </w:p>
    <w:p w:rsidR="00D24D21" w:rsidRDefault="00D24D21" w:rsidP="00CE47F2">
      <w:r>
        <w:t xml:space="preserve">Det er etablert to nasjonale forskningsprogrammer for kliniske studier, begge er finansiert av Helse- og omsorgsdepartementet. Programmet </w:t>
      </w:r>
      <w:r>
        <w:rPr>
          <w:rStyle w:val="kursiv"/>
          <w:sz w:val="21"/>
          <w:szCs w:val="21"/>
        </w:rPr>
        <w:t>God og treffsikker diagnostikk, behandling og rehabilitering</w:t>
      </w:r>
      <w:r>
        <w:t xml:space="preserve"> (BEHANDLING) i Forskningsrådet finansierer kliniske studier og klinisk forskning, og dekker hele helse- og omsorgstjenesten. </w:t>
      </w:r>
      <w:r>
        <w:rPr>
          <w:rStyle w:val="kursiv"/>
          <w:sz w:val="21"/>
          <w:szCs w:val="21"/>
        </w:rPr>
        <w:t>Nasjonalt program for klinisk behandlingsforskning i spesialisthelsetjenesten</w:t>
      </w:r>
      <w:r>
        <w:t xml:space="preserve"> (KLINB</w:t>
      </w:r>
      <w:r>
        <w:t>E</w:t>
      </w:r>
      <w:r>
        <w:t>FORSK) finansierer kliniske multisenterstudier på områder der det er identifisert behov for mer klinisk forskning, og med deltakelse fra alle de fire helseregionene. Det er åpent for samarbeid med industrien i begge programmene.</w:t>
      </w:r>
    </w:p>
    <w:p w:rsidR="00D24D21" w:rsidRDefault="00D24D21" w:rsidP="00CE47F2">
      <w:r>
        <w:t>Den øremerkede bevilgningen til forskning i spesialisthelsetjenesten sikrer sammen med rammef</w:t>
      </w:r>
      <w:r>
        <w:t>i</w:t>
      </w:r>
      <w:r>
        <w:t>nansiering stabil og forutsigbar finansiering av forskningsaktivitet. Dette gjør at det finnes komp</w:t>
      </w:r>
      <w:r>
        <w:t>e</w:t>
      </w:r>
      <w:r>
        <w:t>tanse og kapasitet til å gjenno</w:t>
      </w:r>
      <w:r>
        <w:t>m</w:t>
      </w:r>
      <w:r>
        <w:t>føre klinisk forskning i alle norske sykehus. Sykehusavdelinger med kompetanse og kapasitet til å gjennomføre utprøvinger er en viktig infrastruktur for produktutviklig i næringslivet.</w:t>
      </w:r>
    </w:p>
    <w:p w:rsidR="00D24D21" w:rsidRDefault="00D24D21" w:rsidP="00CE47F2">
      <w:r>
        <w:t>I 2018 ble det også etablert en ny senterordning, Forskningssentre for klinisk behandling, for å styrke toppforskning innenfor anvendt pasientrettet forskning. Det første senteret, Neuro-SysMed, vil få 20 mill. kroner i året i inntil åtte år til å forske på nevrologiske sykdommer som ALS, MS, parkinsons sykdom og demens. Haukeland universitetssykehus og Universitetet i Bergen samarbeider om se</w:t>
      </w:r>
      <w:r>
        <w:t>n</w:t>
      </w:r>
      <w:r>
        <w:lastRenderedPageBreak/>
        <w:t>teret. Senteret vil drive med utprøving av ny behandling, og målet er at behandling skal bli ti</w:t>
      </w:r>
      <w:r>
        <w:t>l</w:t>
      </w:r>
      <w:r>
        <w:t>gjengelig for pasienter i hele Norge.</w:t>
      </w:r>
    </w:p>
    <w:p w:rsidR="00D24D21" w:rsidRDefault="00D24D21" w:rsidP="00CE47F2">
      <w:pPr>
        <w:pStyle w:val="avsnitt-undertittel"/>
      </w:pPr>
      <w:r>
        <w:t>God informasjon om studier og insentiver for inklusjon</w:t>
      </w:r>
    </w:p>
    <w:p w:rsidR="00D24D21" w:rsidRDefault="00D24D21" w:rsidP="00CE47F2">
      <w:r>
        <w:t>Et viktig tiltak for å øke deltakelsen i kliniske studier, er å gi pasienter og helsepersonell informasjon om hvilke kliniske studier som pågår, og hvordan man kan melde seg som deltaker. Det er derfor etablert en nettside med informasjon om kliniske studier på helsenorge.no. Helsenorge.no er helse- og omsorgstj</w:t>
      </w:r>
      <w:r>
        <w:t>e</w:t>
      </w:r>
      <w:r>
        <w:t>nestens plattform for helseinformasjon og selvbetjeningsløsninger for befolkningen. Her kan pasienter søke opp om noen forsker på deres sykdom, og hvordan man går fram for å delta. Prosjektleders ko</w:t>
      </w:r>
      <w:r>
        <w:t>n</w:t>
      </w:r>
      <w:r>
        <w:t>taktinformasjon skal være lett tilgjengelig. Behandlingsinformasjon og kliniske studier er også koblet sammen. Det vil si at når en pasient for eksempel leser om behandling av hodepine på Akershus unive</w:t>
      </w:r>
      <w:r>
        <w:t>r</w:t>
      </w:r>
      <w:r>
        <w:t>sitetssykehus, vil hun samtidig finne informasjon om relevante kliniske studier.</w:t>
      </w:r>
    </w:p>
    <w:p w:rsidR="00D24D21" w:rsidRDefault="00D24D21" w:rsidP="00CE47F2">
      <w:r>
        <w:t>Målinger og benchmarking er viktig for å sette fokus på et område. Det har derfor vært et uttrykt mål om å få til bedre måling av hvor mange og hvilke kliniske studier vi har, og hvor mange pasienter som inngår. En nasjonal database med data over alle kliniske studier ble etablert i oktober 2016. Databasen er integrert i det nasjonale forskningsinformasjonssystemet CRIStin (Current research information system in Norway). Når de regionale forskningsetiske komiteene (REK) godkjenner nye kliniske studier, hentes data om prosjektene til CRIStin slik at informasjon om studiene er å finne på samme sted som publikasj</w:t>
      </w:r>
      <w:r>
        <w:t>o</w:t>
      </w:r>
      <w:r>
        <w:t>ner og formidling som følge av studiene. I tillegg ønsker regjeringen å legge til rette for å gi økonomiske insentiver for kliniske studier og antall pasienter som deltar. I 2017 ble det utviklet en indikator for klini</w:t>
      </w:r>
      <w:r>
        <w:t>s</w:t>
      </w:r>
      <w:r>
        <w:t>ke studier bestående av to faktorer. Her belønnes helseforetaket både for å koordinere og delta i en klinisk studie. Den andre faktoren er antall pasienter som er r</w:t>
      </w:r>
      <w:r>
        <w:t>e</w:t>
      </w:r>
      <w:r>
        <w:t>kruttert til studien. Når data som ligger til grunn for rapporteringen er av tilstrekkelig kvalitet, vil denne indikatoren innlemmes i det delvis resu</w:t>
      </w:r>
      <w:r>
        <w:t>l</w:t>
      </w:r>
      <w:r>
        <w:t>tatbaserte finaniseringssystemet for forskning i de regionale helseforetakene på fast basis.</w:t>
      </w:r>
    </w:p>
    <w:p w:rsidR="00D24D21" w:rsidRDefault="00D24D21" w:rsidP="00CE47F2">
      <w:pPr>
        <w:pStyle w:val="tittel-ramme"/>
      </w:pPr>
      <w:r>
        <w:t>NorCRIN</w:t>
      </w:r>
    </w:p>
    <w:p w:rsidR="00D24D21" w:rsidRDefault="00D24D21" w:rsidP="00CE47F2">
      <w:r>
        <w:t>NorCRIN, Norwegian Clinical Research Infrastructures Network ble etablert av de regionale he</w:t>
      </w:r>
      <w:r>
        <w:t>l</w:t>
      </w:r>
      <w:r>
        <w:t>seforetakene i 2012, på oppdrag fra Helse- og omsorgsdepartementet. NorCRIN er en nasjonal forskningsinfr</w:t>
      </w:r>
      <w:r>
        <w:t>a</w:t>
      </w:r>
      <w:r>
        <w:t>struktur med hovedmål å styrke og forenkle samarbeid innenfor alle kategorier av klinisk studier i Norge. NorCRIN er del av det europeiske nettverket European Clinical Research Infrastructure Network (ECRIN). Målet er å øke antall kliniske studier, spesielt nasjonale mult</w:t>
      </w:r>
      <w:r>
        <w:t>i</w:t>
      </w:r>
      <w:r>
        <w:t>senterstudier, samt økt kvalitet og gjennomføringshastighet for kliniske studier. Samarbeidet skal videre legge til rette for flere internasj</w:t>
      </w:r>
      <w:r>
        <w:t>o</w:t>
      </w:r>
      <w:r>
        <w:t>nale studier, fortrinnsvis i Norden og Europa.</w:t>
      </w:r>
    </w:p>
    <w:p w:rsidR="00D24D21" w:rsidRDefault="00D24D21" w:rsidP="00CE47F2">
      <w:r>
        <w:t>De seks universitetssykehusene i Norge inngår i nettverket, som koordineres fra St. Olavs hospital HF. Styreleder er fra Oslo universitetssykehus HF. Fra 2015–2020 finansieres NorCRIN gjennom Forskning</w:t>
      </w:r>
      <w:r>
        <w:t>s</w:t>
      </w:r>
      <w:r>
        <w:t>rådet som nasjonal forskningsinfrastruktur (50 mill. kroner totalt), i tillegg til egeninnsats fra partnerne. Kliniske multisenterstudier som mottar støtte via Program for klinisk behandling</w:t>
      </w:r>
      <w:r>
        <w:t>s</w:t>
      </w:r>
      <w:r>
        <w:t>forskning op</w:t>
      </w:r>
      <w:r>
        <w:t>p</w:t>
      </w:r>
      <w:r>
        <w:t>fordres til å benytte NorCRIN. NorCRIN utvikler blant annet nasjonale prosedyrer for klinisk forskning, standardiserte Good Clinical Practice (GCP)-kurs og koordinering av monitor</w:t>
      </w:r>
      <w:r>
        <w:t>e</w:t>
      </w:r>
      <w:r>
        <w:t>ringstjenester. Det er også pekt på at faglige forskernettverk kan knyttes til NorCRIN for å utnytte hverandres faglige kompetanse og nettverk.</w:t>
      </w:r>
    </w:p>
    <w:p w:rsidR="00D24D21" w:rsidRDefault="00D24D21" w:rsidP="00CE47F2">
      <w:r>
        <w:lastRenderedPageBreak/>
        <w:t>Nettverket er utvidet med en egen node for tidligfase kliniske studier. Ved å få flere tidligfase studier til Norge, øker sannsynligheten for flere fase II- og III-studier finansiert av industrien. Det er også etablert en node for kliniske studier på barn, ved å knytte NorPedMed, det kliniske forskningsnet</w:t>
      </w:r>
      <w:r>
        <w:t>t</w:t>
      </w:r>
      <w:r>
        <w:t>verket for barn, til NorCRIN.</w:t>
      </w:r>
    </w:p>
    <w:p w:rsidR="00D24D21" w:rsidRDefault="00D24D21" w:rsidP="00CE47F2">
      <w:r>
        <w:t>Det arbeides for å øke andelen industrifinansierte studier og industrisamarbeid gjennom NorCRIN. Legemiddelindustriforeningen har utpekt en kontaktperson og industrien deltar i arbeidet. Det gjennomføres årlige møter med industrien. I forbindelse med nettverkets arbeidspakke 4, samarbeid med industri, har Akershus universitetssyk</w:t>
      </w:r>
      <w:r>
        <w:t>e</w:t>
      </w:r>
      <w:r>
        <w:t>hus utviklet et standardisert forløp for industri-initierte studier som viser de ulike trinnene i prosessen på en tidslinje (se figur 8.11). Slike systematiske arbeidsprosesser sikrer at alle de nødvendige trinnene i prosessen utføres til riktig tid og gjør det enklere for alle parter å initiere og planlegge en studie.</w:t>
      </w:r>
    </w:p>
    <w:p w:rsidR="00D24D21" w:rsidRDefault="00E636F4" w:rsidP="00E636F4">
      <w:pPr>
        <w:pStyle w:val="Figur"/>
      </w:pPr>
      <w:r>
        <w:rPr>
          <w:noProof/>
        </w:rPr>
        <w:t>[:figur:figX-X.jpg]</w:t>
      </w:r>
    </w:p>
    <w:p w:rsidR="00D24D21" w:rsidRDefault="00D24D21" w:rsidP="00CE47F2">
      <w:pPr>
        <w:pStyle w:val="figur-tittel"/>
      </w:pPr>
      <w:r>
        <w:t>Noder i NorCRIN</w:t>
      </w:r>
    </w:p>
    <w:p w:rsidR="00D24D21" w:rsidRDefault="00D24D21" w:rsidP="00CE47F2">
      <w:pPr>
        <w:pStyle w:val="Kilde"/>
      </w:pPr>
      <w:r>
        <w:t>NorCRIN</w:t>
      </w:r>
    </w:p>
    <w:p w:rsidR="00D24D21" w:rsidRDefault="00D24D21">
      <w:pPr>
        <w:pStyle w:val="Ramme-slutt"/>
        <w:rPr>
          <w:sz w:val="26"/>
          <w:szCs w:val="26"/>
        </w:rPr>
      </w:pPr>
      <w:r>
        <w:rPr>
          <w:sz w:val="26"/>
          <w:szCs w:val="26"/>
        </w:rPr>
        <w:t>[Boks slutt]</w:t>
      </w:r>
    </w:p>
    <w:p w:rsidR="00D24D21" w:rsidRDefault="00E636F4" w:rsidP="00E636F4">
      <w:pPr>
        <w:pStyle w:val="Figur"/>
      </w:pPr>
      <w:r>
        <w:rPr>
          <w:noProof/>
        </w:rPr>
        <w:t>[:figur:figX-X.jpg]</w:t>
      </w:r>
    </w:p>
    <w:p w:rsidR="00D24D21" w:rsidRDefault="00D24D21" w:rsidP="00CE47F2">
      <w:pPr>
        <w:pStyle w:val="figur-tittel"/>
      </w:pPr>
      <w:r>
        <w:t>Standardisert forløp for industristudier ved Akershus universitetssykehus</w:t>
      </w:r>
    </w:p>
    <w:p w:rsidR="00D24D21" w:rsidRDefault="00D24D21" w:rsidP="00CE47F2">
      <w:pPr>
        <w:pStyle w:val="Kilde"/>
        <w:rPr>
          <w:rFonts w:cs="Times New Roman"/>
          <w:sz w:val="24"/>
          <w:szCs w:val="24"/>
          <w:lang w:val="en-GB"/>
        </w:rPr>
      </w:pPr>
      <w:r>
        <w:t>Akershus universitetssykehus, partner i NorCRIN</w:t>
      </w:r>
    </w:p>
    <w:p w:rsidR="00D24D21" w:rsidRDefault="00D24D21" w:rsidP="00CE47F2">
      <w:pPr>
        <w:pStyle w:val="avsnitt-undertittel"/>
      </w:pPr>
      <w:r>
        <w:t>Én vei inn for kliniske studier – partnerskapsmodell med næringslivet</w:t>
      </w:r>
    </w:p>
    <w:p w:rsidR="00D24D21" w:rsidRDefault="00D24D21" w:rsidP="00CE47F2">
      <w:r>
        <w:t>Flere industriaktører uttrykker behov for at henvendelser kan besvares raskt, effektivt og profesj</w:t>
      </w:r>
      <w:r>
        <w:t>o</w:t>
      </w:r>
      <w:r>
        <w:t>nelt, og at de gjennom en enkelt henvendelse får oversikt over antall pasienter, kostnad og mulig tidsramme. Fo</w:t>
      </w:r>
      <w:r>
        <w:t>r</w:t>
      </w:r>
      <w:r>
        <w:t>utsigbarhet når det gjelder forhandling og kontrakt er et annet sentralt behov for næringslivet.</w:t>
      </w:r>
    </w:p>
    <w:p w:rsidR="00D24D21" w:rsidRDefault="00D24D21" w:rsidP="00CE47F2">
      <w:r>
        <w:t>Ved styrket partnerskap og forankring av NorCRIN hos industrisamarbeidspartnerne kan denne infrastrukturen bli «én vei inn» for industri-initierte kliniske studier i Norge. Regjeringen ser verdien av et mer formalisert samarbeid mellom industrien og det offentlige om kliniske studier, både for å dra nytte av industriens erfaring og kompetanse med kliniske studier i videreutviklingen av No</w:t>
      </w:r>
      <w:r>
        <w:t>r</w:t>
      </w:r>
      <w:r>
        <w:t>CRIN og for å ansva</w:t>
      </w:r>
      <w:r>
        <w:t>r</w:t>
      </w:r>
      <w:r>
        <w:t>liggjøre industrien.</w:t>
      </w:r>
    </w:p>
    <w:p w:rsidR="00D24D21" w:rsidRDefault="00D24D21" w:rsidP="00CE47F2">
      <w:r>
        <w:t>I 2019 fikk de regionale helseforetakene i oppdrag, i samarbeid med næringslivet, å utrede hvordan NorCRIN kan kobles tettere til industrien gjennom en partnerskapsmodell. Modellen skal dekke behovene både for legemiddelindustrien og medtek-industrien, og må ses i sammenheng med op</w:t>
      </w:r>
      <w:r>
        <w:t>p</w:t>
      </w:r>
      <w:r>
        <w:t>gavene til teknologioverføringskontorene (TTOene). I utredningen skal det ses til den danske NEXT-modellen, der ind</w:t>
      </w:r>
      <w:r>
        <w:t>u</w:t>
      </w:r>
      <w:r>
        <w:t>strien inviteres til å forplikte seg til å kjøre et visst antall kliniske studier gjennom et formelt økon</w:t>
      </w:r>
      <w:r>
        <w:t>o</w:t>
      </w:r>
      <w:r>
        <w:t>misk samarbeid. Også Norges forskningsråd må involveres i arbeidet, med tanke på føringene som ligger for tildeling av forskningsinfrastrukturmidler i tråd med statsstøtt</w:t>
      </w:r>
      <w:r>
        <w:t>e</w:t>
      </w:r>
      <w:r>
        <w:t>regelverket. Det bør vurderes hvordan eksisterende ressurser i forskningsstøtteenhetene og TTOene kan utnyttes bedre, eller kobles bedre på modellen.</w:t>
      </w:r>
    </w:p>
    <w:p w:rsidR="00D24D21" w:rsidRDefault="00D24D21" w:rsidP="00CE47F2">
      <w:r>
        <w:lastRenderedPageBreak/>
        <w:t>Øvrige mulige tiltak kan være å styrke NorCRIN med rådgiver for kommersialisering, samt etabl</w:t>
      </w:r>
      <w:r>
        <w:t>e</w:t>
      </w:r>
      <w:r>
        <w:t>ring av nettverk for utvalgte fagområder, etter modell av The Norwegian Immuno-Oncology Co</w:t>
      </w:r>
      <w:r>
        <w:t>n</w:t>
      </w:r>
      <w:r>
        <w:t>sortium.</w:t>
      </w:r>
    </w:p>
    <w:p w:rsidR="00D24D21" w:rsidRDefault="00D24D21" w:rsidP="00CE47F2">
      <w:pPr>
        <w:pStyle w:val="avsnitt-undertittel"/>
      </w:pPr>
      <w:r>
        <w:t>Nordisk og internasjonalt samarbeid</w:t>
      </w:r>
    </w:p>
    <w:p w:rsidR="00D24D21" w:rsidRDefault="00D24D21" w:rsidP="00CE47F2">
      <w:r>
        <w:t>Internasjonalt samarbeid om kliniske studier er viktig for å øke omfang og deltakelse. Norge sa</w:t>
      </w:r>
      <w:r>
        <w:t>m</w:t>
      </w:r>
      <w:r>
        <w:t>arbeider med de andre nordiske landene i et felles prosjekt kalt Nordic Trials Alliance (NTA). NTA kobler No</w:t>
      </w:r>
      <w:r>
        <w:t>r</w:t>
      </w:r>
      <w:r>
        <w:t>CRIN sammen med tilsvarende nettverk i de øvrige nordiske landene. I dette prosjektet utforskes også mulighetene for å få til mer samordnet etikkvurdering, slik at gjennomføring av kl</w:t>
      </w:r>
      <w:r>
        <w:t>i</w:t>
      </w:r>
      <w:r>
        <w:t>niske studier i Norden kan bli mer effektivt. I tillegg er Norge medlem i den europeiske overby</w:t>
      </w:r>
      <w:r>
        <w:t>g</w:t>
      </w:r>
      <w:r>
        <w:t>ningen av NorCRIN, ECRIN, som arbeider for å styrke det europeiske samarbeidet om forskning</w:t>
      </w:r>
      <w:r>
        <w:t>s</w:t>
      </w:r>
      <w:r>
        <w:t>infrastruktur for kliniske studier.</w:t>
      </w:r>
    </w:p>
    <w:p w:rsidR="00D24D21" w:rsidRDefault="00D24D21" w:rsidP="00CE47F2">
      <w:r>
        <w:t>For å følge opp OECDs Global Science forum, ble det i 2017 opprettet et Clinical Research Initiative for Global Health (CRIGH) med ca. 20 medlemsorganisasjoner og 20 observatører fra alle kont</w:t>
      </w:r>
      <w:r>
        <w:t>i</w:t>
      </w:r>
      <w:r>
        <w:t>nenter. CRIGH skal utvikle en infrastruktur og nettverk for internasjonalt samarbeid om kliniske studier. CRIGH har sekretariat ved ECRIN og National Institutes of Health (NIH) og har etablert samarbeid med Verdens helseorganisasjon, WHO. Formålet er effektivisere klinisk forskning i de deltagende landene, bidra til å utvikle globale standarder innenfor kompetanse, utdanning og pas</w:t>
      </w:r>
      <w:r>
        <w:t>i</w:t>
      </w:r>
      <w:r>
        <w:t>entinvolvering, og fremme opptak av nyskapende metodikk og teknologi. Norge deltar i arbeidet med Folkehelseinstituttet, Forskningsrådet (observatør) og NorCRIN (observatør).</w:t>
      </w:r>
    </w:p>
    <w:p w:rsidR="00D24D21" w:rsidRDefault="00D24D21" w:rsidP="00CE47F2">
      <w:pPr>
        <w:pStyle w:val="Overskrift2"/>
      </w:pPr>
      <w:r>
        <w:t>Vurdering og beslutning om innføring</w:t>
      </w:r>
    </w:p>
    <w:p w:rsidR="00D24D21" w:rsidRDefault="00D24D21" w:rsidP="00CE47F2">
      <w:r>
        <w:t>Dersom den kliniske utprøvingen er gjennomført med et positivt resultat, og produkter har fått de nø</w:t>
      </w:r>
      <w:r>
        <w:t>d</w:t>
      </w:r>
      <w:r>
        <w:t>vendige godkjenningene, kan innovasjonen lanseres på markedet. Det er da opp til kunden å vurdere om verdien og nytten er større ved det nye produktet enn det som allerede er i bruk. Dette er en krevende prosess, da mengden av nye produkter som lanseres på markedet øker betydelig, og ofte har en pris som er høyere enn dagens løsninger. Nye produkter kan kreve betydelige organisatoriske endringer eller op</w:t>
      </w:r>
      <w:r>
        <w:t>p</w:t>
      </w:r>
      <w:r>
        <w:t>bygging av ny kompetanse i tjenesten. I tillegg kan enkelte produkter gi etiske utfordringer (for e</w:t>
      </w:r>
      <w:r>
        <w:t>k</w:t>
      </w:r>
      <w:r>
        <w:t>sempel nye diagnostiske tester i nyfødtscreeningen) eller personvernutfordringer (for eksempel knyttet til aut</w:t>
      </w:r>
      <w:r>
        <w:t>o</w:t>
      </w:r>
      <w:r>
        <w:t>matisk lagring og bruk av data fra blodsukkermålere), som må ivaretas i tråd med gjeldende regelverk. Dette gjør at helse- og omsorgstjenestene må foreta vanskelige vu</w:t>
      </w:r>
      <w:r>
        <w:t>r</w:t>
      </w:r>
      <w:r>
        <w:t>deringer og prioriteringer.</w:t>
      </w:r>
    </w:p>
    <w:p w:rsidR="00D24D21" w:rsidRDefault="00D24D21" w:rsidP="00CE47F2">
      <w:pPr>
        <w:pStyle w:val="Overskrift3"/>
      </w:pPr>
      <w:r>
        <w:t>Vurdering av metoder</w:t>
      </w:r>
    </w:p>
    <w:p w:rsidR="00D24D21" w:rsidRDefault="00D24D21" w:rsidP="00CE47F2">
      <w:r>
        <w:t>For å hjelpe beslutningstakerne gjennomfører de fleste land metodevurderinger (health technology a</w:t>
      </w:r>
      <w:r>
        <w:t>s</w:t>
      </w:r>
      <w:r>
        <w:t>sessment). En metodevurdering er en systematisk vurdering av forskning om effekt og sikkerhet av tiltak for forebygging, diagnostisering, behandling, rehabilitering eller organisering av helsetjene</w:t>
      </w:r>
      <w:r>
        <w:t>s</w:t>
      </w:r>
      <w:r>
        <w:t>ter. En m</w:t>
      </w:r>
      <w:r>
        <w:t>e</w:t>
      </w:r>
      <w:r>
        <w:t>todevurdering kan også synliggjøre økonomiske, etiske, sosiale, organisatoriske eller juridiske kons</w:t>
      </w:r>
      <w:r>
        <w:t>e</w:t>
      </w:r>
      <w:r>
        <w:t>kvenser.</w:t>
      </w:r>
    </w:p>
    <w:p w:rsidR="00D24D21" w:rsidRDefault="00D24D21" w:rsidP="00CE47F2">
      <w:r>
        <w:t>Metodevurderinger er et viktig verktøy for å bidra til likeverdige tjenester av høy kvalitet og en bær</w:t>
      </w:r>
      <w:r>
        <w:t>e</w:t>
      </w:r>
      <w:r>
        <w:t xml:space="preserve">kraftig helse- og omsorgstjeneste. De mulighetene som nye behandlinger og teknologi gir kan også by på store utfordringer. Mange av disse tiltakene er kostbare, og det totale ressursbehovet </w:t>
      </w:r>
      <w:r>
        <w:lastRenderedPageBreak/>
        <w:t>overstiger tilgjen</w:t>
      </w:r>
      <w:r>
        <w:t>g</w:t>
      </w:r>
      <w:r>
        <w:t>elige ressurser. Det er derfor avgjørende at beslutningstakere har kunnskap om sikkerhet, effekt, kos</w:t>
      </w:r>
      <w:r>
        <w:t>t</w:t>
      </w:r>
      <w:r>
        <w:t>nadseffektivitet og andre konsekvenser. En metodevurdering har som formål å gi beslutningstagerne nettopp denne informasjonen, både om nye og eksist</w:t>
      </w:r>
      <w:r>
        <w:t>e</w:t>
      </w:r>
      <w:r>
        <w:t>rende tiltak. I tillegg kan metodevurderinger bidra til transparens om kunnskapsgrunnlaget for beslutninger som kan være av stor betydning både for næring</w:t>
      </w:r>
      <w:r>
        <w:t>s</w:t>
      </w:r>
      <w:r>
        <w:t>livet, helsetjenesten og pasienter og pårørende. Metodevurderinger kan også benyttes for utfasing av metoder, og derved gi økt handlingsrom for innføring av nye, bedre metoder.</w:t>
      </w:r>
    </w:p>
    <w:p w:rsidR="00D24D21" w:rsidRDefault="00D24D21" w:rsidP="00CE47F2">
      <w:r>
        <w:t>På lokalt nivå er det helseforetakene, med støtte fra de regionale helseforetakene, som har ansvar for at det gje</w:t>
      </w:r>
      <w:r>
        <w:t>n</w:t>
      </w:r>
      <w:r>
        <w:t>nomføres mini-metodevurderinger og ta beslutninger om innføring basert på disse. På nasjonalt nivå benyttes to typer metodevurderinger: hurtige metodevurderinger og fullstendige m</w:t>
      </w:r>
      <w:r>
        <w:t>e</w:t>
      </w:r>
      <w:r>
        <w:t>todevurderinger. Fullstendige metod</w:t>
      </w:r>
      <w:r>
        <w:t>e</w:t>
      </w:r>
      <w:r>
        <w:t>vurderinger brukes i hovedsak til å vurdere hele terapiområder samlet. Hurtige metodevurderinger (single tec</w:t>
      </w:r>
      <w:r>
        <w:t>h</w:t>
      </w:r>
      <w:r>
        <w:t>nology assessment) gjøres for enkeltteknologier. Folkehelseinstituttet og Legemiddelverket har i oppgave å uta</w:t>
      </w:r>
      <w:r>
        <w:t>r</w:t>
      </w:r>
      <w:r>
        <w:t>beide metodevurderinger på nasjonalt nivå.</w:t>
      </w:r>
    </w:p>
    <w:p w:rsidR="00D24D21" w:rsidRDefault="00D24D21" w:rsidP="00CE47F2">
      <w:r>
        <w:t>Folkehelseinstituttet og Legemiddelverket arbeider med å effektivisere prosessene og videreutvikle nye former for metodevurderinger blant annet innenfor persontilpasset medisin og «companion diagnostics» og på områder der det er mangelfull dokumentasjon av effekt og nytte. Denne utfor</w:t>
      </w:r>
      <w:r>
        <w:t>d</w:t>
      </w:r>
      <w:r>
        <w:t>ringen er spesielt knyttet til medisinsk utstyr, herunder diagnostikk og prosedyrer, hvor verken d</w:t>
      </w:r>
      <w:r>
        <w:t>o</w:t>
      </w:r>
      <w:r>
        <w:t>kumentasjonen eller metodevurderingsverktøyet er like godt utviklet i dag som for legemidler. A</w:t>
      </w:r>
      <w:r>
        <w:t>k</w:t>
      </w:r>
      <w:r>
        <w:t>tørene er avhengig av tidlig og god dialog med næringslivet om dokument</w:t>
      </w:r>
      <w:r>
        <w:t>a</w:t>
      </w:r>
      <w:r>
        <w:t>sjon. Folkehelseinstituttet vil utforske bruk av ny teknologi, inkludert maskinlæring i utarbeidelse av metodevurderinger. Aktørene deltar også i internasjonalt samarbeid om metodevurderinger, blant annet gjennom det europeiske nettverket for metodevurd</w:t>
      </w:r>
      <w:r>
        <w:t>e</w:t>
      </w:r>
      <w:r>
        <w:t>ringer, EUnetHTA. Europakommisjonen fremmet 31. januar 2018 forslag til en forordning om både frivillig og obligatorisk samarbeid om medisinske metod</w:t>
      </w:r>
      <w:r>
        <w:t>e</w:t>
      </w:r>
      <w:r>
        <w:t>vurderinger i EU for Rådet for den europeiske union og Europaparlamentet.</w:t>
      </w:r>
    </w:p>
    <w:p w:rsidR="00D24D21" w:rsidRDefault="00D24D21" w:rsidP="00CE47F2">
      <w:pPr>
        <w:pStyle w:val="Overskrift3"/>
      </w:pPr>
      <w:r>
        <w:t>System for Nye metoder</w:t>
      </w:r>
    </w:p>
    <w:p w:rsidR="00D24D21" w:rsidRDefault="00D24D21" w:rsidP="00CE47F2">
      <w:r>
        <w:t>I Norge er det etablert et nasjonalt system for vurdering av nye og etablerte behandlingsmetoder og te</w:t>
      </w:r>
      <w:r>
        <w:t>k</w:t>
      </w:r>
      <w:r>
        <w:t xml:space="preserve">nologi i spesialisthelsetjenesten. Systemet kalles </w:t>
      </w:r>
      <w:r>
        <w:rPr>
          <w:rStyle w:val="kursiv"/>
          <w:sz w:val="21"/>
          <w:szCs w:val="21"/>
        </w:rPr>
        <w:t>Nye metoder</w:t>
      </w:r>
      <w:r>
        <w:t>. Det gjøres også metodevurdering av alle nye legemidler som kommer under folketrygdens finansieringsansvar. Stortinget har i behan</w:t>
      </w:r>
      <w:r>
        <w:t>d</w:t>
      </w:r>
      <w:r>
        <w:t xml:space="preserve">lingen av Meld. St. 34 (2015–2016) </w:t>
      </w:r>
      <w:r>
        <w:rPr>
          <w:rStyle w:val="kursiv"/>
          <w:sz w:val="21"/>
          <w:szCs w:val="21"/>
        </w:rPr>
        <w:t>Verdier i pasientens helsetjeneste – Melding om prioritering</w:t>
      </w:r>
      <w:r>
        <w:t xml:space="preserve"> stilt seg bak et sett av pri</w:t>
      </w:r>
      <w:r>
        <w:t>o</w:t>
      </w:r>
      <w:r>
        <w:t>riteringskriterier for helsetjenesten. Det er viktig at også næringslivsaktørene er kjent med hvilke vurd</w:t>
      </w:r>
      <w:r>
        <w:t>e</w:t>
      </w:r>
      <w:r>
        <w:t>ringer som gjøres i forbindelse med beslutning om innføring av nye metoder i tjenesten, og pla</w:t>
      </w:r>
      <w:r>
        <w:t>n</w:t>
      </w:r>
      <w:r>
        <w:t>legger utviklingsprosessene ut fra dette.</w:t>
      </w:r>
    </w:p>
    <w:p w:rsidR="00D24D21" w:rsidRDefault="00D24D21" w:rsidP="00CE47F2">
      <w:r>
        <w:t>Formålet med et nasjonalt system for innføring av nye metoder i spesialisthelsetjenesten er å u</w:t>
      </w:r>
      <w:r>
        <w:t>n</w:t>
      </w:r>
      <w:r>
        <w:t>derstøtte kunnskapsbasert praksis og pasientsikkerhet, samt rasjonell ressursbruk. Et sentralt vi</w:t>
      </w:r>
      <w:r>
        <w:t>r</w:t>
      </w:r>
      <w:r>
        <w:t>kemiddel er bruk av metod</w:t>
      </w:r>
      <w:r>
        <w:t>e</w:t>
      </w:r>
      <w:r>
        <w:t>vurderinger utarbeidet etter internasjonalt anerkjent metodikk. Systemet skal sikre at pasienter så raskt som mulig får likeverdig tilgang til nye metoder som er dokumentert virkningsfulle og kostnadseffektive, og at nye metoder som er lite kostnadseffektive eller skadelige for pasientene ikke skal tas i bruk eller fases ut. Systemet bidrar også til større transparens og fo</w:t>
      </w:r>
      <w:r>
        <w:t>r</w:t>
      </w:r>
      <w:r>
        <w:t>utsigbarhet for både industrien, det offentlige og andre aktører. Ansvaret for drift og videreutvikling av systemet ligger innenfor «sø</w:t>
      </w:r>
      <w:r>
        <w:t>r</w:t>
      </w:r>
      <w:r>
        <w:t>ge-for»-ansvaret til de regionale helseforetakene.</w:t>
      </w:r>
    </w:p>
    <w:p w:rsidR="00D24D21" w:rsidRDefault="00D24D21" w:rsidP="00CE47F2">
      <w:r>
        <w:lastRenderedPageBreak/>
        <w:t>For å sikre forankring, er det etablert en bredt sammensatt referansegruppe for systemet der også næringslivet deltar, sammen med blant annet representanter for pasientorganisasjoner, profesjon</w:t>
      </w:r>
      <w:r>
        <w:t>s</w:t>
      </w:r>
      <w:r>
        <w:t>organisasjoner og universiteter. Videre arbeider aktørene i systemet med å videreutvikle brukeri</w:t>
      </w:r>
      <w:r>
        <w:t>n</w:t>
      </w:r>
      <w:r>
        <w:t>volvering i prosessene, samt tettere samarbeid med leverandører i hele saksbehandlingskjeden.</w:t>
      </w:r>
    </w:p>
    <w:p w:rsidR="00D24D21" w:rsidRDefault="00E636F4" w:rsidP="00E636F4">
      <w:pPr>
        <w:pStyle w:val="Figur"/>
      </w:pPr>
      <w:r>
        <w:rPr>
          <w:noProof/>
        </w:rPr>
        <w:t>[:figur:figX-X.jpg]</w:t>
      </w:r>
    </w:p>
    <w:p w:rsidR="00D24D21" w:rsidRDefault="00D24D21" w:rsidP="00CE47F2">
      <w:pPr>
        <w:pStyle w:val="figur-tittel"/>
      </w:pPr>
      <w:r>
        <w:t>Prosesskart – Nye metoder</w:t>
      </w:r>
    </w:p>
    <w:p w:rsidR="00D24D21" w:rsidRDefault="00D24D21" w:rsidP="00CE47F2">
      <w:pPr>
        <w:pStyle w:val="Kilde"/>
        <w:rPr>
          <w:rFonts w:cs="Times New Roman"/>
          <w:sz w:val="24"/>
          <w:szCs w:val="24"/>
          <w:lang w:val="en-GB"/>
        </w:rPr>
      </w:pPr>
      <w:r>
        <w:t>Nye metoder</w:t>
      </w:r>
    </w:p>
    <w:p w:rsidR="00D24D21" w:rsidRDefault="00D24D21" w:rsidP="00CE47F2">
      <w:r>
        <w:t>Beslutninger kan tas på to nivåer, nasjonalt eller lokalt. Metoder som har stor effekt på pasientb</w:t>
      </w:r>
      <w:r>
        <w:t>e</w:t>
      </w:r>
      <w:r>
        <w:t>handling eller som har store budsjettmessige konsekvenser, bør vurderes nasjonalt for å sikre lik</w:t>
      </w:r>
      <w:r>
        <w:t>e</w:t>
      </w:r>
      <w:r>
        <w:t>verdig tilgang til disse metodene. Bestillerforum RHF har som oppgave å beslutte hvilke metod</w:t>
      </w:r>
      <w:r>
        <w:t>e</w:t>
      </w:r>
      <w:r>
        <w:t xml:space="preserve">vurderinger som bør gjennomføres på nasjonalt nivå. De regionale helseforetakene har etablert en organisatorisk løsning gjennom </w:t>
      </w:r>
      <w:r>
        <w:rPr>
          <w:rStyle w:val="kursiv"/>
          <w:sz w:val="21"/>
          <w:szCs w:val="21"/>
        </w:rPr>
        <w:t>Beslutningsforum for nye metoder</w:t>
      </w:r>
      <w:r>
        <w:t xml:space="preserve"> for å kunne fatte felles beslutninger som binder de fire regi</w:t>
      </w:r>
      <w:r>
        <w:t>o</w:t>
      </w:r>
      <w:r>
        <w:t>nale helseforetakene. Beslutningsforum består av de fire administrerende direktørene i de regionale helseforetakene, og inkluderer også en representant fra de regionale br</w:t>
      </w:r>
      <w:r>
        <w:t>u</w:t>
      </w:r>
      <w:r>
        <w:t>kerutvalgene som observatør med talerett.</w:t>
      </w:r>
    </w:p>
    <w:p w:rsidR="00D24D21" w:rsidRDefault="00D24D21" w:rsidP="00CE47F2">
      <w:r>
        <w:t xml:space="preserve">Det er to måter saker kan bli meldt inn i systemet </w:t>
      </w:r>
      <w:r>
        <w:rPr>
          <w:rStyle w:val="kursiv"/>
          <w:sz w:val="21"/>
          <w:szCs w:val="21"/>
        </w:rPr>
        <w:t>Nye metoder</w:t>
      </w:r>
      <w:r>
        <w:t>: gjennom innkommende forslag (åpent for alle, næringsliv, institusjoner og enkeltpersoner) eller gjennom et metodevarsel utarbeidet av Folkehelseinstituttet eller Statens legemiddelverk. Saksbehandlingsprosessene i systemet skal ti</w:t>
      </w:r>
      <w:r>
        <w:t>l</w:t>
      </w:r>
      <w:r>
        <w:t>rettelegge for en rask behandling og innføring av nye metoder uten ubegrunnet utsettelse, en tran</w:t>
      </w:r>
      <w:r>
        <w:t>s</w:t>
      </w:r>
      <w:r>
        <w:t>parent og inklud</w:t>
      </w:r>
      <w:r>
        <w:t>e</w:t>
      </w:r>
      <w:r>
        <w:t>rende prosess for alle aktørene i systemet, samt berørte interesserte og aktører utenfor systemet, en grundig og kunnskapsbasert vurdering av metoder til behandling i systemet, samt beslutninger basert på prinsippene på prioritering. Det er satt som mål at utredning</w:t>
      </w:r>
      <w:r>
        <w:t>s</w:t>
      </w:r>
      <w:r>
        <w:t>enhetene maksimalt skal bruke 180 dager på å gjennomføre en hurtig metodevurdering. Fullstendige met</w:t>
      </w:r>
      <w:r>
        <w:t>o</w:t>
      </w:r>
      <w:r>
        <w:t>devurderinger gjennomføres på om lag 8–12 måneder. Fristene gjelder fra etatene har mottatt d</w:t>
      </w:r>
      <w:r>
        <w:t>o</w:t>
      </w:r>
      <w:r>
        <w:t>kumentasjon fra lev</w:t>
      </w:r>
      <w:r>
        <w:t>e</w:t>
      </w:r>
      <w:r>
        <w:t>randørene ved de såkalte hurtig metodevurderinger.</w:t>
      </w:r>
    </w:p>
    <w:p w:rsidR="00D24D21" w:rsidRDefault="00D24D21" w:rsidP="00CE47F2">
      <w:r>
        <w:t>For å sikre best mulig beslutningsgrunnlag og transparens, har leverandører og pasient- og bruke</w:t>
      </w:r>
      <w:r>
        <w:t>r</w:t>
      </w:r>
      <w:r>
        <w:t>organisasjoner, spesialisthelsetjenesten, samt alle andre som måtte ønske det, anledning til å gi innspill til alle metodevarsler og forslag. I tillegg har alle anledning til å foreslå metoder for vurd</w:t>
      </w:r>
      <w:r>
        <w:t>e</w:t>
      </w:r>
      <w:r>
        <w:t>ring i systemet. Statens strålevern gir innspill når det gjelder medisinsk stråling og Helsedirektoratet sikrer koordinering med nasjonale faglige retningslinjer der dette er relevant. Videre blir leveran</w:t>
      </w:r>
      <w:r>
        <w:t>d</w:t>
      </w:r>
      <w:r>
        <w:t>ører og pasient- og bruke</w:t>
      </w:r>
      <w:r>
        <w:t>r</w:t>
      </w:r>
      <w:r>
        <w:t>organisasjoner konsultert under utarbeidelse av metodevurderingene når dette er mulig. Leverandørene har også anledning til å kommentere sluttførte metod</w:t>
      </w:r>
      <w:r>
        <w:t>e</w:t>
      </w:r>
      <w:r>
        <w:t>vurderinger og helseøkonomiske rapporter før disse blir sendt til beslutning. Kommentarene legges ved metod</w:t>
      </w:r>
      <w:r>
        <w:t>e</w:t>
      </w:r>
      <w:r>
        <w:t>vurderingene. Nasjonale metodevurderinger og eventuelle kommentarer fra leverandørene er o</w:t>
      </w:r>
      <w:r>
        <w:t>f</w:t>
      </w:r>
      <w:r>
        <w:t>fentlige og publiseres på hjemmesiden til sy</w:t>
      </w:r>
      <w:r>
        <w:t>s</w:t>
      </w:r>
      <w:r>
        <w:t>temet.</w:t>
      </w:r>
    </w:p>
    <w:p w:rsidR="00D24D21" w:rsidRDefault="00D24D21" w:rsidP="00CE47F2">
      <w:pPr>
        <w:pStyle w:val="avsnitt-undertittel"/>
      </w:pPr>
      <w:r>
        <w:t>Identifisering av forskningsbehov gjennom Nye metoder</w:t>
      </w:r>
    </w:p>
    <w:p w:rsidR="00D24D21" w:rsidRDefault="00D24D21" w:rsidP="00CE47F2">
      <w:r>
        <w:t xml:space="preserve">Beslutningsgrunnlaget vil også kunne avdekke behov for bedre kunnskap før en endelig beslutning fattes, eller der det er ønskelig med oppfølgingsstudier etter at metoden er tatt i bruk. For eksempel gjennom fase IV-studier, slik at det på et senere tidspunkt kan gjennomføres re-evalueringer av </w:t>
      </w:r>
      <w:r>
        <w:lastRenderedPageBreak/>
        <w:t>metoder som er i bruk. Noen metodevurderingen vil konkludere med at det ikke foreligger tilstre</w:t>
      </w:r>
      <w:r>
        <w:t>k</w:t>
      </w:r>
      <w:r>
        <w:t>kelig vitenskapelig dokumentasjon av effekt og nytte til at metoden bør innføres som standardb</w:t>
      </w:r>
      <w:r>
        <w:t>e</w:t>
      </w:r>
      <w:r>
        <w:t>handling i tjenesten. Metoden kan da tilbys til pasientene som utprøvende behandling gjennom en klinisk studie, gjerne i samarbeid med ind</w:t>
      </w:r>
      <w:r>
        <w:t>u</w:t>
      </w:r>
      <w:r>
        <w:t>strien.</w:t>
      </w:r>
    </w:p>
    <w:p w:rsidR="00D24D21" w:rsidRDefault="00D24D21" w:rsidP="00CE47F2">
      <w:r>
        <w:t>I videreutviklingen av systemet bør det innføres en mer systematisk praksis, ved å legge til dette for at identifisering av forskningsbehov fører til at forskningen faktisk gjennomføres. Metodevurd</w:t>
      </w:r>
      <w:r>
        <w:t>e</w:t>
      </w:r>
      <w:r>
        <w:t>ringer bør inneholde vurderinger om behov for videre forskning. Folkehelseinstituttet har hatt en etablert praksis for å avdekke kunnskapshull i sine kunnskapsoppsummeringer. Der det ikke er nok forskning eller forskningen ikke holder tilstrekkelig kvalitet, eller der det er behov for oppfølging</w:t>
      </w:r>
      <w:r>
        <w:t>s</w:t>
      </w:r>
      <w:r>
        <w:t>studier, bør dette synliggjøres på en systematisk og transparent måte både i b</w:t>
      </w:r>
      <w:r>
        <w:t>e</w:t>
      </w:r>
      <w:r>
        <w:t xml:space="preserve">slutningsgrunnlaget (metodevurderingen) og i selve beslutningen. Det er viktig at det legges til rette for at denne type behovsidentifisert forskning kan gjennomføres gjennom kliniske studier eller registerbaserte (real world data) studier. Her kan både privat og offentlig sektor, samt ideelle organisasjoner, ta ansvar og om mulig samarbeide om finansiering. En viktig finansieringskilde i spesialisthelsetjenesten er </w:t>
      </w:r>
      <w:r>
        <w:rPr>
          <w:rStyle w:val="kursiv"/>
          <w:sz w:val="21"/>
          <w:szCs w:val="21"/>
        </w:rPr>
        <w:t>Program for klinisk behandlingsforskning</w:t>
      </w:r>
      <w:r>
        <w:t>, KLINBEFORSK. Det må også sikres at forskningen har nødvendig kvalitet. Ved en kobling mellom KLINB</w:t>
      </w:r>
      <w:r>
        <w:t>E</w:t>
      </w:r>
      <w:r>
        <w:t xml:space="preserve">FORSK og </w:t>
      </w:r>
      <w:r>
        <w:rPr>
          <w:rStyle w:val="kursiv"/>
          <w:sz w:val="21"/>
          <w:szCs w:val="21"/>
        </w:rPr>
        <w:t>Nye metoder</w:t>
      </w:r>
      <w:r>
        <w:t xml:space="preserve"> må det utvikles kriterier for utlysninger knyttet til kunnskapsbehov identifisert gjennom systemet og prosesser for dette.</w:t>
      </w:r>
    </w:p>
    <w:p w:rsidR="00D24D21" w:rsidRDefault="00D24D21" w:rsidP="00CE47F2">
      <w:pPr>
        <w:pStyle w:val="Overskrift2"/>
      </w:pPr>
      <w:r>
        <w:t>Implementering og spredning</w:t>
      </w:r>
    </w:p>
    <w:p w:rsidR="00D24D21" w:rsidRDefault="00D24D21" w:rsidP="00CE47F2">
      <w:r>
        <w:t>Et produkt som er besluttet tatt i bruk, vil vanligvis kjøpes inn av tjenesten lokalt (enkeltkommuner eller helseforetak), i større innkjøpssamarbeid eller nasjonalt gjennom Sykehusinnkjøp HF. In</w:t>
      </w:r>
      <w:r>
        <w:t>n</w:t>
      </w:r>
      <w:r>
        <w:t>kjøpsprosessen omfatter nært samarbeid med industrien gjennom enten forhandlinger ved nye pr</w:t>
      </w:r>
      <w:r>
        <w:t>o</w:t>
      </w:r>
      <w:r>
        <w:t>dukter, eller anskaffe</w:t>
      </w:r>
      <w:r>
        <w:t>l</w:t>
      </w:r>
      <w:r>
        <w:t xml:space="preserve">sesprosesser. Aktørene i </w:t>
      </w:r>
      <w:r>
        <w:rPr>
          <w:rStyle w:val="kursiv"/>
          <w:sz w:val="21"/>
          <w:szCs w:val="21"/>
        </w:rPr>
        <w:t>Nye metoder</w:t>
      </w:r>
      <w:r>
        <w:t xml:space="preserve"> har de siste årene gjennomført prosesser for å koordinere vurderings- og innkjøpsprosesser bedre når det gjelder legemidler. Samme koo</w:t>
      </w:r>
      <w:r>
        <w:t>r</w:t>
      </w:r>
      <w:r>
        <w:t xml:space="preserve">dineringstiltak er nå satt i gang for medisinsk utstyr mellom Sykehusinnkjøp og Folkehelseinstituttet. I </w:t>
      </w:r>
      <w:r>
        <w:rPr>
          <w:rStyle w:val="kursiv"/>
          <w:sz w:val="21"/>
          <w:szCs w:val="21"/>
        </w:rPr>
        <w:t>Nye metoder</w:t>
      </w:r>
      <w:r>
        <w:t xml:space="preserve"> har Sykehusinnkjøp i oppgave å gjennomføre forhandlinger på nye og etablerte metoder og å utarbeide grunnlag for vilkår for bruk av legemidler og andre metoder i spesialisthelsetjenesten. En tettere kobling mellom Sykehusinnkjøp og </w:t>
      </w:r>
      <w:r>
        <w:rPr>
          <w:rStyle w:val="kursiv"/>
          <w:sz w:val="21"/>
          <w:szCs w:val="21"/>
        </w:rPr>
        <w:t>Nye metoder</w:t>
      </w:r>
      <w:r>
        <w:t xml:space="preserve"> vil kunne bidra til at spesialisthelsetj</w:t>
      </w:r>
      <w:r>
        <w:t>e</w:t>
      </w:r>
      <w:r>
        <w:t>nesten kan øke omfanget av og kvaliteten på innovative anskaffelser, for eksempel gjennom syst</w:t>
      </w:r>
      <w:r>
        <w:t>e</w:t>
      </w:r>
      <w:r>
        <w:t>mets metodevarslingsfunksjon som kan brukes strategisk i in</w:t>
      </w:r>
      <w:r>
        <w:t>n</w:t>
      </w:r>
      <w:r>
        <w:t>kjøps- og forhandlingsprosessene.</w:t>
      </w:r>
    </w:p>
    <w:p w:rsidR="00D24D21" w:rsidRDefault="00D24D21" w:rsidP="00CE47F2">
      <w:r>
        <w:t>Det er en utfordring at innovasjoner som er utviklet lokalt, ikke spres til andre kommuner eller helseforetak. Nasjonale innkjøp bidrar til spredning i hele spesialisthelsetjenesten. Tilsvarende kan utprøvninger i nasjonal regi gi grunnlag for nasjonale anbefalinger, eksempelvis innenfor tryg</w:t>
      </w:r>
      <w:r>
        <w:t>g</w:t>
      </w:r>
      <w:r>
        <w:t>hetsteknologi, og bidra til at erfaringer spres og at anbefalt teknologi tas i bruk i kommunene. Kommuner som er langt fremme bidrar med ressurser og kompetanse til nærliggende kommuner. Samtidig blir flere kommuner samlet et mer attraktivt marked for næringsaktørene enn mange små kommuner hver for seg.</w:t>
      </w:r>
    </w:p>
    <w:p w:rsidR="00D24D21" w:rsidRDefault="00D24D21" w:rsidP="00CE47F2">
      <w:pPr>
        <w:pStyle w:val="avsnitt-undertittel"/>
      </w:pPr>
      <w:r>
        <w:t>Innovasjonsindikatorer</w:t>
      </w:r>
    </w:p>
    <w:p w:rsidR="00D24D21" w:rsidRDefault="00D24D21" w:rsidP="00CE47F2">
      <w:r>
        <w:t>Det er utviklet en indikator for innovasjon i helseforetakene for å stimulere til innovasjon og spredning av innovasjoner. Indikatoren skal piloteres i 2019.</w:t>
      </w:r>
      <w:r>
        <w:rPr>
          <w:vertAlign w:val="superscript"/>
        </w:rPr>
        <w:footnoteReference w:id="55"/>
      </w:r>
      <w:r>
        <w:t xml:space="preserve"> Den skal måle hvor langt prosjektene </w:t>
      </w:r>
      <w:r>
        <w:lastRenderedPageBreak/>
        <w:t>føres gjennom et faseforløp i retning av implementering og spredning eller kommersialisering (a</w:t>
      </w:r>
      <w:r>
        <w:t>k</w:t>
      </w:r>
      <w:r>
        <w:t>tivitetsakse). I tillegg skal målingen omfatte samfunnsøkonomisk betydning (nytteakse). Indikatoren gir høyere poengskår jo næ</w:t>
      </w:r>
      <w:r>
        <w:t>r</w:t>
      </w:r>
      <w:r>
        <w:t>mere implementering og spredning innovasjonen befinner seg og jo høyere nytteverdien er. Forutsetningen er at helseforetakene har et nasjonalt integrert inform</w:t>
      </w:r>
      <w:r>
        <w:t>a</w:t>
      </w:r>
      <w:r>
        <w:t>sjonssystem for profesjonell oppfølging av innovasjon. Et slikt informasjonssystem eksisterer, men er ikke fullt ut implementert i alle regioner. På sikt er det ønskelig å vurdere å inkludere innov</w:t>
      </w:r>
      <w:r>
        <w:t>a</w:t>
      </w:r>
      <w:r>
        <w:t>sjonsindikatoren i det resultatbaserte systemet for fina</w:t>
      </w:r>
      <w:r>
        <w:t>n</w:t>
      </w:r>
      <w:r>
        <w:t>siering av forskning i helseforetakene.</w:t>
      </w:r>
    </w:p>
    <w:p w:rsidR="00D24D21" w:rsidRDefault="00D24D21" w:rsidP="00CE47F2">
      <w:pPr>
        <w:pStyle w:val="avsnitt-undertittel"/>
      </w:pPr>
      <w:r>
        <w:t>Nasjonalt velferdsteknologiprogram</w:t>
      </w:r>
    </w:p>
    <w:p w:rsidR="00D24D21" w:rsidRDefault="00D24D21" w:rsidP="00CE47F2">
      <w:r>
        <w:t>Nasjonalt velferdsteknologiprogram har som mål å bidra til at kommuner tar i bruk velferdstekn</w:t>
      </w:r>
      <w:r>
        <w:t>o</w:t>
      </w:r>
      <w:r>
        <w:t>logiske løsninger som en integrert del av tjenestetilbudet. Helsedirektoratet leder programmet i samarbeid med Direktoratet for e-helse og KS. Programmet utvikler og anskaffer ikke egne løsninger innenfor velferdsteknologi. Programmets skal tilrettelegge med infrastruktur, standarder og int</w:t>
      </w:r>
      <w:r>
        <w:t>e</w:t>
      </w:r>
      <w:r>
        <w:t>grasjonsmuligheter, slik at næringslivets løsninger kan spille sammen med øvrig e-helsearkitektur. Flere kommuner har prøvd ut velferdsteknologi for trygghet og mestring, som varsling og lokalis</w:t>
      </w:r>
      <w:r>
        <w:t>e</w:t>
      </w:r>
      <w:r>
        <w:t>ringsteknologi (GPS), elektronisk medisineringsstøtte, digitale tilsynsløsninger og elektronisk dø</w:t>
      </w:r>
      <w:r>
        <w:t>r</w:t>
      </w:r>
      <w:r>
        <w:t>løser. Satsingen gikk i 2017 fra pilotering til innføring og spredning av anbefalt trygghetsteknologi til nye kommuner. Eksempelvis har kommuner som allerede har gjennomført innovative offentlige anskaffelser beskrevet disse fra start til signering, noe som vil kunne være til hjelp for kommuner som skal i gang med samme prosess.</w:t>
      </w:r>
    </w:p>
    <w:p w:rsidR="00D24D21" w:rsidRDefault="00D24D21" w:rsidP="00CE47F2">
      <w:r>
        <w:t>Over 250 kommuner er med i det nasjonale programmet. Disse kommunene er nå i ferd med å i</w:t>
      </w:r>
      <w:r>
        <w:t>m</w:t>
      </w:r>
      <w:r>
        <w:t>plementere ulike typer velferdsteknologi i ordinær tjeneste. I tillegg er programmet i gang med videre utprøving av medisinsk avstandsoppfølging av personer med kroniske sykdommer. Anbef</w:t>
      </w:r>
      <w:r>
        <w:t>a</w:t>
      </w:r>
      <w:r>
        <w:t>linger knyttet til dette området er forventet i 2021. Kommunene i programmet har etablert samarbeid med leverandørmarkedet for å sikre at løsningene ivaretar brukerbehovene best mulig. Velferd</w:t>
      </w:r>
      <w:r>
        <w:t>s</w:t>
      </w:r>
      <w:r>
        <w:t>teknologiprogrammet har en ambisjon om å etablere en nasjonal infrastruktur, velferdsteknologisk knutepunkt, for deling av data mellom velferdsteknologiske løsninger og pasientjournalsy</w:t>
      </w:r>
      <w:r>
        <w:t>s</w:t>
      </w:r>
      <w:r>
        <w:t>temene i helse- og omsorgsektoren. Programmet prøver nå ut et nasjonalt knutepunkt i samarbeid med kommuner og leverandører. En n</w:t>
      </w:r>
      <w:r>
        <w:t>a</w:t>
      </w:r>
      <w:r>
        <w:t>sjonal infrastruktur med åpne og standardiserte grensesnitt vil i større grad muliggjøre innovasjon og utvikling av nye produkter som kan samvirke med eksisterende løsninger. Dette vil kunne medføre at nye løsninger raskere blir tatt i bruk i helse- og omsorgstj</w:t>
      </w:r>
      <w:r>
        <w:t>e</w:t>
      </w:r>
      <w:r>
        <w:t>nesten, noe som vil føre til raskere volumøkning for levera</w:t>
      </w:r>
      <w:r>
        <w:t>n</w:t>
      </w:r>
      <w:r>
        <w:t>dørene. Om grensesnittene baseres på internasjonale standarder, vil leverandørenes produkter også kunne bli tatt i bruk utenfor Norge, uten at det er behov for store tilpasninger.</w:t>
      </w:r>
    </w:p>
    <w:p w:rsidR="00D24D21" w:rsidRDefault="00D24D21" w:rsidP="00CE47F2">
      <w:r>
        <w:t>Selv om potensialet er stort, er markedet for velferdsteknologi foreløpig lite utviklet. Det inngås ra</w:t>
      </w:r>
      <w:r>
        <w:t>m</w:t>
      </w:r>
      <w:r>
        <w:t>meavtaler, men det tar ofte lang tid før det blir avrop som representerer større volum. Endringene tjene</w:t>
      </w:r>
      <w:r>
        <w:t>s</w:t>
      </w:r>
      <w:r>
        <w:t>ten må gjennom for å ta i bruk teknologi er ofte omfattende og krevende. Programmet driver aktiv proses</w:t>
      </w:r>
      <w:r>
        <w:t>s</w:t>
      </w:r>
      <w:r>
        <w:t>veiledning for kommunene i denne endringsreisen. De kommunene som har vært tidlig ute og all</w:t>
      </w:r>
      <w:r>
        <w:t>e</w:t>
      </w:r>
      <w:r>
        <w:t>rede har dokumentert effekten av innføring av velferdsteknologi, deler sine erfaringer med andre kommuner. Gjenbruk av erfaringer medfører at nye kommuner tar dette i bruk raskere. Det kan derfor fo</w:t>
      </w:r>
      <w:r>
        <w:t>r</w:t>
      </w:r>
      <w:r>
        <w:t xml:space="preserve">ventes en markert økning i markedet for trygghetsteknologi framover. Markedet i Norge vil </w:t>
      </w:r>
      <w:r>
        <w:lastRenderedPageBreak/>
        <w:t>likevel være begrenset, slik at det må legges til rette for at norske leverandører også kan levere de samme produktene i andre land.</w:t>
      </w:r>
    </w:p>
    <w:p w:rsidR="00D24D21" w:rsidRDefault="00D24D21" w:rsidP="00CE47F2">
      <w:pPr>
        <w:pStyle w:val="avsnitt-undertittel"/>
      </w:pPr>
      <w:r>
        <w:t>Retningslinjer og beslutningsstøtte som verktøy for spredning</w:t>
      </w:r>
    </w:p>
    <w:p w:rsidR="00D24D21" w:rsidRDefault="00D24D21" w:rsidP="00CE47F2">
      <w:r>
        <w:t>Helsepersonell og pasienter trenger kvalitetssikret og oppdatert kunnskap for å treffe informerte beslu</w:t>
      </w:r>
      <w:r>
        <w:t>t</w:t>
      </w:r>
      <w:r>
        <w:t>ninger. Helsedirektoratet har ansvar for å utvikle, formidle og vedlikeholde nasjonale faglige retningsli</w:t>
      </w:r>
      <w:r>
        <w:t>n</w:t>
      </w:r>
      <w:r>
        <w:t>jer og veiledere. Nasjonale faglige retningslinjer inneholder systematisk utviklede faglige anbefalinger som etablerer en nasjonal standard for utredning, behandling og oppfølging av pas</w:t>
      </w:r>
      <w:r>
        <w:t>i</w:t>
      </w:r>
      <w:r>
        <w:t>entgrupper, brukergrupper eller diagnosegrupper, og utarbeides etter internasjonalt anerkjente m</w:t>
      </w:r>
      <w:r>
        <w:t>e</w:t>
      </w:r>
      <w:r>
        <w:t>toder. I utvelgelsen av fagområder og spørsmål som omhandles i nasjonale faglige retningslinjer prioriteres områder der det er behov for å sikre god kvalitet, riktige prioriteringer og for å hindre uønsket variasjon i helsetjenestene, løse samhan</w:t>
      </w:r>
      <w:r>
        <w:t>d</w:t>
      </w:r>
      <w:r>
        <w:t>lingsutfordringer og sikre helhetlige pasientforløp. Retningslinjene skal baseres på oppdatert og kval</w:t>
      </w:r>
      <w:r>
        <w:t>i</w:t>
      </w:r>
      <w:r>
        <w:t>tetsvurdert kunnskap om god praksis og er verktøy som skal brukes aktivt til kontinuerlig forbedring av virksomhet og tjenester. Anbefalingene i de nasjonale faglige retningslinjene er ikke rettslig bindende, men normerende og retningsgivende. I lys av å være et viktig verktøy for spredning og implementering av ny kunnskap i tjenesten, er det imidlertid av stor betydning at nye retningslinjer gjøres kjent og innføres i helsetjenesten. En reell fornyelse av handlingsmønstre krever en omfattende, planlagt og kontrollert implementeringsstr</w:t>
      </w:r>
      <w:r>
        <w:t>a</w:t>
      </w:r>
      <w:r>
        <w:t>tegi og tilgjengelig beslutningsstøtte for helsepersonell. Det er et lederansvar å sørge for å tilrett</w:t>
      </w:r>
      <w:r>
        <w:t>e</w:t>
      </w:r>
      <w:r>
        <w:t>legge virksomheten slik at anbefalinger gitt i nasjonale faglige retningslinjer kan følges.</w:t>
      </w:r>
    </w:p>
    <w:p w:rsidR="00D24D21" w:rsidRDefault="00D24D21" w:rsidP="00CE47F2">
      <w:pPr>
        <w:pStyle w:val="tittel-ramme"/>
      </w:pPr>
      <w:r>
        <w:t>MAGICapp: Digitalisering av faglige retningslinjer og beslutningsstøtte</w:t>
      </w:r>
    </w:p>
    <w:p w:rsidR="00D24D21" w:rsidRDefault="00D24D21" w:rsidP="00CE47F2">
      <w:r>
        <w:t>MAGIC er en norsk ideell stiftelse som driver forskning, innovasjon og utvikling av teknologi for raskere og mer brukervennlig implementering av ny og kvalitetssikret kunnskap i praksis. De har laget MAG</w:t>
      </w:r>
      <w:r>
        <w:t>I</w:t>
      </w:r>
      <w:r>
        <w:t>Capp, en nettbasert plattform for utvikling, publisering og dynamisk oppdatering av digitalt strukturerte retningslinjer, samvalgsverktøy og beslutningstøtte i elektronisk pasientjournal. Helsedirektoratet har tatt i bruk MAGICapp etter en offentlig finansiert utviklingskontrakt (OFU) finansiert av Innovasjon Norge. Dette som ledd i et større prosjektfor å gjøre faglige retningslinjer tilgjengelige i et nytt digitalt format. Endringer i retningslinjene blir synlige umiddelbart, og info</w:t>
      </w:r>
      <w:r>
        <w:t>r</w:t>
      </w:r>
      <w:r>
        <w:t>masjonen fra retningslinjene blir tilgjengelig i elektronisk pasientjournal både hos fastlegen og i sykehusene. Internasjonal bruk av appen bidrar til d</w:t>
      </w:r>
      <w:r>
        <w:t>e</w:t>
      </w:r>
      <w:r>
        <w:t>ling av ressurskrevende arbeid på tvers av land.</w:t>
      </w:r>
    </w:p>
    <w:p w:rsidR="00D24D21" w:rsidRDefault="00D24D21" w:rsidP="00CE47F2">
      <w:r>
        <w:t>MAGIC har inngått samarbeid med British Medical Journal om utvikling av såkalte BMJ Rapid Recommendations, som en modell for hvordan ny kunnskap kan omskapes til systematiske ove</w:t>
      </w:r>
      <w:r>
        <w:t>r</w:t>
      </w:r>
      <w:r>
        <w:t>sikter og troverdige retningslinjer og beslutningstøtte raskere. MAGIC er også partner med Cochrane Collaboration som systematiserer resultater fra helseforskning og andre kunnskapskilder. Strukt</w:t>
      </w:r>
      <w:r>
        <w:t>u</w:t>
      </w:r>
      <w:r>
        <w:t>rerte data fra syst</w:t>
      </w:r>
      <w:r>
        <w:t>e</w:t>
      </w:r>
      <w:r>
        <w:t>matiske oversikter kan flyte via MAGICapp til elektronisk pasientjournal, som beslutningstøtte i behan</w:t>
      </w:r>
      <w:r>
        <w:t>d</w:t>
      </w:r>
      <w:r>
        <w:t>lingsforløp og til registre. Appen kan også brukes som et samvalgsverktøy ved at pasient og lege får tilgang til samme informasjon om fordeler og ulemper ved behan</w:t>
      </w:r>
      <w:r>
        <w:t>d</w:t>
      </w:r>
      <w:r>
        <w:t>lingen.</w:t>
      </w:r>
    </w:p>
    <w:p w:rsidR="00D24D21" w:rsidRDefault="00E636F4" w:rsidP="00E636F4">
      <w:pPr>
        <w:pStyle w:val="Figur"/>
      </w:pPr>
      <w:r>
        <w:rPr>
          <w:noProof/>
        </w:rPr>
        <w:t>[:figur:figX-X.jpg]</w:t>
      </w:r>
    </w:p>
    <w:p w:rsidR="00D24D21" w:rsidRDefault="00D24D21" w:rsidP="00CE47F2">
      <w:pPr>
        <w:pStyle w:val="figur-tittel"/>
      </w:pPr>
      <w:r>
        <w:t>MAGICapp forfatterverktøy</w:t>
      </w:r>
    </w:p>
    <w:p w:rsidR="00D24D21" w:rsidRDefault="00D24D21" w:rsidP="00CE47F2">
      <w:pPr>
        <w:pStyle w:val="Kilde"/>
      </w:pPr>
      <w:r>
        <w:t>Magic</w:t>
      </w:r>
    </w:p>
    <w:p w:rsidR="00D24D21" w:rsidRDefault="00D24D21">
      <w:pPr>
        <w:pStyle w:val="Ramme-slutt"/>
        <w:rPr>
          <w:sz w:val="26"/>
          <w:szCs w:val="26"/>
        </w:rPr>
      </w:pPr>
      <w:r>
        <w:rPr>
          <w:sz w:val="26"/>
          <w:szCs w:val="26"/>
        </w:rPr>
        <w:lastRenderedPageBreak/>
        <w:t>[Boks slutt]</w:t>
      </w:r>
    </w:p>
    <w:p w:rsidR="00D24D21" w:rsidRDefault="00D24D21" w:rsidP="00CE47F2">
      <w:pPr>
        <w:pStyle w:val="Overskrift2"/>
      </w:pPr>
      <w:r>
        <w:t>Evaluering, monitorering og utfasing</w:t>
      </w:r>
    </w:p>
    <w:p w:rsidR="00D24D21" w:rsidRDefault="00D24D21" w:rsidP="00CE47F2">
      <w:r>
        <w:t>For å sikre en bærekraftig helsetjeneste er det avgjørende å kunne dokumentere verdi for pasienter og samfunn, i form av oppnådde helsegevinster og effektiv ressursbruk. Når en innovasjon er tatt i bruk bør det derfor dokumenteres hvordan den fungerer i praksis. Det finnes en rekke eksempler på at et legemi</w:t>
      </w:r>
      <w:r>
        <w:t>d</w:t>
      </w:r>
      <w:r>
        <w:t>del som har gjennomgått klinisk utprøving viser andre effekter når det rulles ut i stor skala på en større og mer diversifisert populasjon. Metoder som ikke viser seg å tilfredsstille kravene til sikkerhet og effekt, eller hvor det viser seg at metodene ikke oppfyller prioriteringskriteriene, bør tas ut av bruk. I 2019 fikk de r</w:t>
      </w:r>
      <w:r>
        <w:t>e</w:t>
      </w:r>
      <w:r>
        <w:t xml:space="preserve">gionale helseforetakene sammen med aktørene i </w:t>
      </w:r>
      <w:r>
        <w:rPr>
          <w:rStyle w:val="kursiv"/>
          <w:spacing w:val="-1"/>
          <w:sz w:val="21"/>
          <w:szCs w:val="21"/>
        </w:rPr>
        <w:t>Nye metoder</w:t>
      </w:r>
      <w:r>
        <w:t xml:space="preserve"> i oppdrag å utvikle modeller for utfasing av behan</w:t>
      </w:r>
      <w:r>
        <w:t>d</w:t>
      </w:r>
      <w:r>
        <w:t>lingsmetoder. Dette kan gjøres basert på dokumentasjon av effekt gjennom kliniske studier og bruk av registerdata. Dokumentasjon av effekt, sikkerhet og kostnadseffektivitet i klinisk praksis vil også være viktig dokumentasjon for næringslivet. I tillegg til å bidra til videreutvikling av produktene, vil det unde</w:t>
      </w:r>
      <w:r>
        <w:t>r</w:t>
      </w:r>
      <w:r>
        <w:t>støtte spredning av produktet til andre deler av tjenesten eller internasjonalt.</w:t>
      </w:r>
    </w:p>
    <w:p w:rsidR="00D24D21" w:rsidRDefault="00D24D21" w:rsidP="00CE47F2">
      <w:r>
        <w:t>Kunnskapsbasert implementering og bruk av ny teknologi og nye produkter krever at det tilrett</w:t>
      </w:r>
      <w:r>
        <w:t>e</w:t>
      </w:r>
      <w:r>
        <w:t>legges for mon</w:t>
      </w:r>
      <w:r>
        <w:t>i</w:t>
      </w:r>
      <w:r>
        <w:t>torering og vitenskapelig dokumentasjon av effekt, sikkerhet og kostnadseffektivitet, både før og etter beslutning for innføring av metoder. Utviklingen gjør at vi får legemidler som er mer målrettet mot mindre pasientgrupper, blir godkjent på mindre datagrunnlag (fase II), og ofte med nye behandlingsendepunkter. Det er derfor behov for å utvikle flere verktøy og mekanismer i sa</w:t>
      </w:r>
      <w:r>
        <w:t>m</w:t>
      </w:r>
      <w:r>
        <w:t>arbeid med ind</w:t>
      </w:r>
      <w:r>
        <w:t>u</w:t>
      </w:r>
      <w:r>
        <w:t xml:space="preserve">strien for å sikre helse- og omsorgstjenestens behov for bruk av de mest effektive metodene. </w:t>
      </w:r>
      <w:r>
        <w:rPr>
          <w:rStyle w:val="kursiv"/>
          <w:sz w:val="21"/>
          <w:szCs w:val="21"/>
        </w:rPr>
        <w:t>Nye metoder</w:t>
      </w:r>
      <w:r>
        <w:t xml:space="preserve"> arbeider med å utvikle tiltak for å evaluere og monitorere bruk av metoder etter beslutninger som inkluderer e</w:t>
      </w:r>
      <w:r>
        <w:t>t</w:t>
      </w:r>
      <w:r>
        <w:t>terlevelse og effekt av nye legemidler og metoder. Dette er særlig viktig når en ny lovende metode er besluttet innført med begrenset vitenskapelig dokumentasjon gjennom e</w:t>
      </w:r>
      <w:r>
        <w:t>k</w:t>
      </w:r>
      <w:r>
        <w:t>sempelvis kun fase II-studier. I tillegg vil evalueringer og bruk av kvalitetsregistre være viktige redskaper i implementering av beslutninger. Det er viktig at det utvikles prosedyrer og sy</w:t>
      </w:r>
      <w:r>
        <w:t>s</w:t>
      </w:r>
      <w:r>
        <w:t>tematikk for videre dokumentasjon om effekt og risiko ved bruk. Dokumentasjonen vil kunne danne grunnlag for revurdering av metoder etter en viss tid.</w:t>
      </w:r>
    </w:p>
    <w:p w:rsidR="00D24D21" w:rsidRDefault="00D24D21" w:rsidP="00CE47F2">
      <w:r>
        <w:t>De regionale helseforetakene er gitt i oppdrag å videreutvikle systemer for innsamling og analyser av data om forbruk, effekt, sikkerhet og kostnader for legemidler og andre metoder ved bruk av blant annet elektroniske legemiddelkurver, SAFEST og nasjonale medisinske kvalitetsregistre, som grunnlag for å kunne evaluere og eventuelt fase ut metoder som ikke har tilstrekkelig nytte.</w:t>
      </w:r>
    </w:p>
    <w:p w:rsidR="00D24D21" w:rsidRDefault="00D24D21" w:rsidP="00CE47F2">
      <w:pPr>
        <w:pStyle w:val="tittel-ramme"/>
      </w:pPr>
      <w:r>
        <w:t>Real world data</w:t>
      </w:r>
    </w:p>
    <w:p w:rsidR="00D24D21" w:rsidRDefault="00D24D21" w:rsidP="00CE47F2">
      <w:r>
        <w:t>Real world data er et fellesbegrep for innsamling av alle typer data som ikke har inngått i random</w:t>
      </w:r>
      <w:r>
        <w:t>i</w:t>
      </w:r>
      <w:r>
        <w:t>serte kliniske studier. I Norge har vi gode kilder til denne typen data gjennom gode registre og biobanker. I tillegg vil innføringen av elektronisk pasientkurvesystemer gi sanntidsinformasjon om hvilke legemidler som er gitt, samt om bruk av prosedyrer og teknologier forøvrig.</w:t>
      </w:r>
    </w:p>
    <w:p w:rsidR="00D24D21" w:rsidRDefault="00D24D21" w:rsidP="00CE47F2">
      <w:r>
        <w:t>En fordel med real world data er at man ikke henter data om utvalgte pasienter, men om alle som har fått en behandling, og at man kan følge dem over tid. Slik kan man se på effekten av den nye b</w:t>
      </w:r>
      <w:r>
        <w:t>e</w:t>
      </w:r>
      <w:r>
        <w:t xml:space="preserve">handlingen og sammenligne denne med den etablerte behandlinger. Man kan også si noe om et større </w:t>
      </w:r>
      <w:r>
        <w:lastRenderedPageBreak/>
        <w:t>antall utfallsmål og fange opp bivirkninger. Dette gir nye muligheter for kliniske studier og evalu</w:t>
      </w:r>
      <w:r>
        <w:t>e</w:t>
      </w:r>
      <w:r>
        <w:t>ring av ressur</w:t>
      </w:r>
      <w:r>
        <w:t>s</w:t>
      </w:r>
      <w:r>
        <w:t>bruk.</w:t>
      </w:r>
    </w:p>
    <w:p w:rsidR="00D24D21" w:rsidRDefault="00D24D21" w:rsidP="00CE47F2">
      <w:r>
        <w:t>Folkehelseinstituttet vil undersøke om slike data kan brukes i metodevurderinger i framtiden. Det er også satt i gang et pilotprosjekt, INSPIRE, mellom legemiddelindustrien og Kreftregisteret for å utvikle real world data på lungekreft. Her vil man utvikle løsninger for rapportering av medik</w:t>
      </w:r>
      <w:r>
        <w:t>a</w:t>
      </w:r>
      <w:r>
        <w:t>mentell behandling i sykehus til Kreftregisteret. Dette kan gi informasjon av stor verdi både for industrien og det offentlige.</w:t>
      </w:r>
    </w:p>
    <w:p w:rsidR="00D24D21" w:rsidRDefault="00D24D21">
      <w:pPr>
        <w:pStyle w:val="Ramme-slutt"/>
        <w:rPr>
          <w:sz w:val="26"/>
          <w:szCs w:val="26"/>
        </w:rPr>
      </w:pPr>
      <w:r>
        <w:rPr>
          <w:sz w:val="26"/>
          <w:szCs w:val="26"/>
        </w:rPr>
        <w:t>[Boks slutt]</w:t>
      </w:r>
    </w:p>
    <w:p w:rsidR="00D24D21" w:rsidRDefault="00D24D21" w:rsidP="00CE47F2">
      <w:pPr>
        <w:pStyle w:val="Overskrift2"/>
      </w:pPr>
      <w:r>
        <w:t>Helsedata</w:t>
      </w:r>
    </w:p>
    <w:p w:rsidR="00D24D21" w:rsidRDefault="00D24D21" w:rsidP="00CE47F2">
      <w:r>
        <w:t>Norge har omfattende og verdifulle helsedata som er bygget opp over lang tid. Regjeringen har som mål at de store investeringene som er gjort i helseregistre og andre datakilder skal bli brukt til å utvikle ny kunnskap og bedre tjenester som kommer innbyggere og pasienter til gode.</w:t>
      </w:r>
    </w:p>
    <w:p w:rsidR="00D24D21" w:rsidRDefault="00D24D21" w:rsidP="00CE47F2">
      <w:r>
        <w:t>Helsedata er også en innsatsfaktor i utviklingen av nye varer og tjenester på helseområdet. Data om befolkningens helse og faktorer som påvirker den vil være en forutsetning for og integrert i, mange av produktene som utvikles av norsk og internasjonalt næringsliv framover. Nye tjenester vil både innhente helsedata og generere helsedata. Tilgang til og forvaltning av helsedata og andre data vil være bli stadig med viktig for utvikling, vurdering og daglig bruk av tjenester, utstyr og legemidler.</w:t>
      </w:r>
    </w:p>
    <w:p w:rsidR="00D24D21" w:rsidRDefault="00D24D21" w:rsidP="00CE47F2">
      <w:r>
        <w:t>Dersom norsk helse- og omsorgstjeneste og næringslivet skal hente ut gevinstene som ligger i dig</w:t>
      </w:r>
      <w:r>
        <w:t>i</w:t>
      </w:r>
      <w:r>
        <w:t>talisering og ny teknologi, må det sikres at både helsepersonell og næringslivet kan bruke dataene som finnes. Det er en forutsetning at infrastruktur, regelverk og rutiner ivaretar informasjonssi</w:t>
      </w:r>
      <w:r>
        <w:t>k</w:t>
      </w:r>
      <w:r>
        <w:t>kerhet, personvern og den enkeltes råderett over opplysningene.</w:t>
      </w:r>
    </w:p>
    <w:p w:rsidR="00D24D21" w:rsidRDefault="00D24D21" w:rsidP="00CE47F2">
      <w:r>
        <w:t>Regelverket for personvern skal sikre kunnskapsbasert utvikling og samtidig legge til rette for lø</w:t>
      </w:r>
      <w:r>
        <w:t>s</w:t>
      </w:r>
      <w:r>
        <w:t>ninger som ivaretar den enkeltes personvern. Alle helsedata er underlagt taushetsplikt og helser</w:t>
      </w:r>
      <w:r>
        <w:t>e</w:t>
      </w:r>
      <w:r>
        <w:t>gistrene er pålagt strenge krav til informasjonssikkerhet. Innenfor helseforskning bør forvaltningen av regelverket være forutsigbar og enhetlig på tvers av sektorer. Dette kan blant annet skje gjennom kunnskaps- og kompetansetiltak, eller og gjennom etablering av en atferdsnorm for helseforskning på tvers av de fors</w:t>
      </w:r>
      <w:r>
        <w:t>k</w:t>
      </w:r>
      <w:r>
        <w:t>ningsutførende sektorene. Etablering av atferdsnorm er et sentralt tiltak etter personvernforordningen</w:t>
      </w:r>
      <w:r>
        <w:rPr>
          <w:vertAlign w:val="superscript"/>
        </w:rPr>
        <w:footnoteReference w:id="56"/>
      </w:r>
      <w:r>
        <w:t>. Det er sektoren selv som må utarbeide en atferdsnorm.</w:t>
      </w:r>
    </w:p>
    <w:p w:rsidR="00D24D21" w:rsidRDefault="00D24D21" w:rsidP="00CE47F2">
      <w:r>
        <w:t>Enklere og bedre tilgang til pålitelige og kvalitetssikrede helsedata og andre relevante data vil kunne understøtte forsknings- og utviklingsaktiviteter og styrke konkurranseevnen for næringsliv innenfor bi</w:t>
      </w:r>
      <w:r>
        <w:t>o</w:t>
      </w:r>
      <w:r>
        <w:t>teknologi, farmasi og andre helserelaterte næringer. Videre vil dette kunne bidra til større grad av private investeringer til næringsrettet forskning, innovasjon og næringsutvikling innenfor helseo</w:t>
      </w:r>
      <w:r>
        <w:t>m</w:t>
      </w:r>
      <w:r>
        <w:t>rådet – også fra utlandet. Teknologisk utvikling innenfor kunstig intelligens og behandling og håndtering av stordata, representerer muligheter for analyse, forskning og utvikling som vi ikke har hatt tidligere.</w:t>
      </w:r>
    </w:p>
    <w:p w:rsidR="00D24D21" w:rsidRDefault="00D24D21" w:rsidP="00CE47F2">
      <w:pPr>
        <w:pStyle w:val="Overskrift3"/>
      </w:pPr>
      <w:r>
        <w:lastRenderedPageBreak/>
        <w:t>Bruk av helsedata i utvikling av nye helseprodukter</w:t>
      </w:r>
    </w:p>
    <w:p w:rsidR="00D24D21" w:rsidRDefault="00D24D21" w:rsidP="00CE47F2">
      <w:r>
        <w:t>Helsedata er et stadig viktigere verktøy i legemiddelutviklingen og på helse- og velferdsteknolog</w:t>
      </w:r>
      <w:r>
        <w:t>i</w:t>
      </w:r>
      <w:r>
        <w:t>feltet. Særlig gjelder dette i utviklingen av persontilpasset medisin og genetisk veiledet utvikling og bruk av nye legemidler. Norge har mange helseregistre, hvor flere har data mange år tilbake i tid. Helseregistrene våre gir mulighet til å gjøre registerbaserte kliniske studier som få andre land i verden har mulighet til.</w:t>
      </w:r>
    </w:p>
    <w:p w:rsidR="00D24D21" w:rsidRDefault="00D24D21" w:rsidP="00CE47F2">
      <w:r>
        <w:t>Bruk av helsedata er nødvendig gjennom hele utviklingsforløpet til et legemiddel, fra identifisering av pasienter som kan inngå i en studie, til langtidsovervåking av om behandlingsmetodene er trygge og har effekt på pasientene. Det er en økende tendens til at legemidler får markedsføringstillatelse på mindre dokumentasjon enn tidligere. Det blir derfor økt behov for registerstudier som del av op</w:t>
      </w:r>
      <w:r>
        <w:t>p</w:t>
      </w:r>
      <w:r>
        <w:t>følgingen etter at legemidlene har fått markedsføringsti</w:t>
      </w:r>
      <w:r>
        <w:t>l</w:t>
      </w:r>
      <w:r>
        <w:t>latelse.</w:t>
      </w:r>
    </w:p>
    <w:p w:rsidR="00D24D21" w:rsidRDefault="00D24D21" w:rsidP="00CE47F2">
      <w:r>
        <w:t>På andre områder, som medisinsk utstyr, IKT-verktøy og velferdsteknologi, har det tradisjonelt vært mindre grad av systematisk dokumentasjon gjennom kliniske studier og registerstudier. For med</w:t>
      </w:r>
      <w:r>
        <w:t>i</w:t>
      </w:r>
      <w:r>
        <w:t>sinsk utstyr medfører det nye EU-regelverket på området fra 2017 (forordningene EU 2017/745 og 746) at det blir strengere krav til dokumentasjon. Samtidig etterspørres dokumentasjon i økende grad av de som skal treffe beslutning om innføring.</w:t>
      </w:r>
    </w:p>
    <w:p w:rsidR="00D24D21" w:rsidRDefault="00D24D21" w:rsidP="00CE47F2">
      <w:r>
        <w:t>Effektstudier som kombinerer bruk av helsedata fra pasientjournaler, helseregistre og andre kilder, ka</w:t>
      </w:r>
      <w:r>
        <w:t>l</w:t>
      </w:r>
      <w:r>
        <w:t>les gjerne real world data- eller pragmatiske kliniske studier, se boks 8.10. Bedre tilgang til data vil i komb</w:t>
      </w:r>
      <w:r>
        <w:t>i</w:t>
      </w:r>
      <w:r>
        <w:t>nasjon med nye metoder innenfor kunstig intelligens, kunne forbedre og effektivisere legemiddelutvikling og oppfølging på flere måter.</w:t>
      </w:r>
    </w:p>
    <w:p w:rsidR="00D24D21" w:rsidRDefault="00D24D21" w:rsidP="00CE47F2">
      <w:r>
        <w:t>Med en god infrastruktur for gjennomføring av kliniske studier, nasjonale kvalitetsregistre og bedre tilgang til helsedata, kan Norge ha konkurransefortrinn når det gjelder slike studier. Det offentlige bør utnytte dette pote</w:t>
      </w:r>
      <w:r>
        <w:t>n</w:t>
      </w:r>
      <w:r>
        <w:t>sialet for å være en attraktiv samarbeidspartner for industrien.</w:t>
      </w:r>
    </w:p>
    <w:p w:rsidR="00D24D21" w:rsidRDefault="00D24D21" w:rsidP="00CE47F2">
      <w:r>
        <w:t>Økt samhandling mellom aktører og mer effektiv spredning av ny kunnskap vil i seg selv stimulere til innovasjon og næringsutvikling. Raskere og enklere tilgang til helsedata vil også kunne åpne for flere store og strategisk viktige offentlig-private samarbeid.</w:t>
      </w:r>
    </w:p>
    <w:p w:rsidR="00D24D21" w:rsidRDefault="00D24D21" w:rsidP="00CE47F2">
      <w:r>
        <w:t>I november 2018 ble det inngått en samarbeidsavtale mellom Nasjonalt servicemiljø for medisinske kvalitetsregistre SKDE, Legemiddelindustrien (LMI) og Medtek Norge</w:t>
      </w:r>
      <w:r>
        <w:rPr>
          <w:vertAlign w:val="superscript"/>
        </w:rPr>
        <w:footnoteReference w:id="57"/>
      </w:r>
      <w:r>
        <w:t>. Avtalen fastsetter fo</w:t>
      </w:r>
      <w:r>
        <w:t>r</w:t>
      </w:r>
      <w:r>
        <w:t>pliktende rammer ved samarbeid mellom industrien og de regionale helseforetakene om bruk av data fra medisinske kvalitetsregistre.</w:t>
      </w:r>
    </w:p>
    <w:p w:rsidR="00D24D21" w:rsidRDefault="00D24D21" w:rsidP="00CE47F2">
      <w:pPr>
        <w:pStyle w:val="Overskrift3"/>
      </w:pPr>
      <w:r>
        <w:t>Helsedataprogrammet</w:t>
      </w:r>
    </w:p>
    <w:p w:rsidR="00D24D21" w:rsidRDefault="00D24D21" w:rsidP="00CE47F2">
      <w:r>
        <w:t>Helsedataprogrammet som ble etablert i regi av Direktoratet for e-helse i 2017 fått ansvar for å gjøre helsedata lettere tilgjengelig for forskning og annen sekundærbruk, og bidra til bedre personvern og info</w:t>
      </w:r>
      <w:r>
        <w:t>r</w:t>
      </w:r>
      <w:r>
        <w:t>masjonssikkerhet. Programmet har som hovedmål å etablere fellestjenester for forskere og andre bruk</w:t>
      </w:r>
      <w:r>
        <w:t>e</w:t>
      </w:r>
      <w:r>
        <w:t>re, for å gi enklere og sikrere tilgang til data. Programmet skal i tillegg bidra til mer innovasjon og næring</w:t>
      </w:r>
      <w:r>
        <w:t>s</w:t>
      </w:r>
      <w:r>
        <w:t>utvikling.</w:t>
      </w:r>
    </w:p>
    <w:p w:rsidR="00D24D21" w:rsidRDefault="00D24D21" w:rsidP="00CE47F2">
      <w:r>
        <w:lastRenderedPageBreak/>
        <w:t>En sentral oppgave for Helsedataprogrammet er å etablere en plattform for analyse av helsedata, som på en trygg og sikker måte skal gjøre helsedata enklere tilgjengelig for forskning og analyse, se boks 8.11. Forskningsrådet og Direktoratet for e-helse har inngått en samarbeidsavtale for å utvikle he</w:t>
      </w:r>
      <w:r>
        <w:t>l</w:t>
      </w:r>
      <w:r>
        <w:t>seanalyseplattformen. Helseanalyseplattformen kan redusere forskeres ressursbruk på datainnsa</w:t>
      </w:r>
      <w:r>
        <w:t>m</w:t>
      </w:r>
      <w:r>
        <w:t>ling og dermed frigjøre ressurser til forskning og analyse. Utviklingen av en slik plattform vil kunne gi nye muligheter for norsk helsenæring og gjøre det mer attraktivt for internasjonale aktører å legge utviklingsaktivitet til Norge.</w:t>
      </w:r>
    </w:p>
    <w:p w:rsidR="00D24D21" w:rsidRDefault="00D24D21" w:rsidP="00CE47F2">
      <w:r>
        <w:t>Helsedataprogrammet utvikler også innbyggertjenester som gjøres tilgjengelig på helsenorge.no. Det er blant annet etablert en tjeneste for forskning og helseundersøkelser som skal gi innbyggerne i</w:t>
      </w:r>
      <w:r>
        <w:t>n</w:t>
      </w:r>
      <w:r>
        <w:t>formasjon om hvilke befolkningsstudier eller kliniske studier de deltar i. Foreløpig omfatter tjene</w:t>
      </w:r>
      <w:r>
        <w:t>s</w:t>
      </w:r>
      <w:r>
        <w:t>ten kun Helseundersøkelsen i Nord-Trøndelag (HUNT). Flere helseundersøkelser vil bli lagt til etter hvert.</w:t>
      </w:r>
    </w:p>
    <w:p w:rsidR="00D24D21" w:rsidRDefault="00D24D21" w:rsidP="00CE47F2">
      <w:r>
        <w:t>Forskningsdeltagere fra Helseundersøkelsen i Nord-Trøndelag kan på helsenorge.no gi samtykke og se resultater fra forskningen de deltar i. Denne funksjonen vil også kunne brukes i andre fors</w:t>
      </w:r>
      <w:r>
        <w:t>k</w:t>
      </w:r>
      <w:r>
        <w:t>ningsprosjekter. Dette gir m</w:t>
      </w:r>
      <w:r>
        <w:t>u</w:t>
      </w:r>
      <w:r>
        <w:t>lighet til å ha mer dynamisk dialog med innbyggere og pasienter om bruken av deres data.</w:t>
      </w:r>
    </w:p>
    <w:p w:rsidR="00D24D21" w:rsidRDefault="00D24D21" w:rsidP="00CE47F2">
      <w:pPr>
        <w:pStyle w:val="tittel-ramme"/>
      </w:pPr>
      <w:r>
        <w:t>Helseanalyseplattformen</w:t>
      </w:r>
    </w:p>
    <w:p w:rsidR="00D24D21" w:rsidRDefault="00D24D21" w:rsidP="00CE47F2">
      <w:r>
        <w:t>Regjeringen har gjennom arbeidet med å utvikle Helseanalyseplattformen, som mål å etablere en infrastruktur som skal gjøre helsedata lettere tilgjengelig for forskning og analyse. Portalen hels</w:t>
      </w:r>
      <w:r>
        <w:t>e</w:t>
      </w:r>
      <w:r>
        <w:t>data.no ble etablert i 2018 og har informasjon om over 90 helseregistre for helse- og omsorgstj</w:t>
      </w:r>
      <w:r>
        <w:t>e</w:t>
      </w:r>
      <w:r>
        <w:t>nesten, forskere og næringslivet. Oversikt over data og metadata blir en viktig komponent i portalen. Portalen inneholder en variabeloversikt for de mest brukte registrene og funksjonalitet for å velge ut og samle variabler. I 2019 vil helsedata.no bli videreutviklet med funksjonalitet for å søke om tilgang til helsedata på tvers av registre i et felles søknadsskjema.</w:t>
      </w:r>
    </w:p>
    <w:p w:rsidR="00D24D21" w:rsidRDefault="00D24D21" w:rsidP="00CE47F2">
      <w:r>
        <w:t>Helseanalyseplattformen vil bli etablert gjennom en stegvis utvikling. Det langsiktige målet er å gi m</w:t>
      </w:r>
      <w:r>
        <w:t>u</w:t>
      </w:r>
      <w:r>
        <w:t>lighet for avanserte analyser og eksplorativ tilgang til helsedata. Enklere tilgang til og mulighet for mer avanserte analyser av norske helsedata vil muliggjøre nye typer medisinsk og helsefaglig forskning, som igjen vil bidra til viktig kunnskap for pasienter, helsetjeneste og samfunn. Hels</w:t>
      </w:r>
      <w:r>
        <w:t>e</w:t>
      </w:r>
      <w:r>
        <w:t>analyseplattformen vil også kunne gjøre det mulig å benytte helsedata mer aktivt i utviklingsforløpet til legemidler og medisinsk te</w:t>
      </w:r>
      <w:r>
        <w:t>k</w:t>
      </w:r>
      <w:r>
        <w:t>nologi, og legge til rette for utvikling og bruk av analyseteknologi hos teknologileverandører og tjenest</w:t>
      </w:r>
      <w:r>
        <w:t>e</w:t>
      </w:r>
      <w:r>
        <w:t>leverandører.</w:t>
      </w:r>
    </w:p>
    <w:p w:rsidR="00D24D21" w:rsidRDefault="00D24D21" w:rsidP="00CE47F2">
      <w:r>
        <w:t>Helseanalyseplattformen vil gi mulighet for innebygget personvern, og dermed gi innbyggerne mer kontroll over hvordan egne data brukes og en større trygghet for at data forvaltes på en sikker måte. Etablering av en slik plattformen vil også kunne bidra til å redusere spredning og duplisering av perso</w:t>
      </w:r>
      <w:r>
        <w:t>n</w:t>
      </w:r>
      <w:r>
        <w:t>opplysninger gjennom løsninger som reduserer behovet for å utlevere sensitive data.</w:t>
      </w:r>
    </w:p>
    <w:p w:rsidR="00D24D21" w:rsidRDefault="00D24D21">
      <w:pPr>
        <w:pStyle w:val="Ramme-slutt"/>
        <w:rPr>
          <w:sz w:val="26"/>
          <w:szCs w:val="26"/>
        </w:rPr>
      </w:pPr>
      <w:r>
        <w:rPr>
          <w:sz w:val="26"/>
          <w:szCs w:val="26"/>
        </w:rPr>
        <w:t>[Boks slutt]</w:t>
      </w:r>
    </w:p>
    <w:p w:rsidR="00D24D21" w:rsidRDefault="00D24D21" w:rsidP="00CE47F2">
      <w:pPr>
        <w:pStyle w:val="tittel-ramme"/>
      </w:pPr>
      <w:r>
        <w:t>Fra helseundersøkelse av nordtrøndere til algoritme i Apple Watch</w:t>
      </w:r>
    </w:p>
    <w:p w:rsidR="00D24D21" w:rsidRDefault="00D24D21" w:rsidP="00CE47F2">
      <w:r>
        <w:t>Basert på data fra Helseundersøkelsen i Nord-Trøndelag, HUNT, har en gruppe forskere ved NTNU u</w:t>
      </w:r>
      <w:r>
        <w:t>t</w:t>
      </w:r>
      <w:r>
        <w:t xml:space="preserve">viklet en algoritme som hjelper folk med å finne ut hvor mye de bør trene for å holde seg friske </w:t>
      </w:r>
      <w:r>
        <w:lastRenderedPageBreak/>
        <w:t>lengst mulig, Personlig aktivitetsintelligens (PAI). Forskerne i Cardiac Exercise Research Group (CERG) har vist at personer som er tilstrekkelig fysisk aktive har bedre helse og lavere sykdomsr</w:t>
      </w:r>
      <w:r>
        <w:t>i</w:t>
      </w:r>
      <w:r>
        <w:t>siko de neste tiår</w:t>
      </w:r>
      <w:r>
        <w:t>e</w:t>
      </w:r>
      <w:r>
        <w:t>ne. PAI ser ut til å være et mer presist mål på optimal fysisk aktivitet enn dagens aktivitetsanbefalinger. Formelen ble først tatt i bruk sammen med aktivitetsappen Mio PAI i akt</w:t>
      </w:r>
      <w:r>
        <w:t>i</w:t>
      </w:r>
      <w:r>
        <w:t>vitetsarmbåndet Mio Slice. Pr</w:t>
      </w:r>
      <w:r>
        <w:t>o</w:t>
      </w:r>
      <w:r>
        <w:t>duktet har blitt kåret til «Best health wearable» i PC Magazine, og til én av de 18 viktigste nyvinningene innenfor helse i 2016. Senere har det blitt mulig å måle PAI med en rekke andre aktivitetsmålere, inkl</w:t>
      </w:r>
      <w:r>
        <w:t>u</w:t>
      </w:r>
      <w:r>
        <w:t>dert Fitbit og Apple Watch. Måling av PAI inngår også i flere nye forskningsprosjekter som gir ny og ve</w:t>
      </w:r>
      <w:r>
        <w:t>r</w:t>
      </w:r>
      <w:r>
        <w:t>difull data til videre forskning på hvordan kondisjon og ulike typer fysisk aktivitet påvirker helsen.</w:t>
      </w:r>
    </w:p>
    <w:p w:rsidR="00D24D21" w:rsidRDefault="00E636F4" w:rsidP="00E636F4">
      <w:pPr>
        <w:pStyle w:val="Figur"/>
      </w:pPr>
      <w:r>
        <w:rPr>
          <w:noProof/>
        </w:rPr>
        <w:t>[:figur:figX-X.jpg]</w:t>
      </w:r>
    </w:p>
    <w:p w:rsidR="00D24D21" w:rsidRDefault="00D24D21" w:rsidP="00CE47F2">
      <w:pPr>
        <w:pStyle w:val="figur-tittel"/>
      </w:pPr>
      <w:r>
        <w:t>Mio PAI</w:t>
      </w:r>
    </w:p>
    <w:p w:rsidR="00D24D21" w:rsidRDefault="00D24D21" w:rsidP="00CE47F2">
      <w:pPr>
        <w:pStyle w:val="Kilde"/>
      </w:pPr>
      <w:r>
        <w:t>PAI Health</w:t>
      </w:r>
    </w:p>
    <w:p w:rsidR="00D24D21" w:rsidRDefault="00D24D21">
      <w:pPr>
        <w:pStyle w:val="Ramme-slutt"/>
        <w:rPr>
          <w:sz w:val="26"/>
          <w:szCs w:val="26"/>
        </w:rPr>
      </w:pPr>
      <w:r>
        <w:rPr>
          <w:sz w:val="26"/>
          <w:szCs w:val="26"/>
        </w:rPr>
        <w:t>[Boks slutt]</w:t>
      </w:r>
    </w:p>
    <w:p w:rsidR="00D24D21" w:rsidRDefault="00D24D21" w:rsidP="00CE47F2">
      <w:pPr>
        <w:pStyle w:val="Overskrift1"/>
      </w:pPr>
      <w:r>
        <w:t>Kommersialisering og gründerskap</w:t>
      </w:r>
    </w:p>
    <w:p w:rsidR="00D24D21" w:rsidRDefault="00D24D21" w:rsidP="00CE47F2">
      <w:pPr>
        <w:pStyle w:val="Overskrift2"/>
      </w:pPr>
      <w:r>
        <w:t>Regjeringens politikk</w:t>
      </w:r>
    </w:p>
    <w:p w:rsidR="00D24D21" w:rsidRDefault="00D24D21" w:rsidP="00CE47F2">
      <w:r>
        <w:t>Ideer og oppfinnelser sprunget ut fra forskning og praksis, kan komme pasienter og samfunnet til gode i form av nye varer og tjenester og bedre arbeidsprosesser. Kommersialisering er å få ideer og oppfinnelser ut i et marked.</w:t>
      </w:r>
    </w:p>
    <w:p w:rsidR="00D24D21" w:rsidRDefault="00D24D21" w:rsidP="00CE47F2">
      <w:r>
        <w:t>Dette kapitlet ser på betingelser for kommersialisering av resultater fra medisinsk og helsefaglig o</w:t>
      </w:r>
      <w:r>
        <w:t>f</w:t>
      </w:r>
      <w:r>
        <w:t>fentlig finansiert forskning og av ideer utviklet i helse- og omsorgssektoren. Rammebetingelser og tiltak i kapittel 7 har også b</w:t>
      </w:r>
      <w:r>
        <w:t>e</w:t>
      </w:r>
      <w:r>
        <w:t>tydning for kommersialisering og gründerskap.</w:t>
      </w:r>
    </w:p>
    <w:p w:rsidR="00D24D21" w:rsidRDefault="00D24D21" w:rsidP="00CE47F2">
      <w:r>
        <w:t>Regjeringen har som ambisjon å styrke arbeidet med kommersialisering av resultater fra offentlig finansiert forskning ytterligere.</w:t>
      </w:r>
      <w:r>
        <w:rPr>
          <w:vertAlign w:val="superscript"/>
        </w:rPr>
        <w:footnoteReference w:id="58"/>
      </w:r>
      <w:r>
        <w:t xml:space="preserve"> Regjeringen mener at det er potensial for økt kommersialisering av medisinsk og hels</w:t>
      </w:r>
      <w:r>
        <w:t>e</w:t>
      </w:r>
      <w:r>
        <w:t>faglig forskning og ideer fra helse- og omsorgssektoren.</w:t>
      </w:r>
    </w:p>
    <w:p w:rsidR="00D24D21" w:rsidRDefault="00D24D21" w:rsidP="00CE47F2">
      <w:r>
        <w:t>For å styrke arbeidet med kommersialisering vil regjeringen:</w:t>
      </w:r>
    </w:p>
    <w:p w:rsidR="00D24D21" w:rsidRDefault="00D24D21" w:rsidP="00CE47F2">
      <w:pPr>
        <w:pStyle w:val="Liste"/>
      </w:pPr>
      <w:r>
        <w:t>vurdere insentiver for kommersialisering av forskningsresultater i universitets- og høysk</w:t>
      </w:r>
      <w:r>
        <w:t>o</w:t>
      </w:r>
      <w:r>
        <w:t>lesektoren, med vekt på implikasjoner for helseforetakene</w:t>
      </w:r>
    </w:p>
    <w:p w:rsidR="00D24D21" w:rsidRDefault="00D24D21" w:rsidP="00CE47F2">
      <w:pPr>
        <w:pStyle w:val="Liste"/>
      </w:pPr>
      <w:r>
        <w:t>kartlegge om det er behov for bedre veiledning om immaterialrettigheter i helsenæringen eller deler av denne</w:t>
      </w:r>
    </w:p>
    <w:p w:rsidR="00D24D21" w:rsidRDefault="00D24D21" w:rsidP="00CE47F2">
      <w:pPr>
        <w:pStyle w:val="Liste"/>
      </w:pPr>
      <w:r>
        <w:t>kartlegge entreprenørskapsundervisning og behovet for eventuelt å styrke denne innenfor de hels</w:t>
      </w:r>
      <w:r>
        <w:t>e</w:t>
      </w:r>
      <w:r>
        <w:t>faglige utdanningene</w:t>
      </w:r>
    </w:p>
    <w:p w:rsidR="00D24D21" w:rsidRDefault="00D24D21" w:rsidP="00CE47F2">
      <w:pPr>
        <w:pStyle w:val="Liste"/>
      </w:pPr>
      <w:r>
        <w:t>utarbeide en handlingsplan for kvinnelige gründere med sikte på ferdigstillelse i 2019</w:t>
      </w:r>
    </w:p>
    <w:p w:rsidR="00D24D21" w:rsidRDefault="00D24D21" w:rsidP="00CE47F2">
      <w:pPr>
        <w:pStyle w:val="Overskrift2"/>
      </w:pPr>
      <w:r>
        <w:lastRenderedPageBreak/>
        <w:t>Kommersialisering fra medisinsk og helsefaglig forskning</w:t>
      </w:r>
    </w:p>
    <w:p w:rsidR="00D24D21" w:rsidRDefault="00D24D21" w:rsidP="00CE47F2">
      <w:r>
        <w:t>Ulike deler av helsenæringen møter på ulike utfordringer og muligheter når de skal kommersialisere. Ofte er det omfattende krav til kvalitet og dokumentasjon og en rekke regulatoriske forhold som det er avgj</w:t>
      </w:r>
      <w:r>
        <w:t>ø</w:t>
      </w:r>
      <w:r>
        <w:t>rende å kjenne til.</w:t>
      </w:r>
    </w:p>
    <w:p w:rsidR="00D24D21" w:rsidRDefault="00D24D21" w:rsidP="00CE47F2">
      <w:r>
        <w:t>I utvikling av legemidler, diagnostiske verktøy og en del medisinsk utstyr er veien fra idé til marked forskning</w:t>
      </w:r>
      <w:r>
        <w:t>s</w:t>
      </w:r>
      <w:r>
        <w:t>intensiv, lang og kapitalkrevende og med stor risiko. Mange sikter mot globale markeder fra start. Verdiene er over lengre tid ofte i hovedsak immaterielle og det søkes beskyttelse i aktuelle mark</w:t>
      </w:r>
      <w:r>
        <w:t>e</w:t>
      </w:r>
      <w:r>
        <w:t>der gjennom patenter. For å lykkes kreves omfattende utvikling og testing, kliniske studier, oppskalering av produksjon, markedsføringstillatelser og inngåelse av internasjonale industriavtaler. Dokumentasjon</w:t>
      </w:r>
      <w:r>
        <w:t>s</w:t>
      </w:r>
      <w:r>
        <w:t>løp for å påvise effekt i praksis og klinisk utprøving må være i tråd med standarder og krav i de aktuelle ma</w:t>
      </w:r>
      <w:r>
        <w:t>r</w:t>
      </w:r>
      <w:r>
        <w:t>kedene.</w:t>
      </w:r>
    </w:p>
    <w:p w:rsidR="00D24D21" w:rsidRDefault="00D24D21" w:rsidP="00CE47F2">
      <w:r>
        <w:t>Innenfor e-helse, velferdsteknologi og en del medisinsk teknologi dreier det seg ofte om videreu</w:t>
      </w:r>
      <w:r>
        <w:t>t</w:t>
      </w:r>
      <w:r>
        <w:t>vikling av allerede eksisterende teknologier tilpasset et bestemt behov. Dette innebærer ofte mindre grad av forskningsaktivitet og kortere utviklingstid enn for eksempel for legemidler. Kapitalbehovet er gjerne mindre. Innenfor helse-IKT stilles det krav til interoperabilitet,</w:t>
      </w:r>
      <w:r>
        <w:rPr>
          <w:vertAlign w:val="superscript"/>
        </w:rPr>
        <w:footnoteReference w:id="59"/>
      </w:r>
      <w:r>
        <w:t xml:space="preserve"> personvern, sikkerhet og bruk av standarder. Dette påvirker om produkter kan implementeres i den norske helse- og o</w:t>
      </w:r>
      <w:r>
        <w:t>m</w:t>
      </w:r>
      <w:r>
        <w:t>sorgstjenesten og ti</w:t>
      </w:r>
      <w:r>
        <w:t>l</w:t>
      </w:r>
      <w:r>
        <w:t>gangen til markeder internasjonalt.</w:t>
      </w:r>
    </w:p>
    <w:p w:rsidR="00D24D21" w:rsidRDefault="00D24D21" w:rsidP="00CE47F2">
      <w:r>
        <w:t>Både offentlige og private aktører er med å understøtte kommersialiseringsaktiviteter i ulike faser. En aktør som skal kommersialisere kan underveis i prosessen ha nytte av dialog, støtte og samarbeid med ulike aktører i forskningsmiljøer, næringsliv, klynger, inkubatorer og det næringsrettede vi</w:t>
      </w:r>
      <w:r>
        <w:t>r</w:t>
      </w:r>
      <w:r>
        <w:t>kemiddela</w:t>
      </w:r>
      <w:r>
        <w:t>p</w:t>
      </w:r>
      <w:r>
        <w:t>paratet. Ofte har man behov for test- og piloteringsfasiliteter og man trenger kompetanse om og tilgang til markeder nasjonalt og internasjonalt. Dette er nærmere omtalt tidligere i denne meldingen.</w:t>
      </w:r>
    </w:p>
    <w:p w:rsidR="00D24D21" w:rsidRDefault="00D24D21" w:rsidP="00CE47F2">
      <w:pPr>
        <w:pStyle w:val="tittel-ramme"/>
      </w:pPr>
      <w:r>
        <w:t>Kommersialisering</w:t>
      </w:r>
    </w:p>
    <w:p w:rsidR="00D24D21" w:rsidRDefault="00D24D21" w:rsidP="00CE47F2">
      <w:r>
        <w:t>Begrepet kommersialisering er ikke entydig definert verken i faglitteraturen eller i daglig tale.</w:t>
      </w:r>
      <w:r>
        <w:rPr>
          <w:rStyle w:val="skrift-hevet"/>
          <w:sz w:val="21"/>
          <w:szCs w:val="21"/>
        </w:rPr>
        <w:t>1</w:t>
      </w:r>
      <w:r>
        <w:t xml:space="preserve"> I denne stortingsmeldingen betegner kommersialisering hele prosessen fra en idé oppstår, gjennom for eksempel et forskningsresultat, og til ideen er lansert som forretningsmessig virksomhet, løsning, produkt eller produksjonsmetode i et marked og inntekter skapes. Ved kommersialisering av resu</w:t>
      </w:r>
      <w:r>
        <w:t>l</w:t>
      </w:r>
      <w:r>
        <w:t>tater fra offentlig finansierte forskningsinstitusjoner, er det gjerne innmelding av prosjekter og den prosessen som skjer gjennom teknologioverføringskontorene (TTO) det siktes til.</w:t>
      </w:r>
    </w:p>
    <w:p w:rsidR="00D24D21" w:rsidRDefault="00D24D21" w:rsidP="00CE47F2">
      <w:r>
        <w:t>Prosessen med å kommersialisere vil ofte veksle mellom idefase, utviklingsfase, analysefase knyttet til markedspotensial, utvikling av forretningsplan, test og utprøving og fram til løsningen er intr</w:t>
      </w:r>
      <w:r>
        <w:t>o</w:t>
      </w:r>
      <w:r>
        <w:t>dusert og etablert i et marked. Sentrale faktorer underveis er blant annet tilgang til kapital og ko</w:t>
      </w:r>
      <w:r>
        <w:t>m</w:t>
      </w:r>
      <w:r>
        <w:t>petanse og b</w:t>
      </w:r>
      <w:r>
        <w:t>e</w:t>
      </w:r>
      <w:r>
        <w:t>skyttelse av immaterielle verdier. I fasen fra bedriftsetablering fram til en vare eller tjeneste er lansert, vil utgiftene typisk være store. Hvordan kommersialiseringsprosessen forløper vil variere mellom ulike vir</w:t>
      </w:r>
      <w:r>
        <w:t>k</w:t>
      </w:r>
      <w:r>
        <w:t xml:space="preserve">somheter og bransjer. Forskjeller i blant annet forskningsintensitet, behov </w:t>
      </w:r>
      <w:r>
        <w:lastRenderedPageBreak/>
        <w:t>og tilgjengelighet av ressurser og krav til etterprøvbarhet, dokumentasjon og effekt, og i tillegg til hvilke markeder en forsøker å nå, påvirker dette.</w:t>
      </w:r>
    </w:p>
    <w:p w:rsidR="00D24D21" w:rsidRDefault="00D24D21" w:rsidP="00CE47F2">
      <w:pPr>
        <w:pStyle w:val="ramme-noter"/>
      </w:pPr>
      <w:r>
        <w:rPr>
          <w:rStyle w:val="skrift-hevet"/>
          <w:sz w:val="17"/>
          <w:szCs w:val="17"/>
        </w:rPr>
        <w:t>1</w:t>
      </w:r>
      <w:r>
        <w:tab/>
        <w:t>Sløk-Madsen, S. K., Ritter, T., &amp; Sornn-Friese, H. (2017). Commercialization in Innovation Management: Defining the Concept and a Research Agenda. Paper presented at 77th Annual meeting of the Academy of Management, Atlanta, United States.</w:t>
      </w:r>
    </w:p>
    <w:p w:rsidR="00D24D21" w:rsidRDefault="00D24D21">
      <w:pPr>
        <w:pStyle w:val="Ramme-slutt"/>
        <w:rPr>
          <w:sz w:val="26"/>
          <w:szCs w:val="26"/>
        </w:rPr>
      </w:pPr>
      <w:r>
        <w:rPr>
          <w:sz w:val="26"/>
          <w:szCs w:val="26"/>
        </w:rPr>
        <w:t>[Boks slutt]</w:t>
      </w:r>
    </w:p>
    <w:p w:rsidR="00D24D21" w:rsidRDefault="00D24D21" w:rsidP="006517FF">
      <w:pPr>
        <w:pStyle w:val="Overskrift3"/>
        <w:numPr>
          <w:ilvl w:val="2"/>
          <w:numId w:val="227"/>
        </w:numPr>
      </w:pPr>
      <w:r>
        <w:t>Kommersialiseringsaktiviteter</w:t>
      </w:r>
    </w:p>
    <w:p w:rsidR="00D24D21" w:rsidRDefault="00D24D21" w:rsidP="00CE47F2">
      <w:r>
        <w:t>I 2017 utgjorde driftsutgiftene</w:t>
      </w:r>
      <w:r>
        <w:rPr>
          <w:vertAlign w:val="superscript"/>
        </w:rPr>
        <w:footnoteReference w:id="60"/>
      </w:r>
      <w:r>
        <w:t xml:space="preserve"> til forskning og utviklingsarbeid innenfor medisin og helsefag 9 mrd. kroner, hvorav 8 mrd. kroner kom fra offentlige kilder.</w:t>
      </w:r>
      <w:r>
        <w:rPr>
          <w:vertAlign w:val="superscript"/>
        </w:rPr>
        <w:footnoteReference w:id="61"/>
      </w:r>
      <w:r>
        <w:t xml:space="preserve"> Det foregår forskning ved alle he</w:t>
      </w:r>
      <w:r>
        <w:t>l</w:t>
      </w:r>
      <w:r>
        <w:t>seforetakene i Norge, og disse utførte til sammen FoU (forskning og utviklingsarbeid) for 4,3 mrd. kroner i 2017.</w:t>
      </w:r>
      <w:r>
        <w:rPr>
          <w:vertAlign w:val="superscript"/>
        </w:rPr>
        <w:footnoteReference w:id="62"/>
      </w:r>
      <w:r>
        <w:t xml:space="preserve"> Det er konsentrasjon av forskningsaktivitet ved universitetssykehusene. FoU-utgiftene i medisin og helsefag ved universiteter og høyskoler var på 3,9 mrd. kroner, og på 0,8 mrd. kroner i instituttsektoren.</w:t>
      </w:r>
    </w:p>
    <w:p w:rsidR="00D24D21" w:rsidRDefault="00D24D21" w:rsidP="00CE47F2">
      <w:r>
        <w:t>Det er etablert en rekke TTOer for å mobilisere til kommersialiseringsaktiviteter fra offentlig f</w:t>
      </w:r>
      <w:r>
        <w:t>i</w:t>
      </w:r>
      <w:r>
        <w:t>nansiert forskning og bidra til at kommersialisering av slike ideer forvaltes på en god og profesjonell måte. Disse kontorene skal i samarbeid med moderinstitusjonene vurdere hvordan dette skal gjøres. Når de kommersielle rettighetene til en oppfinnelse overtas fra forskeren, så er det vanligvis m</w:t>
      </w:r>
      <w:r>
        <w:t>o</w:t>
      </w:r>
      <w:r>
        <w:t>derinstitusjonen som står som eier av rettighetene, mens forvaltningen skjer gjennom TTOen. Ideen eller resultatet beskyttes ofte gjennom et patent. Deretter kan dette enten lisensieres ut eller bli grunnlag for en bedriftsetablering. Dette betegnes ofte som ulike strategier for «exit» eller ko</w:t>
      </w:r>
      <w:r>
        <w:t>m</w:t>
      </w:r>
      <w:r>
        <w:t>mersialiseringsstrategier.</w:t>
      </w:r>
    </w:p>
    <w:p w:rsidR="00D24D21" w:rsidRDefault="00D24D21" w:rsidP="00CE47F2">
      <w:pPr>
        <w:pStyle w:val="tittel-ramme"/>
      </w:pPr>
      <w:r>
        <w:t>Teknologioverføringskontor</w:t>
      </w:r>
    </w:p>
    <w:p w:rsidR="00D24D21" w:rsidRDefault="00D24D21" w:rsidP="00CE47F2">
      <w:r>
        <w:t>Teknologioverføringskontorene («Technology Transfer Offices»), ofte omtalt som TTOene, eies og styres av de forskningsinstitusjonene de representerer og har tjeneste- eller samarbeidsavtale med, vanligvis de største universitetene, instituttene, de regionale helseforetakene og helseforetakene. TTOene er tilpasset og spesi</w:t>
      </w:r>
      <w:r>
        <w:t>a</w:t>
      </w:r>
      <w:r>
        <w:t>lisert for å utføre de oppgavene som deres eiere bestemmer de skal utføre og arbeide med. De har avtaler med eierinstitusjonene som regulerer deres aktiviteter, øk</w:t>
      </w:r>
      <w:r>
        <w:t>o</w:t>
      </w:r>
      <w:r>
        <w:t>nomiske ansvar og beslutningsmyndighet. Oppgav</w:t>
      </w:r>
      <w:r>
        <w:t>e</w:t>
      </w:r>
      <w:r>
        <w:t>porteføljene i de ulike TTOene varierer. Dette henger blant annet sammen med type forskning som u</w:t>
      </w:r>
      <w:r>
        <w:t>t</w:t>
      </w:r>
      <w:r>
        <w:t>føres ved eierinstitusjonene og om kontorene også har inkubasjonsvirksomhet. Regionale variasjoner skyldes blant annet historiske forhold rundt etablering og næringssammensetning i den aktuelle regionen.</w:t>
      </w:r>
    </w:p>
    <w:p w:rsidR="00D24D21" w:rsidRDefault="00D24D21" w:rsidP="00CE47F2">
      <w:r>
        <w:lastRenderedPageBreak/>
        <w:t>TTOene er organisert som aksjeselskaper der eventuelt overskudd generert av offentlige tilskudd skal benyttes til aktiviteter som er hjemlet i medeiende forskningsorganisasjoner sitt formål (for eksempel forskning, utdanning, formidling og innovasjon). TTOer kan ikke utbetale utbytte.</w:t>
      </w:r>
    </w:p>
    <w:p w:rsidR="00D24D21" w:rsidRDefault="00D24D21" w:rsidP="00CE47F2">
      <w:r>
        <w:t>Om lag halvparten av inntektene til TTOene kommer fra Forskningsrådets FORNY2020-program, se boks 9.3 nedenfor. Øvrige inntekter kommer fra lisensieringer (patenter), salg av aksjer og salg av tjenester til offentlig finansierte forskningsinstitusjoner, der universitets- og høyskolesektoren og sykehu</w:t>
      </w:r>
      <w:r>
        <w:t>s</w:t>
      </w:r>
      <w:r>
        <w:t>ene er sentrale kunder. De har også investeringer fra moderinstitusjonene.</w:t>
      </w:r>
    </w:p>
    <w:p w:rsidR="00D24D21" w:rsidRDefault="00D24D21" w:rsidP="00CE47F2">
      <w:r>
        <w:t>Følgende fem TTOer har både universitets- og høyskolesektor, universitetssykehus og RHF-er inne på eiersiden: Inven2, Bergen TO (BTO), NTNU Technology Transfer, Norinnova og Validé. Andel eierskap er varierende.</w:t>
      </w:r>
    </w:p>
    <w:p w:rsidR="00D24D21" w:rsidRDefault="00D24D21">
      <w:pPr>
        <w:pStyle w:val="Ramme-slutt"/>
        <w:rPr>
          <w:sz w:val="26"/>
          <w:szCs w:val="26"/>
        </w:rPr>
      </w:pPr>
      <w:r>
        <w:rPr>
          <w:sz w:val="26"/>
          <w:szCs w:val="26"/>
        </w:rPr>
        <w:t>[Boks slutt]</w:t>
      </w:r>
    </w:p>
    <w:p w:rsidR="00D24D21" w:rsidRDefault="00D24D21" w:rsidP="00CE47F2">
      <w:r>
        <w:t>Forskningsrådet har, på oppdrag fra Nærings- og fiskeridepartementet, utført en kartlegging av kommersialiseringsaktiviteter innenfor helse, i form av antall patentsøknader og lisenser og b</w:t>
      </w:r>
      <w:r>
        <w:t>e</w:t>
      </w:r>
      <w:r>
        <w:t>driftsetableringer gje</w:t>
      </w:r>
      <w:r>
        <w:t>n</w:t>
      </w:r>
      <w:r>
        <w:t>nom TTOer som de samarbeider med gjennom programmet FORNY2020. Kartleggingen er utført for peri</w:t>
      </w:r>
      <w:r>
        <w:t>o</w:t>
      </w:r>
      <w:r>
        <w:t>den 2007 til 2017. Det er kontorene selv som har vurdert hvilke kommersialiseringsaktiviteter som er helserelatert.</w:t>
      </w:r>
      <w:r>
        <w:rPr>
          <w:vertAlign w:val="superscript"/>
        </w:rPr>
        <w:footnoteReference w:id="63"/>
      </w:r>
      <w:r>
        <w:t xml:space="preserve"> Tallene inkluderer ikke ideer som blir ko</w:t>
      </w:r>
      <w:r>
        <w:t>m</w:t>
      </w:r>
      <w:r>
        <w:t>mersialisert direkte av arbeidstaker utenom TTO-systemet.</w:t>
      </w:r>
    </w:p>
    <w:p w:rsidR="00D24D21" w:rsidRDefault="00D24D21" w:rsidP="00CE47F2">
      <w:r>
        <w:t>Kartleggingen viser at nesten halvparten av patentsøknadene gjennom TTOene i perioden var he</w:t>
      </w:r>
      <w:r>
        <w:t>l</w:t>
      </w:r>
      <w:r>
        <w:t>serelatert. Om lag 50 pst. av de helserelaterte patentsøknadene (25 pst. totalt) kom fra helseforetak eller samarbeid mellom helseforetak og universitet- og høyskole. Det er stor forskjell mellom TTOene hva gjelder totalt antall patentsøknader, andelen som er helserelevant og andel patenter fra helseforetak. De</w:t>
      </w:r>
      <w:r>
        <w:t>t</w:t>
      </w:r>
      <w:r>
        <w:t>te har sammenheng med størrelsen på TTOene, hvilke FoU-institusjoner de eies av og samarbeider med og forsknings- og innovasjonsaktivitetene ved disse i</w:t>
      </w:r>
      <w:r>
        <w:t>n</w:t>
      </w:r>
      <w:r>
        <w:t>stitusjonene.</w:t>
      </w:r>
    </w:p>
    <w:p w:rsidR="00D24D21" w:rsidRDefault="00D24D21" w:rsidP="00CE47F2">
      <w:r>
        <w:t>For den samlede perioden utgjorde helserelaterte lisensavtaler om lag 60 pst. (374 avtaler) av totalt inngåtte l</w:t>
      </w:r>
      <w:r>
        <w:t>i</w:t>
      </w:r>
      <w:r>
        <w:t>sensavtaler (641 avtaler). Andelen har vært stigende i perioden og i 2017 utgjorde denne 73 pst. (58 inngåtte avtaler var helserelaterte). Kartleggingen viser at halvparten av lisensavtalene er inngått med norske eller norsk-registrerte bedrifter. Et antall av disse kan også omfatte norske da</w:t>
      </w:r>
      <w:r>
        <w:t>t</w:t>
      </w:r>
      <w:r>
        <w:t>terselskaper i gl</w:t>
      </w:r>
      <w:r>
        <w:t>o</w:t>
      </w:r>
      <w:r>
        <w:t>bale konsern.</w:t>
      </w:r>
    </w:p>
    <w:p w:rsidR="00D24D21" w:rsidRDefault="00D24D21" w:rsidP="00CE47F2">
      <w:r>
        <w:t>Av 260 bedriftsetableringer gjennom TTO-systemet i perioden, var 64 helserelaterte. Om lag én fje</w:t>
      </w:r>
      <w:r>
        <w:t>r</w:t>
      </w:r>
      <w:r>
        <w:t>dedel av disse er avviklet. Av bedrifter som fortsatt er aktive i 2018 (om lag 45) er TTOen inne på eiers</w:t>
      </w:r>
      <w:r>
        <w:t>i</w:t>
      </w:r>
      <w:r>
        <w:t>den i 75 pst.</w:t>
      </w:r>
    </w:p>
    <w:p w:rsidR="00D24D21" w:rsidRDefault="00D24D21" w:rsidP="00CE47F2">
      <w:r>
        <w:t>Det er en rekke forhold som påvirker kommersialisering fra offentlig finansiert medisinsk og he</w:t>
      </w:r>
      <w:r>
        <w:t>l</w:t>
      </w:r>
      <w:r>
        <w:t>sefaglig forskning. Samlet sett er det relativt høy helserelatert kommersialiseringsaktivitet gjennom TTO</w:t>
      </w:r>
      <w:r>
        <w:t>e</w:t>
      </w:r>
      <w:r>
        <w:t>ne og mye av dette kommer fra de store universitetssykehusene. Samtidig er den samlede ressursinnsa</w:t>
      </w:r>
      <w:r>
        <w:t>t</w:t>
      </w:r>
      <w:r>
        <w:t>sen innenfor medisinsk og helserelatert forskning høy, og det kan være potensiale for å kommersialisere mer enn i dag.</w:t>
      </w:r>
    </w:p>
    <w:p w:rsidR="00D24D21" w:rsidRDefault="00D24D21" w:rsidP="00CE47F2">
      <w:r>
        <w:lastRenderedPageBreak/>
        <w:t>Betingelsene for videre utvikling og vekst for nye produkter og tjenester innenfor helseområdet er krevende, og mange av disse er drøftet nærmere i de øvrige kapitlene i denne stortingsmeldingen.</w:t>
      </w:r>
    </w:p>
    <w:p w:rsidR="00D24D21" w:rsidRDefault="00D24D21" w:rsidP="00CE47F2">
      <w:pPr>
        <w:pStyle w:val="tittel-ramme"/>
      </w:pPr>
      <w:r>
        <w:t>FORNY2020</w:t>
      </w:r>
    </w:p>
    <w:p w:rsidR="00D24D21" w:rsidRDefault="00D24D21" w:rsidP="00CE47F2">
      <w:r>
        <w:t xml:space="preserve">FORNY2020 er et program i </w:t>
      </w:r>
      <w:r>
        <w:rPr>
          <w:spacing w:val="-2"/>
        </w:rPr>
        <w:t>Norges Forsknings</w:t>
      </w:r>
      <w:r>
        <w:t xml:space="preserve">råd for økt kommersiell anvendelse av </w:t>
      </w:r>
      <w:r>
        <w:rPr>
          <w:spacing w:val="-1"/>
        </w:rPr>
        <w:t>resultater fra offentlig finansierte forskning. Gjen</w:t>
      </w:r>
      <w:r>
        <w:t>nom å gi støtte til de kommersielt mest lovende prosjektene skal FORNY2020 bidra til å bringe forskningsresultater nærmere eller helt fram til markedet. Pro</w:t>
      </w:r>
      <w:r>
        <w:rPr>
          <w:spacing w:val="-1"/>
        </w:rPr>
        <w:t>gra</w:t>
      </w:r>
      <w:r>
        <w:rPr>
          <w:spacing w:val="-1"/>
        </w:rPr>
        <w:t>m</w:t>
      </w:r>
      <w:r>
        <w:rPr>
          <w:spacing w:val="-1"/>
        </w:rPr>
        <w:t>midlene kanaliseres gjennom TTOene og</w:t>
      </w:r>
      <w:r>
        <w:t xml:space="preserve"> gjennom nasjonale åpne konkurransearenaer hvor ulike kommersialis</w:t>
      </w:r>
      <w:r>
        <w:t>e</w:t>
      </w:r>
      <w:r>
        <w:t>ringsaktører, forskere og foretak kan søke etter gitte kriterier.</w:t>
      </w:r>
    </w:p>
    <w:p w:rsidR="00D24D21" w:rsidRDefault="00D24D21" w:rsidP="00CE47F2">
      <w:r>
        <w:t>FORNY2020 har ingen prioriterte tematiske, faglige eller næringsområder, men støtter prosjekter på tvers av ulike bransjer, med ulik modenhet og ulike veier til markedet.</w:t>
      </w:r>
    </w:p>
    <w:p w:rsidR="00D24D21" w:rsidRDefault="00D24D21" w:rsidP="00CE47F2">
      <w:r>
        <w:t>Om lag 30 pst. av midlene fra FORNY2020 har gått til helserelaterte prosjekter de siste fire årene. Det har fra 2011 vært en stor økning av helseprosjekter som har fått støtte gjennom FORNY2020. Dette kan forklares av økte bevilgninger til FORNY2020, men andelen helserelaterte prosjekter har også økt.</w:t>
      </w:r>
    </w:p>
    <w:p w:rsidR="00D24D21" w:rsidRDefault="00D24D21">
      <w:pPr>
        <w:pStyle w:val="Ramme-slutt"/>
        <w:rPr>
          <w:sz w:val="26"/>
          <w:szCs w:val="26"/>
        </w:rPr>
      </w:pPr>
      <w:r>
        <w:rPr>
          <w:sz w:val="26"/>
          <w:szCs w:val="26"/>
        </w:rPr>
        <w:t>[Boks slutt]</w:t>
      </w:r>
    </w:p>
    <w:p w:rsidR="00D24D21" w:rsidRDefault="00D24D21" w:rsidP="00CE47F2">
      <w:pPr>
        <w:pStyle w:val="Overskrift3"/>
      </w:pPr>
      <w:r>
        <w:t>Rammevilkår og insentiver for kommersialisering</w:t>
      </w:r>
    </w:p>
    <w:p w:rsidR="00D24D21" w:rsidRDefault="00D24D21" w:rsidP="00CE47F2">
      <w:r>
        <w:t>Regjeringen har som ambisjon å ytterligere styrke arbeidet med kommersialisering av resultater fra offentlig finansiert forskning. Det innebærer å legge forholdene bedre til rette for at forskningsr</w:t>
      </w:r>
      <w:r>
        <w:t>e</w:t>
      </w:r>
      <w:r>
        <w:t>sultater skal komme til nytte for eksisterende virksomheter, nyetableringer og framtidige virkso</w:t>
      </w:r>
      <w:r>
        <w:t>m</w:t>
      </w:r>
      <w:r>
        <w:t>heter. Kommersi</w:t>
      </w:r>
      <w:r>
        <w:t>a</w:t>
      </w:r>
      <w:r>
        <w:t>lisering av ideer og oppfinnelser fra medisinsk og helsefaglig forskning påvirkes av ulike ramm</w:t>
      </w:r>
      <w:r>
        <w:t>e</w:t>
      </w:r>
      <w:r>
        <w:t>vilkår og insentiver.</w:t>
      </w:r>
    </w:p>
    <w:p w:rsidR="00D24D21" w:rsidRDefault="00D24D21" w:rsidP="00CE47F2">
      <w:r>
        <w:t>Universitetenes og høyskolenes hovedoppgave er å frambringe ny kunnskap gjennom forskning og overføre kunnskap gjennom utdanning. I universitets- og høyskoleloven framkommer det at sektoren skal bidra til innov</w:t>
      </w:r>
      <w:r>
        <w:t>a</w:t>
      </w:r>
      <w:r>
        <w:t>sjon og verdiskaping, og at universitetene skal legge til rette for at forskningen tas i bruk i offentlig forvaltning og i næringslivet. Dette kalles gjerne «det tredje oppdraget» for universitets- og hø</w:t>
      </w:r>
      <w:r>
        <w:t>y</w:t>
      </w:r>
      <w:r>
        <w:t>skolesektoren. Verken spesialist- eller kommunehelsetjenesten har et slikt uttalt mandat om «det tredje oppdraget», men innovasjon og samarbeid med næringslivet er en del av løsningen for at helsesektoren skal nå sine mål.</w:t>
      </w:r>
    </w:p>
    <w:p w:rsidR="00D24D21" w:rsidRDefault="00D24D21" w:rsidP="00CE47F2">
      <w:pPr>
        <w:pStyle w:val="avsnitt-undertittel"/>
      </w:pPr>
      <w:r>
        <w:t>Arbeidstakeroppfinnelsesloven</w:t>
      </w:r>
    </w:p>
    <w:p w:rsidR="00D24D21" w:rsidRDefault="00D24D21" w:rsidP="00CE47F2">
      <w:r>
        <w:t>Når en ansatt forsker gjør en patenterbar oppfinnelse i tjenesten, kan institusjonen (arbeidsgiveren) kreve å få overført rettighetene til oppfinnelsen til seg etter reglene i arbeidstakeroppfinnelsesloven § 4. Den ansatte har rett til å bli navngitt som oppfinner i patentsøknaden, jf. patentloven § 8 fjerde ledd. Den ansatte har også krav på rimelig godtgjøring for oppfinnelsen, jf. arbeidstakeroppfinne</w:t>
      </w:r>
      <w:r>
        <w:t>l</w:t>
      </w:r>
      <w:r>
        <w:t>sesloven § 7, med mindre verdien av rettighetene ikke overstiger hva arbeidstakeren kunne foru</w:t>
      </w:r>
      <w:r>
        <w:t>t</w:t>
      </w:r>
      <w:r>
        <w:t>settes å yte ut fra lønnen og andre goder som følge av tjenesten.</w:t>
      </w:r>
    </w:p>
    <w:p w:rsidR="00D24D21" w:rsidRDefault="00D24D21" w:rsidP="00CE47F2">
      <w:r>
        <w:t>I henhold til arbeidstakeroppfinnelsesloven § 6 har den ansatte plikt til å melde fra til institusjonen om forskningsresultater som kan inneholde patenterbare oppfinnelser. Utgangspunktet er at a</w:t>
      </w:r>
      <w:r>
        <w:t>r</w:t>
      </w:r>
      <w:r>
        <w:t xml:space="preserve">beidstakeren ikke kan forføye over oppfinnelsen eller gjøre handlinger som kan hindre patentering, </w:t>
      </w:r>
      <w:r>
        <w:lastRenderedPageBreak/>
        <w:t>slik som publis</w:t>
      </w:r>
      <w:r>
        <w:t>e</w:t>
      </w:r>
      <w:r>
        <w:t>ring, før det er gått fire måneder fra meldingen. Lærere og vitenskapelig ansatte ved universiteter og høyskoler har likevel rett til å velge å publisere oppfinnelsen, selv om dette kan hindre patentering, hvis ikke annet er avtalt og arbeidsgiveren ble varslet om intensjonen om å pu</w:t>
      </w:r>
      <w:r>
        <w:t>b</w:t>
      </w:r>
      <w:r>
        <w:t>lisere i meldingen om oppfi</w:t>
      </w:r>
      <w:r>
        <w:t>n</w:t>
      </w:r>
      <w:r>
        <w:t>nelsen, og det ikke finnes tredjepartsrettigheter som er til hinder for dette.</w:t>
      </w:r>
    </w:p>
    <w:p w:rsidR="00D24D21" w:rsidRDefault="00D24D21" w:rsidP="00CE47F2">
      <w:r>
        <w:t>Dersom arbeidsgiveren ikke krever retten overført til seg innen fire måneder fra mottak av melding fra den ansatte, tilfaller rettighetene til oppfinnelsen den ansatte forskeren, jf. arbeidstakeroppfi</w:t>
      </w:r>
      <w:r>
        <w:t>n</w:t>
      </w:r>
      <w:r>
        <w:t>nelsesloven § 6. Arbeidstakeren kan i så fall søke patent under eget navn, eller på annen måte gå videre med ko</w:t>
      </w:r>
      <w:r>
        <w:t>m</w:t>
      </w:r>
      <w:r>
        <w:t>mersialisering.</w:t>
      </w:r>
    </w:p>
    <w:p w:rsidR="00D24D21" w:rsidRDefault="00D24D21" w:rsidP="00CE47F2">
      <w:r>
        <w:t>Tvister mellom arbeidsgiver og arbeidstaker etter arbeidstakeroppfinnelsesloven kan etter lovens § 12 bringes inn for en meklingsnemnd (Meklingsnemnda for arbeidstakeroppfinnelser), som fo</w:t>
      </w:r>
      <w:r>
        <w:t>r</w:t>
      </w:r>
      <w:r>
        <w:t>søker å få i stand en minnelig ordning mellom partene. Det er særlig tvister om størrelsen på god</w:t>
      </w:r>
      <w:r>
        <w:t>t</w:t>
      </w:r>
      <w:r>
        <w:t>gjøringen til a</w:t>
      </w:r>
      <w:r>
        <w:t>r</w:t>
      </w:r>
      <w:r>
        <w:t>beidstakeren som bringes inn for Meklingsnemnda. Utgiftene til nemndas virksomhet dekkes av det o</w:t>
      </w:r>
      <w:r>
        <w:t>f</w:t>
      </w:r>
      <w:r>
        <w:t>fentlige.</w:t>
      </w:r>
    </w:p>
    <w:p w:rsidR="00D24D21" w:rsidRDefault="00D24D21" w:rsidP="00CE47F2">
      <w:pPr>
        <w:pStyle w:val="avsnitt-undertittel"/>
      </w:pPr>
      <w:r>
        <w:t>Systemene for finansiering og måling av resultater</w:t>
      </w:r>
    </w:p>
    <w:p w:rsidR="00D24D21" w:rsidRDefault="00D24D21" w:rsidP="00CE47F2">
      <w:r>
        <w:t>I 2017 ble det i finansieringssystemet for universitets- og høyskolesektoren innført en ny indikator for bidrags- og oppdragsfinansiert aktivitet (BOA). Indikatoren skal gi insentiv til mer samspill med arbeids-, samfunns- og næringsliv.</w:t>
      </w:r>
      <w:r>
        <w:rPr>
          <w:vertAlign w:val="superscript"/>
        </w:rPr>
        <w:footnoteReference w:id="64"/>
      </w:r>
      <w:r>
        <w:t xml:space="preserve"> BOA omfatter imidlertid ikke måling av kommersielle in</w:t>
      </w:r>
      <w:r>
        <w:t>n</w:t>
      </w:r>
      <w:r>
        <w:t>tekter gjennom TTOene.</w:t>
      </w:r>
    </w:p>
    <w:p w:rsidR="00D24D21" w:rsidRDefault="00D24D21" w:rsidP="00CE47F2">
      <w:r>
        <w:t>Støtten som universitetene og høyskolene får til kommersialisering er dermed i hovedsak fra FORNY2020-programmet gjennom TTOene. I tillegg har universitetene og høyskolene noe inntj</w:t>
      </w:r>
      <w:r>
        <w:t>e</w:t>
      </w:r>
      <w:r>
        <w:t>ning fra tjenestea</w:t>
      </w:r>
      <w:r>
        <w:t>v</w:t>
      </w:r>
      <w:r>
        <w:t>taler med sine eiere og andre samarbeidspartnere, salg og utleie av lisenser, aksjer og rådgi</w:t>
      </w:r>
      <w:r>
        <w:t>v</w:t>
      </w:r>
      <w:r>
        <w:t>ningstjenester.</w:t>
      </w:r>
    </w:p>
    <w:p w:rsidR="00D24D21" w:rsidRDefault="00D24D21" w:rsidP="00CE47F2">
      <w:r>
        <w:t>I finansieringsordningene for sykehusene har det til nå ikke vært egne insentiver for kommersial</w:t>
      </w:r>
      <w:r>
        <w:t>i</w:t>
      </w:r>
      <w:r>
        <w:t>sering. I oppdragsdokumentet de siste årene har Helse- og omsorgsdepartementet gitt de regionale hels</w:t>
      </w:r>
      <w:r>
        <w:t>e</w:t>
      </w:r>
      <w:r>
        <w:t>foretakene i oppdrag å øke innovasjonsaktiviteten og styrke samarbeidet med næringslivet. Regjeringen vil innføre en indikator for måling av innovasjon i spesialisthelsetjenesten, og vurdere å bruke den som del av resultatbasert finansiering av forskning og innovasjon i spesialisthelsetjene</w:t>
      </w:r>
      <w:r>
        <w:t>s</w:t>
      </w:r>
      <w:r>
        <w:t>ten. Dette er omtalt i k</w:t>
      </w:r>
      <w:r>
        <w:t>a</w:t>
      </w:r>
      <w:r>
        <w:t>pittel 8.</w:t>
      </w:r>
    </w:p>
    <w:p w:rsidR="00D24D21" w:rsidRDefault="00D24D21" w:rsidP="00CE47F2">
      <w:pPr>
        <w:pStyle w:val="avsnitt-undertittel"/>
      </w:pPr>
      <w:r>
        <w:t>Kultur og kompetanse</w:t>
      </w:r>
    </w:p>
    <w:p w:rsidR="00D24D21" w:rsidRDefault="00D24D21" w:rsidP="00CE47F2">
      <w:r>
        <w:t>I kommersialiseringsprosesser som fører til bedriftsetablering vil ofte forskeren være sentral i se</w:t>
      </w:r>
      <w:r>
        <w:t>l</w:t>
      </w:r>
      <w:r>
        <w:t>skapsetableringen enten som gründer og daglig leder eller som forsker eller forskningssjef i foret</w:t>
      </w:r>
      <w:r>
        <w:t>a</w:t>
      </w:r>
      <w:r>
        <w:t>ket. I mange tilfeller vil forskningskompetansen være nødvendig for videre innovasjon og utvikling, eller for å ivareta nye forskningsaktiviteter knyttet til løsningen. Det er imidlertid ikke gitt at ve</w:t>
      </w:r>
      <w:r>
        <w:t>d</w:t>
      </w:r>
      <w:r>
        <w:t>kommende forsker har tilstrekkelig kompetanse, interesse, anledning eller tid til å etablere et foretak og å ta ideer og innovasj</w:t>
      </w:r>
      <w:r>
        <w:t>o</w:t>
      </w:r>
      <w:r>
        <w:t>ner fram til marked.</w:t>
      </w:r>
    </w:p>
    <w:p w:rsidR="00D24D21" w:rsidRDefault="00D24D21" w:rsidP="00CE47F2">
      <w:r>
        <w:lastRenderedPageBreak/>
        <w:t>Det varierer mellom institusjoner i hvilken grad og hvordan kommersielt rettet virksomhet er ka</w:t>
      </w:r>
      <w:r>
        <w:t>r</w:t>
      </w:r>
      <w:r>
        <w:t>rieremeritterende. Generelt er personalpolitikken den enkelte institusjonens ansvar. Institusjonen må bruke virkemidler for å fremme ønsket faglig utvikling og det er opp til den enkelte institusjon å merittere den enkelte ansatte. Det er lite som tyder på at kommersielt rettet virksomhet i utstrakt grad teller som karrieremeritterende aktivitet. I helseforetakene er de helsefaglige ansattes primære oppgaver knyttet til pasientbehandling og eventuelt undervisning og forskning. I praksis fører dette til at en karriere i n</w:t>
      </w:r>
      <w:r>
        <w:t>æ</w:t>
      </w:r>
      <w:r>
        <w:t>ringslivet eller permisjon fra en vitenskapelig stilling for å kommersialisere, kan oppleves som en barriere for videre karriere innenfor et helseforetak eller universitet og høyskole.</w:t>
      </w:r>
    </w:p>
    <w:p w:rsidR="00D24D21" w:rsidRDefault="00D24D21" w:rsidP="00CE47F2">
      <w:r>
        <w:t>Samtidig er det slik at vitenskapelig ansatte som har arbeidserfaring fra næringslivet, oftere deltar i eksternt sa</w:t>
      </w:r>
      <w:r>
        <w:t>m</w:t>
      </w:r>
      <w:r>
        <w:t>arbeid enn andre vitenskapelige ansatte. Universitets- og høyskoleansatte med nettverk i næringslivet har også lettere for å skaffe privat risikokapital til kommersialisering av forskningsr</w:t>
      </w:r>
      <w:r>
        <w:t>e</w:t>
      </w:r>
      <w:r>
        <w:t>sultater.</w:t>
      </w:r>
      <w:r>
        <w:rPr>
          <w:vertAlign w:val="superscript"/>
        </w:rPr>
        <w:footnoteReference w:id="65"/>
      </w:r>
      <w:r>
        <w:t xml:space="preserve"> Det kan altså være nyttig både for utvikling av den vitenskapelige institusjonen og for bidraget til innovasjon og verdiskaping, at ansatte har kompetanse fra og nettverk i næringslivet.</w:t>
      </w:r>
    </w:p>
    <w:p w:rsidR="00D24D21" w:rsidRDefault="00D24D21" w:rsidP="00CE47F2">
      <w:pPr>
        <w:pStyle w:val="tittel-ramme"/>
      </w:pPr>
      <w:r>
        <w:t>EpiGuard</w:t>
      </w:r>
    </w:p>
    <w:p w:rsidR="00D24D21" w:rsidRDefault="00D24D21" w:rsidP="00CE47F2">
      <w:r>
        <w:rPr>
          <w:spacing w:val="-1"/>
        </w:rPr>
        <w:t>Et behandlerteam ved Oslo universitetssykehus</w:t>
      </w:r>
      <w:r>
        <w:t xml:space="preserve"> (OUS), med lege Fridtjof Heyerdahl i spissen, fikk ideen til EpiShuttle som et resultat av utfordring med transport av pasienter de møtte under eb</w:t>
      </w:r>
      <w:r>
        <w:t>o</w:t>
      </w:r>
      <w:r>
        <w:t>la-epidemien.</w:t>
      </w:r>
    </w:p>
    <w:p w:rsidR="00D24D21" w:rsidRDefault="00D24D21" w:rsidP="00CE47F2">
      <w:r>
        <w:t>Medtech-bedriften EpiGuard AS ble etablert i 2015, og eies blant annet av Eker Group som lager skrog og designer båter og biler, Hansen Protection som lager overlevelsesdrakter og kalesjer, TTOen Inven2 og oppfinnerne. I oppstartsfasen har selskapet vært lokalisert i Aleap-helseinkubatoren i Forskningsparken i Oslo, og har nå flyttet til egne kontorer i Forskning</w:t>
      </w:r>
      <w:r>
        <w:t>s</w:t>
      </w:r>
      <w:r>
        <w:t>parken. De har utvikling og produksjon i Fredrikstad. Hovedproduktet deres, EpiShuttle, er en båre med en totaleffektiv barriere mellom pasient og omverdenen. Båren ser ut som en kapsel, og har plass til én person. Produktet er tilpasset bruk i ambulanser, helikoptre og fly. Den er lett å desinf</w:t>
      </w:r>
      <w:r>
        <w:t>i</w:t>
      </w:r>
      <w:r>
        <w:t>sere, så den kan lett gjenbrukes og den er batteridrevet. Det er inngått distrib</w:t>
      </w:r>
      <w:r>
        <w:t>u</w:t>
      </w:r>
      <w:r>
        <w:t>sjonsavtaler på salg av EpiShuttle flere steder i Europa.</w:t>
      </w:r>
    </w:p>
    <w:p w:rsidR="00D24D21" w:rsidRDefault="00D24D21" w:rsidP="00CE47F2">
      <w:r>
        <w:t>EpiGuard AS har mottatt etablerertilskudd og offentlig forsknings- og utviklingskontrakt (OFU), nå innov</w:t>
      </w:r>
      <w:r>
        <w:t>a</w:t>
      </w:r>
      <w:r>
        <w:t>sjonskontrakt, fra Innovasjon Norge. De har også mottatt presåkornmidler, som de matchet ved å hente inn ti</w:t>
      </w:r>
      <w:r>
        <w:t>l</w:t>
      </w:r>
      <w:r>
        <w:t>svarende sum fra private investorer. EpiGuard vant også DNBs innovasjonspris under DNB Healthc</w:t>
      </w:r>
      <w:r>
        <w:t>a</w:t>
      </w:r>
      <w:r>
        <w:t>re-konferansen i Oslo i desember 2016, og har nylig får EU-midler fra Horisont 2020 sitt SMB-program.</w:t>
      </w:r>
    </w:p>
    <w:p w:rsidR="00D24D21" w:rsidRDefault="00E636F4" w:rsidP="00E636F4">
      <w:pPr>
        <w:pStyle w:val="Figur"/>
      </w:pPr>
      <w:r>
        <w:rPr>
          <w:noProof/>
        </w:rPr>
        <w:t>[:figur:figX-X.jpg]</w:t>
      </w:r>
    </w:p>
    <w:p w:rsidR="00D24D21" w:rsidRDefault="00D24D21" w:rsidP="00CE47F2">
      <w:pPr>
        <w:pStyle w:val="figur-tittel"/>
      </w:pPr>
      <w:r>
        <w:t>EpiShuttle</w:t>
      </w:r>
    </w:p>
    <w:p w:rsidR="00D24D21" w:rsidRDefault="00D24D21" w:rsidP="00CE47F2">
      <w:pPr>
        <w:pStyle w:val="figur-noter"/>
      </w:pPr>
      <w:r>
        <w:t>Foto: EpiGuard</w:t>
      </w:r>
    </w:p>
    <w:p w:rsidR="00D24D21" w:rsidRDefault="00D24D21">
      <w:pPr>
        <w:pStyle w:val="Ramme-slutt"/>
        <w:rPr>
          <w:sz w:val="26"/>
          <w:szCs w:val="26"/>
        </w:rPr>
      </w:pPr>
      <w:r>
        <w:rPr>
          <w:sz w:val="26"/>
          <w:szCs w:val="26"/>
        </w:rPr>
        <w:t>[Boks slutt]</w:t>
      </w:r>
    </w:p>
    <w:p w:rsidR="00D24D21" w:rsidRDefault="00D24D21" w:rsidP="00CE47F2">
      <w:pPr>
        <w:pStyle w:val="avsnitt-undertittel"/>
      </w:pPr>
      <w:r>
        <w:lastRenderedPageBreak/>
        <w:t>Eierskap og inntekter ved kommersialisering</w:t>
      </w:r>
    </w:p>
    <w:p w:rsidR="00D24D21" w:rsidRDefault="00D24D21" w:rsidP="00CE47F2">
      <w:r>
        <w:t>Selv om universitet, høyskole eller et helseforetak kan være innehaver av rettighetene til oppfi</w:t>
      </w:r>
      <w:r>
        <w:t>n</w:t>
      </w:r>
      <w:r>
        <w:t>nelser gjort av ansatte ved institusjonene, varierer det mellom ulike institusjoner og helseforetak hvordan disse re</w:t>
      </w:r>
      <w:r>
        <w:t>t</w:t>
      </w:r>
      <w:r>
        <w:t>tighetene forvaltes eller benyttes. Institusjonene regulerer eierskap og inntekter ved kommersialisering gjennom retningslinjer, avtaler og rutiner for håndtering av immaterialrettigh</w:t>
      </w:r>
      <w:r>
        <w:t>e</w:t>
      </w:r>
      <w:r>
        <w:t>ter</w:t>
      </w:r>
      <w:r>
        <w:rPr>
          <w:vertAlign w:val="superscript"/>
        </w:rPr>
        <w:footnoteReference w:id="66"/>
      </w:r>
      <w:r>
        <w:t xml:space="preserve"> og arbeidsavtaler for de vitenskapelige ansatte. Disse retningslinjene, avtalene og rutinene er utarbeidet av, og varierer mellom, den enkelte institusjon og deres respektive TTOer.</w:t>
      </w:r>
    </w:p>
    <w:p w:rsidR="00D24D21" w:rsidRDefault="00D24D21" w:rsidP="00CE47F2">
      <w:r>
        <w:t>Salg og lisensinntekter fra immaterialrettigheter slik som patenter, fordeles vanligvis med én tre</w:t>
      </w:r>
      <w:r>
        <w:t>d</w:t>
      </w:r>
      <w:r>
        <w:t>jedel til forskeren eller forskergruppen, men det er ulik praksis når det gjelder hvor mye av de re</w:t>
      </w:r>
      <w:r>
        <w:t>s</w:t>
      </w:r>
      <w:r>
        <w:t>terende to tredjedelene som går til universitet, høyskolen eller helseforetaket, det fagmiljø eller enheten som forskeren er tilknyttet eller til den akt</w:t>
      </w:r>
      <w:r>
        <w:t>u</w:t>
      </w:r>
      <w:r>
        <w:t>elle TTOen.</w:t>
      </w:r>
    </w:p>
    <w:p w:rsidR="00D24D21" w:rsidRDefault="00D24D21" w:rsidP="00CE47F2">
      <w:r>
        <w:t>Når det etableres en bedrift, bistår TTOen også i dette. Bedriften blir da et selskap med de utfor</w:t>
      </w:r>
      <w:r>
        <w:t>d</w:t>
      </w:r>
      <w:r>
        <w:t>ringer knyttet til kommersialisering som ulike bransjer i næringslivet møter, men også med tilsv</w:t>
      </w:r>
      <w:r>
        <w:t>a</w:t>
      </w:r>
      <w:r>
        <w:t>rende muli</w:t>
      </w:r>
      <w:r>
        <w:t>g</w:t>
      </w:r>
      <w:r>
        <w:t>heter til å søke det øvrige virkemiddelapparatet om støtte, hente inn kapital fra investorer og gå i samarbeid med andre. De ulike TTOene tar ulike roller ved selskapsetablering avhengig av hva som er regulert re</w:t>
      </w:r>
      <w:r>
        <w:t>t</w:t>
      </w:r>
      <w:r>
        <w:t>ningslinjene og avtalene for håndtering av immaterialrettigheter, praksis og vurderinger i det enkelte tilfellet. Ofte vil TTOene selv også gå inn på eiersiden ved bedriftsetabl</w:t>
      </w:r>
      <w:r>
        <w:t>e</w:t>
      </w:r>
      <w:r>
        <w:t>ring. Noen ganger inngår bedriften lisensavtale med TTOen, mens andre ganger selges lisensen til bedriften. Det skjer også at TTOer ko</w:t>
      </w:r>
      <w:r>
        <w:t>n</w:t>
      </w:r>
      <w:r>
        <w:t>verterer lisensen til en eierpost i bedriften. Det er ikke uvanlig at TTOene er inne med eie</w:t>
      </w:r>
      <w:r>
        <w:t>r</w:t>
      </w:r>
      <w:r>
        <w:t>poster på opptil 50 pst.</w:t>
      </w:r>
      <w:r>
        <w:rPr>
          <w:vertAlign w:val="superscript"/>
        </w:rPr>
        <w:footnoteReference w:id="67"/>
      </w:r>
    </w:p>
    <w:p w:rsidR="00D24D21" w:rsidRDefault="00D24D21" w:rsidP="00CE47F2">
      <w:r>
        <w:t>Fordelingene av inntekter og eierskap kan påvirke de ansattes interesse og motivasjon for komme</w:t>
      </w:r>
      <w:r>
        <w:t>r</w:t>
      </w:r>
      <w:r>
        <w:t>sialisering og de nevnte retningslinjene og rutinene for håndtering av immaterialrettigheter er derfor viktige. Ved justering av a</w:t>
      </w:r>
      <w:r>
        <w:t>n</w:t>
      </w:r>
      <w:r>
        <w:t>delen av inntektene som tilfaller forskeren eller forskergruppen, kan oppmerksomheten og motivasjonen for kommersialisering påvirkes. Videre kan TTOenes eiera</w:t>
      </w:r>
      <w:r>
        <w:t>n</w:t>
      </w:r>
      <w:r>
        <w:t>deler i oppstartsforetak p</w:t>
      </w:r>
      <w:r>
        <w:t>å</w:t>
      </w:r>
      <w:r>
        <w:t>virke muligheten for videre vekst og utvikling, gjennom innvirkning på private investorers interesse for foretaket. Store eierposter hos TTOene vil kunne føre til at investorer ser det som mindre attraktivt og mer risikofullt å gå inn i bedriften, blant annet fordi investorene kan oppfatte at handlingsrommet for videre utvikling av selskapet begrenses. For TTOene vil muli</w:t>
      </w:r>
      <w:r>
        <w:t>g</w:t>
      </w:r>
      <w:r>
        <w:t>heten for egen inntjening i noen tilfeller kunne komme i konflikt med hva som for det enkelte foretak er god utvikling. Samlet sett kan dette hindre ti</w:t>
      </w:r>
      <w:r>
        <w:t>l</w:t>
      </w:r>
      <w:r>
        <w:t>førsel av nødvendig kapital og relevant kompetanse.</w:t>
      </w:r>
    </w:p>
    <w:p w:rsidR="00D24D21" w:rsidRDefault="00D24D21" w:rsidP="00CE47F2">
      <w:r>
        <w:t>Hvor godt de ulike hensynene balanseres varierer i praksis, og vil også variere med hvilket fors</w:t>
      </w:r>
      <w:r>
        <w:t>k</w:t>
      </w:r>
      <w:r>
        <w:t>ningsfelt det kommersialiseres fra. Problemstillingene over trekkes fram som sentrale fra flere som har kommersialisert fra medisinsk og helsefaglig forskning. Det kan derfor være hensiktsmessig at retningslinjene og avtalene for immaterialrettigheter gir rom for nødvendig fleksibilitet, slik at hensynet til innov</w:t>
      </w:r>
      <w:r>
        <w:t>a</w:t>
      </w:r>
      <w:r>
        <w:t>sjon og verdiskaping ivaretas på en god måte.</w:t>
      </w:r>
    </w:p>
    <w:p w:rsidR="00D24D21" w:rsidRDefault="00D24D21" w:rsidP="00CE47F2">
      <w:r>
        <w:lastRenderedPageBreak/>
        <w:t>Menon Economics gjennomførte i 2018 på oppdrag for Nærings- og fiskeridepartementet en utre</w:t>
      </w:r>
      <w:r>
        <w:t>d</w:t>
      </w:r>
      <w:r>
        <w:t>ning av inse</w:t>
      </w:r>
      <w:r>
        <w:t>n</w:t>
      </w:r>
      <w:r>
        <w:t>tiver for kommersialisering av forskningsresultater i universitets- og høyskolesektoren. Formålet var å få mer kunnskap om hvordan dagens insentiver for kommersialisering av fors</w:t>
      </w:r>
      <w:r>
        <w:t>k</w:t>
      </w:r>
      <w:r>
        <w:t>ningsresultater i denne sektoren virker, og om det er behov for å gjøre endringer. Utredningen ser ikke på helse- og o</w:t>
      </w:r>
      <w:r>
        <w:t>m</w:t>
      </w:r>
      <w:r>
        <w:t>sorgsforskning spesielt, men mange av problemstillingene som tas opp i den gjelder også for helse- og omsorgssektoren.</w:t>
      </w:r>
    </w:p>
    <w:p w:rsidR="00D24D21" w:rsidRDefault="00D24D21" w:rsidP="00CE47F2">
      <w:r>
        <w:t>Menons kartlegging tar for seg hvordan insentiver virker for den enkelte ansatte, forskergrupper og institusjonene selv, inkludert også TTOene. Undersøkelsen omfatter de fem største universitetene i No</w:t>
      </w:r>
      <w:r>
        <w:t>r</w:t>
      </w:r>
      <w:r>
        <w:t>ge. I rapporten ser Menon på insentiver for kommersialisering innenfor ram</w:t>
      </w:r>
      <w:r>
        <w:rPr>
          <w:spacing w:val="-1"/>
        </w:rPr>
        <w:t>mene av dagens regelverk og finansieringssystem.</w:t>
      </w:r>
      <w:r>
        <w:t xml:space="preserve"> Dette omfatter meritteringssystem- og kultur, eier- og bruksre</w:t>
      </w:r>
      <w:r>
        <w:t>t</w:t>
      </w:r>
      <w:r>
        <w:t>tigheter og organis</w:t>
      </w:r>
      <w:r>
        <w:t>a</w:t>
      </w:r>
      <w:r>
        <w:t>sjonsmodeller.</w:t>
      </w:r>
    </w:p>
    <w:p w:rsidR="00D24D21" w:rsidRDefault="00D24D21" w:rsidP="00CE47F2">
      <w:r>
        <w:t>I rapporten foreslås det blant annet å endre praksis for fordeling av eierrettigheter og inntekter, inkludere ko</w:t>
      </w:r>
      <w:r>
        <w:t>m</w:t>
      </w:r>
      <w:r>
        <w:t>mersialisering i finansieringssystemet for universitetene, innføre regler for en såkalt «kommersialiseringspermisjon» for vitenskapelige ansatte og vurdere nærmere forhold rundt un</w:t>
      </w:r>
      <w:r>
        <w:t>i</w:t>
      </w:r>
      <w:r>
        <w:t>versitetenes og høyskolenes styring og relasjon til TTOene.</w:t>
      </w:r>
    </w:p>
    <w:p w:rsidR="00D24D21" w:rsidRDefault="00D24D21" w:rsidP="00CE47F2">
      <w:r>
        <w:t>Selv om kommersialisering ikke skal være hovedformålet med offentlig finansiert forskning, mener regjeringen at potensialet for å kommersialisere kan utnyttes bedre. Regjeringen mener at det er potensial for økt kommersial</w:t>
      </w:r>
      <w:r>
        <w:t>i</w:t>
      </w:r>
      <w:r>
        <w:t>sering fra medisinsk og helsefaglig forskning. Skal løsninger og ideer komme helse- og omsorgssektoren generelt til gode, må resultatene spres ut fra forskningsmiljøene. Kommersialisering er en sentral mekanisme for å få det til.</w:t>
      </w:r>
    </w:p>
    <w:p w:rsidR="00D24D21" w:rsidRDefault="00D24D21" w:rsidP="00CE47F2">
      <w:r>
        <w:t>Det må legges til rette for kommersialisering på en god og profesjonell måte. Dette krever prof</w:t>
      </w:r>
      <w:r>
        <w:t>e</w:t>
      </w:r>
      <w:r>
        <w:t>sjonell håndtering i alle ledd av kommersialiseringsprosessen, bevissthet rundt insentiver og god forvaltning av ressurser og verdier. Et profesjonelt samarbeid mellom de ulike aktørene fordrer gode rolleavklaringer og ryddige og avklarte avtalefo</w:t>
      </w:r>
      <w:r>
        <w:t>r</w:t>
      </w:r>
      <w:r>
        <w:t>hold når det gjelder eierskap og inntekter, slik at formålet om næringsutvi</w:t>
      </w:r>
      <w:r>
        <w:t>k</w:t>
      </w:r>
      <w:r>
        <w:t>ling, verdiskaping og samfunnsmessig nytte understøttes på best mulig måte. Dette gjelder enten det er snakk om utlisensiering eller bedriftsetableringer.</w:t>
      </w:r>
    </w:p>
    <w:p w:rsidR="00D24D21" w:rsidRDefault="00D24D21" w:rsidP="00CE47F2">
      <w:r>
        <w:t>For å styrke arbeidet med kommersialisering vil regjeringen gjøre videre vurderinger av insentiver for kommersialisering av forskningsresultater i universitets- og høyskolesektoren, med vekt på i</w:t>
      </w:r>
      <w:r>
        <w:t>m</w:t>
      </w:r>
      <w:r>
        <w:t>plikasjoner for helseforet</w:t>
      </w:r>
      <w:r>
        <w:t>a</w:t>
      </w:r>
      <w:r>
        <w:t>kene.</w:t>
      </w:r>
    </w:p>
    <w:p w:rsidR="00D24D21" w:rsidRDefault="00D24D21" w:rsidP="00CE47F2">
      <w:pPr>
        <w:pStyle w:val="tittel-ramme"/>
      </w:pPr>
      <w:r>
        <w:t>Radforsk</w:t>
      </w:r>
    </w:p>
    <w:p w:rsidR="00D24D21" w:rsidRDefault="00D24D21" w:rsidP="00CE47F2">
      <w:r>
        <w:rPr>
          <w:spacing w:val="-2"/>
        </w:rPr>
        <w:t>Radforsk er et langsiktig («evergreen») såkorn</w:t>
      </w:r>
      <w:r>
        <w:t>fond med et investormiljø rettet inn mot bedrifter innenfor onkologi og immunterapi. Virksomheten er organisert som en stiftelse og tar ikke utbytte, men investerer i selskaper og kreftforskning. Radforsk har i februar 2019 12 aktive investering</w:t>
      </w:r>
      <w:r>
        <w:t>s</w:t>
      </w:r>
      <w:r>
        <w:t>selskaper der Radforsks eierandel har en verdi på ca. 600 mill. kroner. Samtlige porteføljeselskaper er norske, og Radforsk har så langt vært involvert i åtte børsnoteringer. Om lag 200 mill. kroner er hittil tilført kreftforskning gjennom virksomhetens aktivitet. Radforsk er en del av Oslo Cancer Cluster Innovasjonspark og jobber tett med ulike forskningsmiljøer i akademia, klinikk og n</w:t>
      </w:r>
      <w:r>
        <w:t>æ</w:t>
      </w:r>
      <w:r>
        <w:t>ringsliv innenfor kreft og immunterapi. Kunnskap fra disse miljøene er viktig for beslutninger om investeringer i selskaper. Virksomheten ble opprinnelig op</w:t>
      </w:r>
      <w:r>
        <w:t>p</w:t>
      </w:r>
      <w:r>
        <w:t>rettet i 1986 som Radiumhospitalets teknologioverføringskontor under navnet Radiumhospitalets fors</w:t>
      </w:r>
      <w:r>
        <w:t>k</w:t>
      </w:r>
      <w:r>
        <w:rPr>
          <w:spacing w:val="-1"/>
        </w:rPr>
        <w:t>ningsstiftelse med én mill. kroner i lån fra</w:t>
      </w:r>
      <w:r>
        <w:t xml:space="preserve"> Radiumhospitalet, som for lengst er tilbakebetalt.</w:t>
      </w:r>
    </w:p>
    <w:p w:rsidR="00D24D21" w:rsidRDefault="00D24D21">
      <w:pPr>
        <w:pStyle w:val="Ramme-slutt"/>
        <w:rPr>
          <w:sz w:val="26"/>
          <w:szCs w:val="26"/>
        </w:rPr>
      </w:pPr>
      <w:r>
        <w:rPr>
          <w:sz w:val="26"/>
          <w:szCs w:val="26"/>
        </w:rPr>
        <w:lastRenderedPageBreak/>
        <w:t>[Boks slutt]</w:t>
      </w:r>
    </w:p>
    <w:p w:rsidR="00D24D21" w:rsidRDefault="00D24D21" w:rsidP="00CE47F2">
      <w:pPr>
        <w:pStyle w:val="Overskrift2"/>
      </w:pPr>
      <w:r>
        <w:t>Immaterielle verdier og immaterialrettigheter</w:t>
      </w:r>
    </w:p>
    <w:p w:rsidR="00D24D21" w:rsidRDefault="00D24D21" w:rsidP="00CE47F2">
      <w:pPr>
        <w:pStyle w:val="Overskrift3"/>
      </w:pPr>
      <w:r>
        <w:t>Betydningen av immaterielle verdier og rettigheter</w:t>
      </w:r>
    </w:p>
    <w:p w:rsidR="00D24D21" w:rsidRDefault="00D24D21" w:rsidP="00CE47F2">
      <w:r>
        <w:t>Norske virksomheter konkurrerer i økende grad på grunnlag av kunnskap og kompetanse. Det i</w:t>
      </w:r>
      <w:r>
        <w:t>n</w:t>
      </w:r>
      <w:r>
        <w:t>nebærer at en stor del av verdiene i foretakene er immaterielle. En profesjonell håndtering av i</w:t>
      </w:r>
      <w:r>
        <w:t>m</w:t>
      </w:r>
      <w:r>
        <w:t>materielle ve</w:t>
      </w:r>
      <w:r>
        <w:t>r</w:t>
      </w:r>
      <w:r>
        <w:t>dier kan i mange tilfeller være avgjørende for virksomhetenes evne til å konkurrere i nye markeder, in</w:t>
      </w:r>
      <w:r>
        <w:t>n</w:t>
      </w:r>
      <w:r>
        <w:t>hente kapital og inngå samarbeid med forskningsmiljøer og investorer. Derfor betyr immaterialrettigheter også mye for verdiskapingen i næringslivet og i økonomien.</w:t>
      </w:r>
    </w:p>
    <w:p w:rsidR="00D24D21" w:rsidRDefault="00D24D21" w:rsidP="00CE47F2">
      <w:r>
        <w:t>Når nye løsninger, teknologier og innovasjoner blir spredt og kan tas i bruk av andre, kan dette bidra til vekst og velferd i samfunnet. Samtidig krever utvikling av innovasjoner ressurser i form av tid, mennesker og penger. Dersom dette uten videre blir kopiert og utnyttet av andre, kan det være vanskelig å sikre avkastning av invest</w:t>
      </w:r>
      <w:r>
        <w:t>e</w:t>
      </w:r>
      <w:r>
        <w:t>ringen. Da kan det være at det ikke lønner seg for innovatøren eller foretaket å gje</w:t>
      </w:r>
      <w:r>
        <w:t>n</w:t>
      </w:r>
      <w:r>
        <w:t>nomføre investeringen, noe som igjen kan føre til at næringslivet investerer mindre i innovasjon enn det som samlet sett lønner seg for samfunnet.</w:t>
      </w:r>
    </w:p>
    <w:p w:rsidR="00D24D21" w:rsidRDefault="00D24D21" w:rsidP="00CE47F2">
      <w:r>
        <w:t>Immaterialrettigheter, slik som patent, er en måte å balansere mellom spredning av kunnskap om i</w:t>
      </w:r>
      <w:r>
        <w:t>n</w:t>
      </w:r>
      <w:r>
        <w:t>novasjoner og å sikre innovatørens mulighet til avkastning. Immaterialrettigheter innebærer altså ikke en enerett til å lære av og bruke en innovasjon, men til å utnytte denne kommersielt.</w:t>
      </w:r>
    </w:p>
    <w:p w:rsidR="00D24D21" w:rsidRDefault="00D24D21" w:rsidP="00CE47F2">
      <w:pPr>
        <w:pStyle w:val="tittel-ramme"/>
      </w:pPr>
      <w:r>
        <w:t>Immaterielle verdier og rettigheter</w:t>
      </w:r>
    </w:p>
    <w:p w:rsidR="00D24D21" w:rsidRDefault="00D24D21" w:rsidP="00CE47F2">
      <w:pPr>
        <w:rPr>
          <w:rStyle w:val="kursiv"/>
          <w:sz w:val="21"/>
          <w:szCs w:val="21"/>
        </w:rPr>
      </w:pPr>
      <w:r>
        <w:rPr>
          <w:rStyle w:val="kursiv"/>
          <w:sz w:val="21"/>
          <w:szCs w:val="21"/>
        </w:rPr>
        <w:t xml:space="preserve">Immaterielle verdier </w:t>
      </w:r>
      <w:r>
        <w:t>er en samlebetegnelse for verdier uten fysisk substans, som for eksempel ulike typer åndsverk, produksjonsprosesser, oppskrifter, databaser, design, oppfinnelser, forretning</w:t>
      </w:r>
      <w:r>
        <w:t>s</w:t>
      </w:r>
      <w:r>
        <w:t>hemmeligheter, «knowhow» og forretningsmodeller.</w:t>
      </w:r>
    </w:p>
    <w:p w:rsidR="00D24D21" w:rsidRDefault="00D24D21" w:rsidP="00CE47F2">
      <w:r>
        <w:t xml:space="preserve">Immaterielle verdier som er beskyttet av lovhjemlede ordninger med lovfestet enerett, kalles </w:t>
      </w:r>
      <w:r>
        <w:rPr>
          <w:rStyle w:val="kursiv"/>
          <w:sz w:val="21"/>
          <w:szCs w:val="21"/>
        </w:rPr>
        <w:t>imm</w:t>
      </w:r>
      <w:r>
        <w:rPr>
          <w:rStyle w:val="kursiv"/>
          <w:sz w:val="21"/>
          <w:szCs w:val="21"/>
        </w:rPr>
        <w:t>a</w:t>
      </w:r>
      <w:r>
        <w:rPr>
          <w:rStyle w:val="kursiv"/>
          <w:sz w:val="21"/>
          <w:szCs w:val="21"/>
        </w:rPr>
        <w:t>terialrettigheter</w:t>
      </w:r>
      <w:r>
        <w:t>. Andre immaterielle verdier som kan beskyttes uten lovfestet enerett, slik som fo</w:t>
      </w:r>
      <w:r>
        <w:t>r</w:t>
      </w:r>
      <w:r>
        <w:t>retningshemmeligheter og «knowhow» har vern etter regler i legemiddelloven, markedsføringsloven og straffel</w:t>
      </w:r>
      <w:r>
        <w:t>o</w:t>
      </w:r>
      <w:r>
        <w:t>ven. I praksis vil også dette omfatte dokumentasjon fra kliniske studier av legemidler.</w:t>
      </w:r>
    </w:p>
    <w:p w:rsidR="00D24D21" w:rsidRDefault="00D24D21" w:rsidP="00CE47F2">
      <w:r>
        <w:t xml:space="preserve">Immaterialrettigheter omfatter </w:t>
      </w:r>
      <w:r>
        <w:rPr>
          <w:rStyle w:val="kursiv"/>
          <w:sz w:val="21"/>
          <w:szCs w:val="21"/>
        </w:rPr>
        <w:t>industrielle rettigheter</w:t>
      </w:r>
      <w:r>
        <w:t xml:space="preserve"> og </w:t>
      </w:r>
      <w:r>
        <w:rPr>
          <w:rStyle w:val="kursiv"/>
          <w:sz w:val="21"/>
          <w:szCs w:val="21"/>
        </w:rPr>
        <w:t>opphavsrett</w:t>
      </w:r>
      <w:r>
        <w:t>. Industrielle rettigheter omfatter i hovedsak patent, design og varemerker, og oppstår i all hovedsak ved at de blir registrert etter sø</w:t>
      </w:r>
      <w:r>
        <w:t>k</w:t>
      </w:r>
      <w:r>
        <w:t>nadsbehandling.</w:t>
      </w:r>
    </w:p>
    <w:p w:rsidR="00D24D21" w:rsidRDefault="00D24D21" w:rsidP="00CE47F2">
      <w:r>
        <w:t>Et patent beskytter en teknisk løsning på et teknisk problem. Eneretten varer i inntil 20 år. For l</w:t>
      </w:r>
      <w:r>
        <w:t>e</w:t>
      </w:r>
      <w:r>
        <w:t>gemidler og plantevern-kjemikalier kan vernetiden etter søknad utvides med inntil ytterligere fem år ved en ordning med su</w:t>
      </w:r>
      <w:r>
        <w:t>p</w:t>
      </w:r>
      <w:r>
        <w:t>plerende beskyttelsessertifikater (supplementary protection certificate, SPC), som skal kompensere for en lang og ressurskrevende søknadsprosess for å oppnå markedsføring</w:t>
      </w:r>
      <w:r>
        <w:t>s</w:t>
      </w:r>
      <w:r>
        <w:t>tillatelse. Or</w:t>
      </w:r>
      <w:r>
        <w:t>d</w:t>
      </w:r>
      <w:r>
        <w:t>ningen er ment å gi farmasøytisk industri sterkere insentiver til å forske på og utvikle nye legemidler. For å styrke insentivene til utvikling av legemidler beregnet på barn, og for å få bedre kunnskap om riktig bruk av legemidler i denne delen av befolkningen, kan beskyttelsestiden for supplerende beskyttelsessertifikater forlenges med seks måneder for legemidler der det er gje</w:t>
      </w:r>
      <w:r>
        <w:t>n</w:t>
      </w:r>
      <w:r>
        <w:t>nomført en godkjent plan for utpr</w:t>
      </w:r>
      <w:r>
        <w:t>ø</w:t>
      </w:r>
      <w:r>
        <w:t>ving til barn.</w:t>
      </w:r>
    </w:p>
    <w:p w:rsidR="00D24D21" w:rsidRDefault="00D24D21" w:rsidP="00CE47F2">
      <w:r>
        <w:lastRenderedPageBreak/>
        <w:t>Lisensiering går ut på at en eller flere aktører som har en eller flere immaterialrettigheter, gir en annen aktør anledning til kommersielt å utnytte den eller disse rettighetene. Lisensieringen (lisen</w:t>
      </w:r>
      <w:r>
        <w:t>s</w:t>
      </w:r>
      <w:r>
        <w:t>avtalen) kan gjelde ulike typer immaterialrettigheter. Retten gis vanligvis for et bestemt geografisk område og tidsrom, et bruksområde eller en kombinasjon av disse. Godtgjørelsen for rettighetsh</w:t>
      </w:r>
      <w:r>
        <w:t>a</w:t>
      </w:r>
      <w:r>
        <w:t>veren består gjerne av en lisensavgift (royalty), som ofte b</w:t>
      </w:r>
      <w:r>
        <w:t>e</w:t>
      </w:r>
      <w:r>
        <w:t>regnes av lisenstakerens salgsverdi av produktet, eventuelt kombinert med en engangsbetaling eller et fast årlig beløp. Ved å lisensiere kan eieren av en immaterialrettighet få en viss inntekt fra en rettighet, uten selv å måtte investere i å utvikle produktet fram til markedsintroduksjon og produksjon.</w:t>
      </w:r>
    </w:p>
    <w:p w:rsidR="00D24D21" w:rsidRDefault="00D24D21" w:rsidP="00CE47F2">
      <w:r>
        <w:t>Både patent- og legemiddellovgivningen inneholder insentiver som skal legge forholdene til rette for utvikling av nye legemidler. Patentloven inneholder regler om enerett og legemiddelloven inn</w:t>
      </w:r>
      <w:r>
        <w:t>e</w:t>
      </w:r>
      <w:r>
        <w:t>holder regler om dokumentbeskyttelse og markedsbeskyttelse. Regulatorisk beskyttelse etter leg</w:t>
      </w:r>
      <w:r>
        <w:t>e</w:t>
      </w:r>
      <w:r>
        <w:t>middellovgivningen bygger på Norges EØS-rettslige forpliktelser. Lov om medisinsk utstyr har ikke særskilte regler om dette slik som legemiddelloven.</w:t>
      </w:r>
    </w:p>
    <w:p w:rsidR="00D24D21" w:rsidRDefault="00D24D21" w:rsidP="00CE47F2">
      <w:r>
        <w:t>Reglene om rett til dokumentbeskyttelse for innehavere av markedsføringstillatelser for legemidler innebærer at ikke andre enn innehaveren av markedsføringstillatelsen kan utnytte dokumentasjon på kvalitet, sikkerhet og effekt som ligger til grunn for markedsføringstillatelsen i perioden dok</w:t>
      </w:r>
      <w:r>
        <w:t>u</w:t>
      </w:r>
      <w:r>
        <w:t>mentbeskyttelsen gjelder. Eneretten til bruken av denne dokumentasjonen etter legemiddellovgi</w:t>
      </w:r>
      <w:r>
        <w:t>v</w:t>
      </w:r>
      <w:r>
        <w:t>ningen gjelder i tillegg til eneretten til å utnytte den patenterte oppfinnelsen etter patentlovgivningen. I tillegg har legemiddellovgivningen regler om markedsbeskyttelse som definerer det tidligste tidspunktet en markedsføringstillatelse for et generisk legemiddel kan benyttes til å plassere leg</w:t>
      </w:r>
      <w:r>
        <w:t>e</w:t>
      </w:r>
      <w:r>
        <w:t>midlet på markedet. Det vil si at en markedsføringstillatelse for et generisk legemiddel ikke nø</w:t>
      </w:r>
      <w:r>
        <w:t>d</w:t>
      </w:r>
      <w:r>
        <w:t>vendigvis kan benyttes med en gang den er utstedt.</w:t>
      </w:r>
    </w:p>
    <w:p w:rsidR="00D24D21" w:rsidRDefault="00D24D21" w:rsidP="00CE47F2">
      <w:r>
        <w:t>Dokumentbeskyttelsen for legemidler er knyttet til dokumentasjonen som ligger til grunn for ma</w:t>
      </w:r>
      <w:r>
        <w:t>r</w:t>
      </w:r>
      <w:r>
        <w:t>kedsføringstillatelsen, noe som innebærer at den i prinsippet ikke er til hinder for at andre gje</w:t>
      </w:r>
      <w:r>
        <w:t>n</w:t>
      </w:r>
      <w:r>
        <w:t>nomfører de kliniske utprøvinger som er nødvendige for å framskaffe dokumentasjon for egen søknad om markedsføringstillatelse. Heller ikke patentretten er til hinder for at det gjøres slik u</w:t>
      </w:r>
      <w:r>
        <w:t>t</w:t>
      </w:r>
      <w:r>
        <w:t>prøving av et patentert leg</w:t>
      </w:r>
      <w:r>
        <w:t>e</w:t>
      </w:r>
      <w:r>
        <w:t>middel som er nødvendig for søknad om markedsføringstillatelse for et generisk legemiddel, jf. patentl</w:t>
      </w:r>
      <w:r>
        <w:t>o</w:t>
      </w:r>
      <w:r>
        <w:t>ven § 3 tredje ledd nr. 5.</w:t>
      </w:r>
    </w:p>
    <w:p w:rsidR="00D24D21" w:rsidRDefault="00D24D21">
      <w:pPr>
        <w:pStyle w:val="Ramme-slutt"/>
        <w:rPr>
          <w:sz w:val="26"/>
          <w:szCs w:val="26"/>
        </w:rPr>
      </w:pPr>
      <w:r>
        <w:rPr>
          <w:sz w:val="26"/>
          <w:szCs w:val="26"/>
        </w:rPr>
        <w:t>[Boks slutt]</w:t>
      </w:r>
    </w:p>
    <w:p w:rsidR="00D24D21" w:rsidRDefault="00D24D21" w:rsidP="00CE47F2">
      <w:r>
        <w:t>Beskyttelse av immaterialrettigheter er utbredt i helsenæringen, særlig innenfor bioteknologi og farmasi. Produktutvikling på disse områdene er ofte kostbar og tidkrevende, men kan være relativt lett å kopiere. Betydningen av immaterialrettigheter øker i takt med teknologiutviklingen og pate</w:t>
      </w:r>
      <w:r>
        <w:t>n</w:t>
      </w:r>
      <w:r>
        <w:t>tert teknologi og er derfor viktig for videre utvikling av medisinsk utstyr og e-helseløsninger.</w:t>
      </w:r>
    </w:p>
    <w:p w:rsidR="00D24D21" w:rsidRDefault="00D24D21" w:rsidP="00CE47F2">
      <w:r>
        <w:t>Også varemerker har stor økonomisk betydning innenfor helsenæringen. Beskyttelsestiden for v</w:t>
      </w:r>
      <w:r>
        <w:t>a</w:t>
      </w:r>
      <w:r>
        <w:t>remerker kan i prinsippet være ubegrenset, og varemerker kan bidra til merverdi i form av godt renommé.</w:t>
      </w:r>
    </w:p>
    <w:p w:rsidR="00D24D21" w:rsidRDefault="00D24D21" w:rsidP="00CE47F2">
      <w:r>
        <w:t>Dokumentbeskyttelse etter legemiddellovgivningen er også viktig for forskning på legemiddelo</w:t>
      </w:r>
      <w:r>
        <w:t>m</w:t>
      </w:r>
      <w:r>
        <w:t>rådet.</w:t>
      </w:r>
    </w:p>
    <w:p w:rsidR="00D24D21" w:rsidRDefault="00D24D21" w:rsidP="00CE47F2">
      <w:r>
        <w:t xml:space="preserve">Selv i de tilfeller hvor man har til hensikt gjøre teknologien tilgjengelig for åpen og gratis bruk, har patenter ofte likevel en viktig funksjon. Patentering gjør da at ingen andre senere kan ta patent på </w:t>
      </w:r>
      <w:r>
        <w:lastRenderedPageBreak/>
        <w:t>samme oppfinnelsen. P</w:t>
      </w:r>
      <w:r>
        <w:t>a</w:t>
      </w:r>
      <w:r>
        <w:t>tenthaver kan deretter tilby gratis lisenser under ikke-diskriminerende vilkår for bruk av patentet, innenfor ko</w:t>
      </w:r>
      <w:r>
        <w:t>n</w:t>
      </w:r>
      <w:r>
        <w:t>kurranserettens begrensninger.</w:t>
      </w:r>
    </w:p>
    <w:p w:rsidR="00D24D21" w:rsidRDefault="00D24D21" w:rsidP="00CE47F2">
      <w:r>
        <w:t>Kommersialisering er viktig for at resultater fra forskning og utvikling skal komme pasienter og br</w:t>
      </w:r>
      <w:r>
        <w:t>u</w:t>
      </w:r>
      <w:r>
        <w:t>kere til gode. Beskyttelse av immaterialrettigheter er en av flere strategier institusjonene kan benytte for å sikre at forskning</w:t>
      </w:r>
      <w:r>
        <w:t>s</w:t>
      </w:r>
      <w:r>
        <w:t>resultater og kunnskap samtidig kan deles og komme til anvendelse og nytte i sa</w:t>
      </w:r>
      <w:r>
        <w:t>m</w:t>
      </w:r>
      <w:r>
        <w:t>funnet. Dersom en patenterbar oppfinnelse blir publisert eller omtalt offentlig før patentsøknadene er inngitt kan muligheten for patentering falle bort. En hensiktsmessig balansegang mellom nødvendig hemmelighold av oppfinnelsen inntil patentsøknad er inngitt, og ønsket om publisering, er derfor en vi</w:t>
      </w:r>
      <w:r>
        <w:t>k</w:t>
      </w:r>
      <w:r>
        <w:t>tig del av en profesjonell håndtering av forskningsresultater.</w:t>
      </w:r>
    </w:p>
    <w:p w:rsidR="00D24D21" w:rsidRDefault="00D24D21" w:rsidP="00CE47F2">
      <w:pPr>
        <w:pStyle w:val="Overskrift3"/>
      </w:pPr>
      <w:r>
        <w:t>Forvaltning av immaterialrettigheter</w:t>
      </w:r>
    </w:p>
    <w:p w:rsidR="00D24D21" w:rsidRDefault="00D24D21" w:rsidP="00CE47F2">
      <w:r>
        <w:t>En immaterialrettighet kan ha stor økonomisk verdi og en rettferdig tildeling av rettighetene tilsier at disse bør forvaltes av en uavhengig instans. Derfor har de fleste land opprettet instanser for håndt</w:t>
      </w:r>
      <w:r>
        <w:t>e</w:t>
      </w:r>
      <w:r>
        <w:t>ring av slike rettigheter. I Norge er dette Patentstyret. Det er også opprettet internasjonale og reg</w:t>
      </w:r>
      <w:r>
        <w:t>i</w:t>
      </w:r>
      <w:r>
        <w:t>onale patentmy</w:t>
      </w:r>
      <w:r>
        <w:t>n</w:t>
      </w:r>
      <w:r>
        <w:t>digheter, som forvalter og legger til rette for patentrettigheter som gjelder i flere land.</w:t>
      </w:r>
    </w:p>
    <w:p w:rsidR="00D24D21" w:rsidRDefault="00D24D21" w:rsidP="00CE47F2">
      <w:r>
        <w:t>Ved søknad til Det europeiske patentverket (EPO) kan man oppnå patent i flere europeiske land, også Norge. Det finnes også en ordning med internasjonale patentsøknader, som leveres og undergis forber</w:t>
      </w:r>
      <w:r>
        <w:t>e</w:t>
      </w:r>
      <w:r>
        <w:t>dende behandling ved Verdens immaterialrettsorganisasjon (WIPO) sitt internasjonale byrå i Genève, før den behandles videre og vu</w:t>
      </w:r>
      <w:r>
        <w:t>r</w:t>
      </w:r>
      <w:r>
        <w:t>deres nasjonalt i de landene som pekes ut. I slike tilfeller kommer paten</w:t>
      </w:r>
      <w:r>
        <w:t>t</w:t>
      </w:r>
      <w:r>
        <w:t>søknaden først til Norge og Patentstyret i den såkalte nasjonale fasen. Den sistnevnte veien til patent er særlig aktuell der man ønsker beskyttelse i markeder internasjonalt. For mange segmenter av helse</w:t>
      </w:r>
      <w:r>
        <w:t>n</w:t>
      </w:r>
      <w:r>
        <w:t>æringen er dette mest aktuelt.</w:t>
      </w:r>
    </w:p>
    <w:p w:rsidR="00D24D21" w:rsidRDefault="00D24D21" w:rsidP="00CE47F2">
      <w:pPr>
        <w:pStyle w:val="tittel-ramme"/>
      </w:pPr>
      <w:r>
        <w:t>Internasjonalt avtaleverk</w:t>
      </w:r>
    </w:p>
    <w:p w:rsidR="00D24D21" w:rsidRDefault="00D24D21" w:rsidP="00CE47F2">
      <w:r>
        <w:t>Mye av helsenæringen består av forskningsintensive og teknologidrevne bedrifter. Effektiv b</w:t>
      </w:r>
      <w:r>
        <w:t>e</w:t>
      </w:r>
      <w:r>
        <w:t>skyttelse av immaterialrettigheter i de markedene hvor de ønsker å markedsføre sine produkter, er for disse avgjørende for en velfungerende handel. TRIPS-avtalen om handelsrelaterte sider ved imm</w:t>
      </w:r>
      <w:r>
        <w:t>a</w:t>
      </w:r>
      <w:r>
        <w:t>terialrettigheter er del av WTO-avtalen, og oppstiller minimumskrav til medlemslandenes vern av immaterialrettigheter, herunder patenter og varemerker. Gjennom frihandelsavtalene går vi blant annet inn for mer effektiv håndheving av regelverket. Immaterialrettigheter gjelder kun i de landene hvor de er beskyttet. Således må beskyttelse i utgangspunktet søkes i hvert enkelt land, eventuelt etter regionale ordninger slik som ordningen med europeiske patenter som meddeles Det europeiske patentverket (EPO). En planlagt ny EU-ordning med såkalt Enhetspatent (Unitary Patent), med en tilknyttet egen</w:t>
      </w:r>
    </w:p>
    <w:p w:rsidR="00D24D21" w:rsidRDefault="00D24D21" w:rsidP="00CE47F2">
      <w:r>
        <w:t xml:space="preserve"> domstol (UPC) – Unified Patent Court), har i lengre tid vært under forberedelse i EU, men er f</w:t>
      </w:r>
      <w:r>
        <w:t>o</w:t>
      </w:r>
      <w:r>
        <w:t>reløpig ikke trådt i kraft. Norske søkere vil kunne søke om patent etter en slik ordning på linje med søkere fra EU-land, dersom ordningen trer i kraft.</w:t>
      </w:r>
    </w:p>
    <w:p w:rsidR="00D24D21" w:rsidRDefault="00D24D21" w:rsidP="00CE47F2">
      <w:r>
        <w:t>Det er utviklet et internasjonalt avtaleverk med krav til den nasjonale reguleringen av immateria</w:t>
      </w:r>
      <w:r>
        <w:t>l</w:t>
      </w:r>
      <w:r>
        <w:t>rettigheter. Fo</w:t>
      </w:r>
      <w:r>
        <w:t>r</w:t>
      </w:r>
      <w:r>
        <w:t>uten TRIPS-avtalen finnes blant annet Paris-konvensjonen av 1883 og andre globale avtaler om immaterialrettigheter som administreres av WIPO – Verdensorganisasjonen for imm</w:t>
      </w:r>
      <w:r>
        <w:t>a</w:t>
      </w:r>
      <w:r>
        <w:t>terialrett. Disse avtalene gjelder i hovedsak formaliakrav og søknadssystemer.</w:t>
      </w:r>
    </w:p>
    <w:p w:rsidR="00D24D21" w:rsidRDefault="00D24D21">
      <w:pPr>
        <w:pStyle w:val="Ramme-slutt"/>
        <w:rPr>
          <w:sz w:val="26"/>
          <w:szCs w:val="26"/>
        </w:rPr>
      </w:pPr>
      <w:r>
        <w:rPr>
          <w:sz w:val="26"/>
          <w:szCs w:val="26"/>
        </w:rPr>
        <w:lastRenderedPageBreak/>
        <w:t>[Boks slutt]</w:t>
      </w:r>
    </w:p>
    <w:p w:rsidR="00D24D21" w:rsidRDefault="00D24D21" w:rsidP="00CE47F2">
      <w:r>
        <w:t>Kunnskap om betydningen av å beskytte immaterielle verdier er gjennomgående godt forankret innenfor næringsliv relatert til farmasi og bioteknologi gjennom utstrakt bruk av immaterialretti</w:t>
      </w:r>
      <w:r>
        <w:t>g</w:t>
      </w:r>
      <w:r>
        <w:t>heter, særlig gjennom patenter. Også i næringsliv som omfatter IKT og medisinsk teknologi er det den siste tiden blitt mer oppmerksomhet rundt immaterialrettigheter. Bevisstheten rundt immaterielle verdier og betydnin</w:t>
      </w:r>
      <w:r>
        <w:t>g</w:t>
      </w:r>
      <w:r>
        <w:t>en av rettighetsbeskyttelse er imidlertid ikke nødvendigvis like utbredt i alle deler av næringen.</w:t>
      </w:r>
    </w:p>
    <w:p w:rsidR="00D24D21" w:rsidRDefault="00D24D21" w:rsidP="00CE47F2">
      <w:r>
        <w:t>Regjeringen vil kartlegge om det er behov for bedre veiledning om immaterialrettigheter i helse</w:t>
      </w:r>
      <w:r>
        <w:t>n</w:t>
      </w:r>
      <w:r>
        <w:t>æringen eller deler av denne.</w:t>
      </w:r>
    </w:p>
    <w:p w:rsidR="00D24D21" w:rsidRDefault="00D24D21" w:rsidP="00CE47F2">
      <w:pPr>
        <w:pStyle w:val="Overskrift2"/>
      </w:pPr>
      <w:r>
        <w:t>Ideer med utgangspunkt i erfaring og praksis</w:t>
      </w:r>
    </w:p>
    <w:p w:rsidR="00D24D21" w:rsidRDefault="00D24D21" w:rsidP="00CE47F2">
      <w:r>
        <w:t>Gründere bidrar til å utvikle morgendagens næringsliv og nye lønnsomme arbeidsplasser. Ofte er det gjennom nyetablerte bedrifter at nye ideer, varer og bedre tjenester kommer inn i markedet. Innenfor helsesektoren har vi flere eksempler på at arbeidstakere får ideer om produkter eller prosesser som kan forbedres, med bakgrunn i egen erfaring. Dette ser vi eksempler på både i spesialist- og i pr</w:t>
      </w:r>
      <w:r>
        <w:t>i</w:t>
      </w:r>
      <w:r>
        <w:t>mærhelsetjenesten.</w:t>
      </w:r>
    </w:p>
    <w:p w:rsidR="00D24D21" w:rsidRDefault="00D24D21" w:rsidP="00CE47F2">
      <w:pPr>
        <w:pStyle w:val="tittel-ramme"/>
      </w:pPr>
      <w:r>
        <w:t>Erland AS</w:t>
      </w:r>
    </w:p>
    <w:p w:rsidR="00D24D21" w:rsidRDefault="00D24D21" w:rsidP="00CE47F2">
      <w:r>
        <w:t>Ideen til Erland AS fikk Jofrid Erland etter at et familiemedlem fikk tykktarmskreft og ble stomi</w:t>
      </w:r>
      <w:r>
        <w:t>o</w:t>
      </w:r>
      <w:r>
        <w:t>perert (utlagt tarm). Lekkasjene fra stomiposen førte til store utfordringer. Dårlig nattesøvn og frykt for lekk</w:t>
      </w:r>
      <w:r>
        <w:t>a</w:t>
      </w:r>
      <w:r>
        <w:t>sjer resulterte i sosial isolasjon både privat og i jobb. Letingen etter produkter som kunne absorbere og fo</w:t>
      </w:r>
      <w:r>
        <w:t>r</w:t>
      </w:r>
      <w:r>
        <w:t>hindre problemer med lekkasje var nytteløst. Med sin bakgrunn som hjelpepleier og sin nye situasjon som pårørende, var ønsket til Erland å utvikle et produkt som ville bidra til at stomiopererte skulle ha samme muligheter til å delta i samfunnet som funksjonsfriske. Hun etablerte selskapet Erland AS og gikk i gang med utviklingen av en absorbent for å forhindre problemer med lekkasje fra stomiposen.</w:t>
      </w:r>
    </w:p>
    <w:p w:rsidR="00D24D21" w:rsidRDefault="00D24D21" w:rsidP="00CE47F2">
      <w:r>
        <w:t>Sammen med mange gode partnere har Erland utviklet et superabsorberende produkt som har fått svært gode tilbakemeldinger. Tilbakemeldingene fra testgruppene viser at produktet ivaretar br</w:t>
      </w:r>
      <w:r>
        <w:t>u</w:t>
      </w:r>
      <w:r>
        <w:t>kerverdier som trygghet, frihet og økt livskvalitet i hverdagen.</w:t>
      </w:r>
    </w:p>
    <w:p w:rsidR="00D24D21" w:rsidRDefault="00D24D21" w:rsidP="00CE47F2">
      <w:r>
        <w:t>Veien fram til endelig produkt har vært lang med mange laboratorietester og utprøvinger på tes</w:t>
      </w:r>
      <w:r>
        <w:t>t</w:t>
      </w:r>
      <w:r>
        <w:t>grupper. Produktet er innvilget patent både i Norge, Europa, Canada og USA. Et tilsvarende produkt finnes ikke på markedet i dag. Industridesign-selskapet SLIP AS har vært med i utviklingen av produktet. Den siste i rekken av brukerevalu</w:t>
      </w:r>
      <w:r>
        <w:t>e</w:t>
      </w:r>
      <w:r>
        <w:t>ringer ble foretatt i regi av SINTEF. Gründerens ønske er at produktet kan bli tilgjengelig for brukerne på blå resept.</w:t>
      </w:r>
    </w:p>
    <w:p w:rsidR="00D24D21" w:rsidRDefault="00E636F4" w:rsidP="00E636F4">
      <w:pPr>
        <w:pStyle w:val="Figur"/>
      </w:pPr>
      <w:r>
        <w:rPr>
          <w:noProof/>
        </w:rPr>
        <w:t>[:figur:figX-X.jpg]</w:t>
      </w:r>
    </w:p>
    <w:p w:rsidR="00D24D21" w:rsidRDefault="00D24D21" w:rsidP="00CE47F2">
      <w:pPr>
        <w:pStyle w:val="figur-tittel"/>
      </w:pPr>
      <w:r>
        <w:t>Absorbent</w:t>
      </w:r>
    </w:p>
    <w:p w:rsidR="00D24D21" w:rsidRDefault="00D24D21" w:rsidP="00CE47F2">
      <w:pPr>
        <w:pStyle w:val="figur-noter"/>
      </w:pPr>
      <w:r>
        <w:t>Foto: Erland AS</w:t>
      </w:r>
    </w:p>
    <w:p w:rsidR="00D24D21" w:rsidRDefault="00D24D21">
      <w:pPr>
        <w:pStyle w:val="Ramme-slutt"/>
        <w:rPr>
          <w:sz w:val="26"/>
          <w:szCs w:val="26"/>
        </w:rPr>
      </w:pPr>
      <w:r>
        <w:rPr>
          <w:sz w:val="26"/>
          <w:szCs w:val="26"/>
        </w:rPr>
        <w:t>[Boks slutt]</w:t>
      </w:r>
    </w:p>
    <w:p w:rsidR="00D24D21" w:rsidRDefault="00D24D21" w:rsidP="00CE47F2">
      <w:r>
        <w:lastRenderedPageBreak/>
        <w:t>Utnyttelse av handlingsrommet og bedre tilrettelegging for utvikling av denne type erfaringsbaserte ideer, kan gi positive effekter i form av effektivisering og bedre løsninger i framtidens helse- og omsorg</w:t>
      </w:r>
      <w:r>
        <w:t>s</w:t>
      </w:r>
      <w:r>
        <w:t>tjenester. Kultur og holdninger er viktig for at slike prosesser kan muliggjøres. Nytenking og innovasjon innenfor helse- og omsorgssektoren kan bidra til å løse utfordringene som oppstår med et stadig større antall eldre og pleietrengende. Dette er også omtalt i kapittel 8.</w:t>
      </w:r>
    </w:p>
    <w:p w:rsidR="00D24D21" w:rsidRDefault="00D24D21" w:rsidP="00CE47F2">
      <w:r>
        <w:t xml:space="preserve">Regjeringen har satset på gründere og vekstbedrifter. I oktober 2015 ble gründerplanen </w:t>
      </w:r>
      <w:r>
        <w:rPr>
          <w:rStyle w:val="kursiv"/>
          <w:sz w:val="21"/>
          <w:szCs w:val="21"/>
        </w:rPr>
        <w:t>Gode ideer – fremtidens arbeidsplasser</w:t>
      </w:r>
      <w:r>
        <w:t xml:space="preserve"> lagt fram. Denne viser regjeringens langsiktige visjoner og kommer med konkrete tiltak for å fremme gründerskap. Regjeringen har en tredelt tilnærming til gründerpoliti</w:t>
      </w:r>
      <w:r>
        <w:t>k</w:t>
      </w:r>
      <w:r>
        <w:t>ken som til sammen skal skape og forsterke en gründerkultur i Norge: 1) bedre tilgang på kapital i tidlig fase 2) økt tilgang på kompetanse og 3) gjøre Norge til et mer attraktivt gründerland. Det ble lagt fram tiltak for over 400 mill. kroner i planen. Tiltakene spenner fra etablering av nye såkornfond og styrking av etablererti</w:t>
      </w:r>
      <w:r>
        <w:t>l</w:t>
      </w:r>
      <w:r>
        <w:t>skuddsordningen, til tilrettelegging for nettverk av forretningsengler og opprettelse av en Idélab for å bidra til nyskaping gjennom teknologi- og kompetanseoverf</w:t>
      </w:r>
      <w:r>
        <w:t>ø</w:t>
      </w:r>
      <w:r>
        <w:t>ring mellom sektorer.</w:t>
      </w:r>
    </w:p>
    <w:p w:rsidR="00D24D21" w:rsidRDefault="00D24D21" w:rsidP="00CE47F2">
      <w:r>
        <w:t>Det offentlige har et omfattende tilbud med virkemidler som skal stimulere til oppstart av ny vir</w:t>
      </w:r>
      <w:r>
        <w:t>k</w:t>
      </w:r>
      <w:r>
        <w:t>somhet gjennom tilgang på kapital, kompetansehevende programmer, infrastruktur, råd og veile</w:t>
      </w:r>
      <w:r>
        <w:t>d</w:t>
      </w:r>
      <w:r>
        <w:t>ning. En rekke av disse er nærmere omtalt i kapittel 7.</w:t>
      </w:r>
    </w:p>
    <w:p w:rsidR="00D24D21" w:rsidRDefault="00D24D21" w:rsidP="00CE47F2">
      <w:pPr>
        <w:pStyle w:val="tittel-ramme"/>
      </w:pPr>
      <w:r>
        <w:t>Inkubatorer</w:t>
      </w:r>
    </w:p>
    <w:p w:rsidR="00D24D21" w:rsidRDefault="00D24D21" w:rsidP="00CE47F2">
      <w:r>
        <w:t>Inkubasjon er et verktøy for utvikling av nye bedrifter eller for å skape vekst i eksisterende bedrifter. I en inkubator får gründere tilgang på profesjonelle forretningsutviklere, rådgivere og investorer. Inkubatoren er også et faglig og sosialt fellesskap som gir ideer rom til å vokse. Tjenestene gis i en tidsbegrenset p</w:t>
      </w:r>
      <w:r>
        <w:t>e</w:t>
      </w:r>
      <w:r>
        <w:t>riode med tett oppfølging fra ansatte i inkubatoren og det tilknyttede nettverket.</w:t>
      </w:r>
    </w:p>
    <w:p w:rsidR="00D24D21" w:rsidRDefault="00D24D21" w:rsidP="00CE47F2">
      <w:r>
        <w:t>Inkubasjon er en aktivitet i alle landets forsknings- og kunnskapsparker, og inkubatorene inngår ofte i tett samarbeid med TTOer, næringshager og andre aktører. De fleste inkubatorene jobber med bedrifter i</w:t>
      </w:r>
      <w:r>
        <w:t>n</w:t>
      </w:r>
      <w:r>
        <w:t>nenfor ulike sektorer, men noen er spesialisert mot enkelte sektorer. Eksempler på dette innenfor hels</w:t>
      </w:r>
      <w:r>
        <w:t>e</w:t>
      </w:r>
      <w:r>
        <w:t>området er Aleap AS og Oslo Cancer Cluster Incubator AS.</w:t>
      </w:r>
    </w:p>
    <w:p w:rsidR="00D24D21" w:rsidRDefault="00D24D21" w:rsidP="00CE47F2">
      <w:pPr>
        <w:rPr>
          <w:rStyle w:val="kursiv"/>
          <w:sz w:val="21"/>
          <w:szCs w:val="21"/>
        </w:rPr>
      </w:pPr>
      <w:r>
        <w:rPr>
          <w:rStyle w:val="kursiv"/>
          <w:sz w:val="21"/>
          <w:szCs w:val="21"/>
        </w:rPr>
        <w:t>Aleap e</w:t>
      </w:r>
      <w:r>
        <w:t>r en non-profitt inkubator for oppstartsbedrifter i bredden av norsk helsenæring – legemidler, helseteknologi og IKT.</w:t>
      </w:r>
    </w:p>
    <w:p w:rsidR="00D24D21" w:rsidRDefault="00D24D21" w:rsidP="00CE47F2">
      <w:pPr>
        <w:rPr>
          <w:rStyle w:val="kursiv"/>
          <w:sz w:val="21"/>
          <w:szCs w:val="21"/>
        </w:rPr>
      </w:pPr>
      <w:r>
        <w:rPr>
          <w:rStyle w:val="kursiv"/>
          <w:sz w:val="21"/>
          <w:szCs w:val="21"/>
        </w:rPr>
        <w:t>OCC Incubator</w:t>
      </w:r>
      <w:r>
        <w:t xml:space="preserve"> er en integrert del av Oslo Cancer Cluster Innovation Park, som har spesialisert seg på å støtte og veilede oppstartsbedrifter innenfor onkologi og biotek i oppstart og kommersialisering. OCC inkubator er lokalisert i OCC-klyngen.</w:t>
      </w:r>
    </w:p>
    <w:p w:rsidR="00D24D21" w:rsidRDefault="00D24D21" w:rsidP="00CE47F2">
      <w:pPr>
        <w:rPr>
          <w:rStyle w:val="kursiv"/>
          <w:sz w:val="21"/>
          <w:szCs w:val="21"/>
        </w:rPr>
      </w:pPr>
      <w:r>
        <w:rPr>
          <w:rStyle w:val="kursiv"/>
          <w:sz w:val="21"/>
          <w:szCs w:val="21"/>
        </w:rPr>
        <w:t>Forskningsparken i Oslo</w:t>
      </w:r>
      <w:r>
        <w:t xml:space="preserve"> huser både Norway Health Tech, Aleap og Inven2.</w:t>
      </w:r>
    </w:p>
    <w:p w:rsidR="00D24D21" w:rsidRDefault="00D24D21">
      <w:pPr>
        <w:pStyle w:val="Ramme-slutt"/>
        <w:rPr>
          <w:sz w:val="26"/>
          <w:szCs w:val="26"/>
        </w:rPr>
      </w:pPr>
      <w:r>
        <w:rPr>
          <w:sz w:val="26"/>
          <w:szCs w:val="26"/>
        </w:rPr>
        <w:t>[Boks slutt]</w:t>
      </w:r>
    </w:p>
    <w:p w:rsidR="00D24D21" w:rsidRDefault="00D24D21" w:rsidP="00CE47F2">
      <w:r>
        <w:t>I helse- og omsorgssektoren er det mange kvinnelige arbeidstakere. Regjeringen vil fremme tiltak som styrker kvinnelig gründerskap og velferdsinnovasjon. Regjeringen lager en egen handlingsplan for kvi</w:t>
      </w:r>
      <w:r>
        <w:t>n</w:t>
      </w:r>
      <w:r>
        <w:t>nelige gründere. Det tas sikte på å ferdigstille en slik handlingsplan i 2019. Planen skal motivere til mer entreprenørskap blant kvinner og vurdere tiltak som gjør at man bedre kan legge til rette for at kvinner kan starte egen bedrift. I dette arbeidet vil en sentral vurdering være hvordan det kan stimuleres til økt entr</w:t>
      </w:r>
      <w:r>
        <w:t>e</w:t>
      </w:r>
      <w:r>
        <w:t>prenørskap i offentlig sektor og tjenesteytende næringer innenfor helse- og omsorgssektoren.</w:t>
      </w:r>
    </w:p>
    <w:p w:rsidR="00D24D21" w:rsidRDefault="00D24D21" w:rsidP="00CE47F2">
      <w:r>
        <w:lastRenderedPageBreak/>
        <w:t>Interesse, kunnskap og kompetanse påvirker den enkeltes holdninger og evne til å tenke innovativt og utvikle nye løsninger. Dette formes gjennom utdanning. Gjennom entreprenørskap i utdanning og oppl</w:t>
      </w:r>
      <w:r>
        <w:t>æ</w:t>
      </w:r>
      <w:r>
        <w:t>ring bedres framtidige generasjoners holdninger til og kunnskap om entreprenørskap.</w:t>
      </w:r>
    </w:p>
    <w:p w:rsidR="00D24D21" w:rsidRDefault="00D24D21" w:rsidP="00CE47F2">
      <w:r>
        <w:t>En stor del av utdanningsløpene for helsefagutdanningene skjer gjennom praksis i helse- og o</w:t>
      </w:r>
      <w:r>
        <w:t>m</w:t>
      </w:r>
      <w:r>
        <w:t>sorgssektoren. Dersom det er lite oppmerksomhet om nytten av og mulighetene for entreprenørskap og kommersialiseringsakt</w:t>
      </w:r>
      <w:r>
        <w:t>i</w:t>
      </w:r>
      <w:r>
        <w:t>viteter, både i utdanningsinstitusjonene og på praksisfeltet, bidrar også dette til manglende bevissthet hos den enkelte og manglende kultur for kommersialisering som sådan.</w:t>
      </w:r>
    </w:p>
    <w:p w:rsidR="00D24D21" w:rsidRDefault="00D24D21" w:rsidP="00CE47F2">
      <w:r>
        <w:t>Det er etablert initiativer som er rettet mot studenter for å fremme kommersialisering og entrepr</w:t>
      </w:r>
      <w:r>
        <w:t>e</w:t>
      </w:r>
      <w:r>
        <w:t>nørskap. Noen av disse er særlig rettet inn mot helsefaglige utdanninger. Det gjelder for eksempel He</w:t>
      </w:r>
      <w:r>
        <w:t>l</w:t>
      </w:r>
      <w:r>
        <w:t>seinnovatørskolen som er et initiativ fra UiO, NTNU i Trondheim og Karolinska Institutet i Stockholm, i samarbeid med Nansen Neuroscience Network. Formålet er å opprette kontakt mellom forsker og st</w:t>
      </w:r>
      <w:r>
        <w:t>u</w:t>
      </w:r>
      <w:r>
        <w:t>denter innenfor helse med helsenæring for å dele kunnskap om praktisk innovasjon og entreprenør</w:t>
      </w:r>
      <w:r>
        <w:t>s</w:t>
      </w:r>
      <w:r>
        <w:t>kapskompetanse. Det finnes også andre initiativer som ikke er spesifikt rettet mot helse- og omsorgsfag, slik som STUD-ENT-ordningen i Norges Forskningsråd og SparkN</w:t>
      </w:r>
      <w:r>
        <w:t>T</w:t>
      </w:r>
      <w:r>
        <w:t>NU/NTNU entreprenørskap.</w:t>
      </w:r>
    </w:p>
    <w:p w:rsidR="00D24D21" w:rsidRDefault="00D24D21" w:rsidP="00CE47F2">
      <w:r>
        <w:t>Det foreligger imidlertid ingen samlet oversikt over hvilket tilbud om og opplegg for entreprenør</w:t>
      </w:r>
      <w:r>
        <w:t>s</w:t>
      </w:r>
      <w:r>
        <w:t>kapsundervisning som finnes i de helsefaglige utdanningene. Regjeringen vil kartlegge entrepr</w:t>
      </w:r>
      <w:r>
        <w:t>e</w:t>
      </w:r>
      <w:r>
        <w:t>nørskapsundervisning og behovet for eventuelt å styrke denne innenfor de helsefaglige utda</w:t>
      </w:r>
      <w:r>
        <w:t>n</w:t>
      </w:r>
      <w:r>
        <w:t>ningene.</w:t>
      </w:r>
    </w:p>
    <w:p w:rsidR="00D24D21" w:rsidRDefault="00D24D21" w:rsidP="00CE47F2">
      <w:pPr>
        <w:pStyle w:val="tittel-ramme"/>
      </w:pPr>
      <w:r>
        <w:t>SPARK-Norway</w:t>
      </w:r>
    </w:p>
    <w:p w:rsidR="00D24D21" w:rsidRDefault="00D24D21" w:rsidP="00CE47F2">
      <w:r>
        <w:t>SPARK Norway er et toårig innovasjonsprogram ved Universitetet i Oslo (UiO). Målet med pr</w:t>
      </w:r>
      <w:r>
        <w:t>o</w:t>
      </w:r>
      <w:r>
        <w:rPr>
          <w:spacing w:val="-2"/>
        </w:rPr>
        <w:t>grammet er å få mer innovasjon ut av grunnforsk</w:t>
      </w:r>
      <w:r>
        <w:t>ningen. Programmet er for forskere innenfor hels</w:t>
      </w:r>
      <w:r>
        <w:t>e</w:t>
      </w:r>
      <w:r>
        <w:t>relatert livsvite</w:t>
      </w:r>
      <w:r>
        <w:t>n</w:t>
      </w:r>
      <w:r>
        <w:t>skap som ønsker å videreutvikle egne ideer slik at de kommer pasienter og samfunn til gode. Forskerne får veiledning fra erfarne mentorer fra akademia, sykehus, industri og venture</w:t>
      </w:r>
      <w:r>
        <w:t>s</w:t>
      </w:r>
      <w:r>
        <w:t>elskaper, milepælsbasert f</w:t>
      </w:r>
      <w:r>
        <w:t>i</w:t>
      </w:r>
      <w:r>
        <w:t>nansiering, rådgivning og opplæring. SPARK Norway er basert på det velrenommerte programmet Stanford SPARK. Forskere ved UiO og forskergrupper ved Oslo un</w:t>
      </w:r>
      <w:r>
        <w:t>i</w:t>
      </w:r>
      <w:r>
        <w:t>versitetssykehus og Akershus univers</w:t>
      </w:r>
      <w:r>
        <w:t>i</w:t>
      </w:r>
      <w:r>
        <w:t>tetssykehus med UiO-tilknytning, kan søke om å bli tatt opp.</w:t>
      </w:r>
    </w:p>
    <w:p w:rsidR="00D24D21" w:rsidRDefault="00D24D21" w:rsidP="00CE47F2">
      <w:r>
        <w:t>SPARK Norway ledes av UiO Livsvitenskap. Inven2, Oslo universitetssykehus og klyngene Oslo Ca</w:t>
      </w:r>
      <w:r>
        <w:t>n</w:t>
      </w:r>
      <w:r>
        <w:t>cer Cluster, The Life Science Cluster, Nansen Neuroscience Network, Norwegian Inflammation Network og Norway Health Tech samt Legemiddelindustrien (LMI) og Statens legemiddelverk er partnere i pr</w:t>
      </w:r>
      <w:r>
        <w:t>o</w:t>
      </w:r>
      <w:r>
        <w:t>grammet.</w:t>
      </w:r>
    </w:p>
    <w:p w:rsidR="00D24D21" w:rsidRDefault="00D24D21">
      <w:pPr>
        <w:pStyle w:val="Ramme-slutt"/>
        <w:rPr>
          <w:sz w:val="26"/>
          <w:szCs w:val="26"/>
        </w:rPr>
      </w:pPr>
      <w:r>
        <w:rPr>
          <w:sz w:val="26"/>
          <w:szCs w:val="26"/>
        </w:rPr>
        <w:t>[Boks slutt]</w:t>
      </w:r>
    </w:p>
    <w:p w:rsidR="00D24D21" w:rsidRDefault="00D24D21" w:rsidP="00CE47F2">
      <w:pPr>
        <w:pStyle w:val="tittel-ramme"/>
      </w:pPr>
      <w:r>
        <w:t>No Isolation</w:t>
      </w:r>
    </w:p>
    <w:p w:rsidR="00D24D21" w:rsidRDefault="00D24D21" w:rsidP="00CE47F2">
      <w:r>
        <w:t xml:space="preserve">Karen Dolva er administrerende direktør og gründer i No Isolation. Hun ble kåret til «Årets </w:t>
      </w:r>
      <w:r>
        <w:rPr>
          <w:spacing w:val="-3"/>
        </w:rPr>
        <w:t>inn</w:t>
      </w:r>
      <w:r>
        <w:rPr>
          <w:spacing w:val="-3"/>
        </w:rPr>
        <w:t>o</w:t>
      </w:r>
      <w:r>
        <w:rPr>
          <w:spacing w:val="-3"/>
        </w:rPr>
        <w:t>vatør» i Ledertalentene 2016 og var på Forbes</w:t>
      </w:r>
      <w:r>
        <w:t xml:space="preserve"> liste over verdens topp 50 kvinner innenfor teknol</w:t>
      </w:r>
      <w:r>
        <w:t>o</w:t>
      </w:r>
      <w:r>
        <w:t>gifeltet i 2018. Gjennom sitt eget gründerselskap No Isolation, har hun og medgründerne laget r</w:t>
      </w:r>
      <w:r>
        <w:t>o</w:t>
      </w:r>
      <w:r>
        <w:t>boten AV1 som gir syke og sengeliggende barn muligheten til å følge med i klasserommet og holde kontakten med klass</w:t>
      </w:r>
      <w:r>
        <w:t>e</w:t>
      </w:r>
      <w:r>
        <w:t xml:space="preserve">vennene, selv om de er uten mulighet til å komme seg ut av sykehuset eller </w:t>
      </w:r>
      <w:r>
        <w:lastRenderedPageBreak/>
        <w:t>hjemmet. Roboten – formet som en byste – kan plasseres i klasserommet, håndballgarderoben eller på en annen ønsket arena, og gjennom 4G streamer den lyd og video til det sengeliggende barnet, som kan følge undervisningen på skjerm der han eller hun er. Lyd kommuniseres begge veier, så det er mulig å snakke både med lærere og medelever fra sykesengen.</w:t>
      </w:r>
    </w:p>
    <w:p w:rsidR="00D24D21" w:rsidRDefault="00E636F4" w:rsidP="00E636F4">
      <w:pPr>
        <w:pStyle w:val="Figur"/>
      </w:pPr>
      <w:r>
        <w:rPr>
          <w:noProof/>
        </w:rPr>
        <w:t>[:figur:figX-X.jpg]</w:t>
      </w:r>
    </w:p>
    <w:p w:rsidR="00D24D21" w:rsidRDefault="00D24D21" w:rsidP="00CE47F2">
      <w:pPr>
        <w:pStyle w:val="figur-tittel"/>
      </w:pPr>
      <w:r>
        <w:t>AV1 leser</w:t>
      </w:r>
    </w:p>
    <w:p w:rsidR="00D24D21" w:rsidRDefault="00D24D21" w:rsidP="00CE47F2">
      <w:pPr>
        <w:pStyle w:val="figur-noter"/>
      </w:pPr>
      <w:r>
        <w:t>Foto: Estera Kluczenko</w:t>
      </w:r>
    </w:p>
    <w:p w:rsidR="00D24D21" w:rsidRDefault="00D24D21">
      <w:pPr>
        <w:pStyle w:val="Ramme-slutt"/>
        <w:rPr>
          <w:sz w:val="26"/>
          <w:szCs w:val="26"/>
        </w:rPr>
      </w:pPr>
      <w:r>
        <w:rPr>
          <w:sz w:val="26"/>
          <w:szCs w:val="26"/>
        </w:rPr>
        <w:t>[Boks slutt]</w:t>
      </w:r>
    </w:p>
    <w:p w:rsidR="00D24D21" w:rsidRDefault="00D24D21" w:rsidP="00CE47F2">
      <w:pPr>
        <w:pStyle w:val="Overskrift1"/>
      </w:pPr>
      <w:r>
        <w:t>Økonomiske og administrative konsekvenser</w:t>
      </w:r>
    </w:p>
    <w:p w:rsidR="00D24D21" w:rsidRDefault="00D24D21" w:rsidP="00CE47F2">
      <w:r>
        <w:t>Hovedmålet i regjeringens næringspolitikk er å legge til rette for størst mulig samlet verdiskaping i norsk økonomi, innenfor bærekraftige rammer. Hovedmålet i regjeringens helsepolitikk er å skape pasientens helse- og omsorgstjeneste, og å bidra til god helse for alle. Regjeringens politikk overfor helsenæringen skal bidra til å nå de samme målene.</w:t>
      </w:r>
    </w:p>
    <w:p w:rsidR="00D24D21" w:rsidRDefault="00D24D21" w:rsidP="00CE47F2">
      <w:r>
        <w:t>Hovedmålet med Helsenæringsmeldingen er å bidra til økt konkurransekraft i den norske helse</w:t>
      </w:r>
      <w:r>
        <w:t>n</w:t>
      </w:r>
      <w:r>
        <w:t>æringen og samtidig bidra til en mer bærekraftig helse- og omsorgstjeneste, i form av mer effektiv for</w:t>
      </w:r>
      <w:r>
        <w:t>e</w:t>
      </w:r>
      <w:r>
        <w:t>bygging, behandling og omsorg.</w:t>
      </w:r>
    </w:p>
    <w:p w:rsidR="00D24D21" w:rsidRDefault="00D24D21" w:rsidP="00CE47F2">
      <w:r>
        <w:t>For bedriftene i helsenæringen er tilgang til kapital og kompetanse viktig. Videre er tilgangen til å drive kliniske studier og tilgang til helsedata av betydning. I offentlige anskaffelser kan man dra nytte av inn</w:t>
      </w:r>
      <w:r>
        <w:t>o</w:t>
      </w:r>
      <w:r>
        <w:t>vasjonskraften i næringslivet. Vi må støtte forskning, innovasjon og teknologiutvikling.</w:t>
      </w:r>
    </w:p>
    <w:p w:rsidR="00D24D21" w:rsidRDefault="00D24D21" w:rsidP="00CE47F2">
      <w:r>
        <w:t>Tiltakene i meldingen har samlet sett små administrative konsekvenser og vil kunne dekkes innenfor gjeldende budsjettrammer for berørte departementer.</w:t>
      </w:r>
    </w:p>
    <w:p w:rsidR="00D24D21" w:rsidRDefault="00D24D21" w:rsidP="00CE47F2">
      <w:pPr>
        <w:pStyle w:val="a-tilraar-dep"/>
      </w:pPr>
      <w:r>
        <w:t>Nærings- og fiskeridepartementet</w:t>
      </w:r>
    </w:p>
    <w:p w:rsidR="00D24D21" w:rsidRDefault="00D24D21" w:rsidP="00CE47F2">
      <w:pPr>
        <w:pStyle w:val="a-tilraar-tit"/>
      </w:pPr>
      <w:r>
        <w:t>tilrår:</w:t>
      </w:r>
    </w:p>
    <w:p w:rsidR="00D24D21" w:rsidRDefault="00D24D21" w:rsidP="00CE47F2">
      <w:r>
        <w:t>Tilråding fra Nærings- og fiskeridepartementet 5. april 2019 om Helsenæringen – Sammen om verd</w:t>
      </w:r>
      <w:r>
        <w:t>i</w:t>
      </w:r>
      <w:r>
        <w:t>skaping og bedre tjenester blir sendt Stortinget.</w:t>
      </w:r>
    </w:p>
    <w:p w:rsidR="00D24D21" w:rsidRDefault="00D24D21" w:rsidP="00CE47F2"/>
    <w:sectPr w:rsidR="00D24D2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D21" w:rsidRDefault="00D24D21">
      <w:pPr>
        <w:spacing w:after="0" w:line="240" w:lineRule="auto"/>
      </w:pPr>
      <w:r>
        <w:separator/>
      </w:r>
    </w:p>
  </w:endnote>
  <w:endnote w:type="continuationSeparator" w:id="0">
    <w:p w:rsidR="00D24D21" w:rsidRDefault="00D2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D21" w:rsidRDefault="00D24D21">
      <w:pPr>
        <w:spacing w:after="0" w:line="240" w:lineRule="auto"/>
      </w:pPr>
      <w:r>
        <w:separator/>
      </w:r>
    </w:p>
  </w:footnote>
  <w:footnote w:type="continuationSeparator" w:id="0">
    <w:p w:rsidR="00D24D21" w:rsidRDefault="00D24D21">
      <w:pPr>
        <w:spacing w:after="0" w:line="240" w:lineRule="auto"/>
      </w:pPr>
      <w:r>
        <w:continuationSeparator/>
      </w:r>
    </w:p>
  </w:footnote>
  <w:footnote w:id="1">
    <w:p w:rsidR="00D24D21" w:rsidRDefault="00D24D21">
      <w:pPr>
        <w:pStyle w:val="Fotnotetekst"/>
        <w:rPr>
          <w:sz w:val="17"/>
          <w:szCs w:val="17"/>
        </w:rPr>
      </w:pPr>
      <w:r>
        <w:rPr>
          <w:vertAlign w:val="superscript"/>
        </w:rPr>
        <w:footnoteRef/>
      </w:r>
      <w:r>
        <w:rPr>
          <w:sz w:val="17"/>
          <w:szCs w:val="17"/>
        </w:rPr>
        <w:t>Norwegian Clinical Research Infrastructures Network.</w:t>
      </w:r>
    </w:p>
    <w:p w:rsidR="00D24D21" w:rsidRDefault="00D24D21">
      <w:pPr>
        <w:pStyle w:val="Fotnotetekst"/>
      </w:pPr>
    </w:p>
  </w:footnote>
  <w:footnote w:id="2">
    <w:p w:rsidR="00D24D21" w:rsidRDefault="00D24D21">
      <w:pPr>
        <w:pStyle w:val="Fotnotetekst"/>
        <w:rPr>
          <w:sz w:val="17"/>
          <w:szCs w:val="17"/>
        </w:rPr>
      </w:pPr>
      <w:r>
        <w:rPr>
          <w:vertAlign w:val="superscript"/>
        </w:rPr>
        <w:footnoteRef/>
      </w:r>
      <w:r>
        <w:rPr>
          <w:sz w:val="17"/>
          <w:szCs w:val="17"/>
        </w:rPr>
        <w:t xml:space="preserve">Jakobsen, E.W. m.fl. (2018). </w:t>
      </w:r>
      <w:r>
        <w:rPr>
          <w:rStyle w:val="kursiv"/>
          <w:sz w:val="17"/>
          <w:szCs w:val="17"/>
        </w:rPr>
        <w:t>Helsenæringens verdi 2018</w:t>
      </w:r>
      <w:r>
        <w:rPr>
          <w:sz w:val="17"/>
          <w:szCs w:val="17"/>
        </w:rPr>
        <w:t>. Oslo: Menon Economics.</w:t>
      </w:r>
    </w:p>
    <w:p w:rsidR="00D24D21" w:rsidRDefault="00D24D21">
      <w:pPr>
        <w:pStyle w:val="Fotnotetekst"/>
      </w:pPr>
    </w:p>
  </w:footnote>
  <w:footnote w:id="3">
    <w:p w:rsidR="00D24D21" w:rsidRDefault="00D24D21">
      <w:pPr>
        <w:pStyle w:val="Fotnotetekst"/>
        <w:rPr>
          <w:sz w:val="17"/>
          <w:szCs w:val="17"/>
        </w:rPr>
      </w:pPr>
      <w:r>
        <w:rPr>
          <w:vertAlign w:val="superscript"/>
        </w:rPr>
        <w:footnoteRef/>
      </w:r>
      <w:r>
        <w:rPr>
          <w:sz w:val="17"/>
          <w:szCs w:val="17"/>
        </w:rPr>
        <w:t xml:space="preserve">Statistisk sentralbyrå. (2014). </w:t>
      </w:r>
      <w:r>
        <w:rPr>
          <w:rStyle w:val="kursiv"/>
          <w:sz w:val="17"/>
          <w:szCs w:val="17"/>
        </w:rPr>
        <w:t>Begreper i nasjonalregnskapet</w:t>
      </w:r>
      <w:r>
        <w:rPr>
          <w:sz w:val="17"/>
          <w:szCs w:val="17"/>
        </w:rPr>
        <w:t>. Hentet fra ssb.no.</w:t>
      </w:r>
    </w:p>
    <w:p w:rsidR="00D24D21" w:rsidRDefault="00D24D21">
      <w:pPr>
        <w:pStyle w:val="Fotnotetekst"/>
      </w:pPr>
    </w:p>
  </w:footnote>
  <w:footnote w:id="4">
    <w:p w:rsidR="00D24D21" w:rsidRDefault="00D24D21">
      <w:pPr>
        <w:pStyle w:val="Fotnotetekst"/>
        <w:rPr>
          <w:sz w:val="17"/>
          <w:szCs w:val="17"/>
        </w:rPr>
      </w:pPr>
      <w:r>
        <w:rPr>
          <w:vertAlign w:val="superscript"/>
        </w:rPr>
        <w:footnoteRef/>
      </w:r>
      <w:r>
        <w:rPr>
          <w:sz w:val="17"/>
          <w:szCs w:val="17"/>
        </w:rPr>
        <w:t xml:space="preserve">Meld. St. 28 (2014–2015) </w:t>
      </w:r>
      <w:r>
        <w:rPr>
          <w:rStyle w:val="kursiv"/>
          <w:sz w:val="17"/>
          <w:szCs w:val="17"/>
        </w:rPr>
        <w:t>Legemiddelmeldingen.</w:t>
      </w:r>
    </w:p>
    <w:p w:rsidR="00D24D21" w:rsidRDefault="00D24D21">
      <w:pPr>
        <w:pStyle w:val="Fotnotetekst"/>
      </w:pPr>
    </w:p>
  </w:footnote>
  <w:footnote w:id="5">
    <w:p w:rsidR="00D24D21" w:rsidRDefault="00D24D21">
      <w:pPr>
        <w:pStyle w:val="Fotnotetekst"/>
        <w:rPr>
          <w:sz w:val="17"/>
          <w:szCs w:val="17"/>
        </w:rPr>
      </w:pPr>
      <w:r>
        <w:rPr>
          <w:vertAlign w:val="superscript"/>
        </w:rPr>
        <w:footnoteRef/>
      </w:r>
      <w:r>
        <w:rPr>
          <w:sz w:val="17"/>
          <w:szCs w:val="17"/>
        </w:rPr>
        <w:t>FoU-statistikken bygger på innhentede oppgaver fra foretakene.</w:t>
      </w:r>
    </w:p>
    <w:p w:rsidR="00D24D21" w:rsidRDefault="00D24D21">
      <w:pPr>
        <w:pStyle w:val="Fotnotetekst"/>
      </w:pPr>
    </w:p>
  </w:footnote>
  <w:footnote w:id="6">
    <w:p w:rsidR="00D24D21" w:rsidRDefault="00D24D21">
      <w:pPr>
        <w:pStyle w:val="Fotnotetekst"/>
        <w:rPr>
          <w:sz w:val="17"/>
          <w:szCs w:val="17"/>
        </w:rPr>
      </w:pPr>
      <w:r>
        <w:rPr>
          <w:vertAlign w:val="superscript"/>
        </w:rPr>
        <w:footnoteRef/>
      </w:r>
      <w:r>
        <w:rPr>
          <w:sz w:val="17"/>
          <w:szCs w:val="17"/>
        </w:rPr>
        <w:t xml:space="preserve">Jakobsen, E.W. m.fl. (2018). </w:t>
      </w:r>
      <w:r>
        <w:rPr>
          <w:rStyle w:val="kursiv"/>
          <w:sz w:val="17"/>
          <w:szCs w:val="17"/>
        </w:rPr>
        <w:t>Helsenæringens verdi 2018</w:t>
      </w:r>
      <w:r>
        <w:rPr>
          <w:sz w:val="17"/>
          <w:szCs w:val="17"/>
        </w:rPr>
        <w:t>. Oslo: Menon Economics.</w:t>
      </w:r>
    </w:p>
    <w:p w:rsidR="00D24D21" w:rsidRDefault="00D24D21">
      <w:pPr>
        <w:pStyle w:val="Fotnotetekst"/>
      </w:pPr>
    </w:p>
  </w:footnote>
  <w:footnote w:id="7">
    <w:p w:rsidR="00D24D21" w:rsidRDefault="00D24D21">
      <w:pPr>
        <w:pStyle w:val="Fotnotetekst"/>
        <w:rPr>
          <w:sz w:val="17"/>
          <w:szCs w:val="17"/>
        </w:rPr>
      </w:pPr>
      <w:r>
        <w:rPr>
          <w:vertAlign w:val="superscript"/>
        </w:rPr>
        <w:footnoteRef/>
      </w:r>
      <w:r>
        <w:rPr>
          <w:sz w:val="17"/>
          <w:szCs w:val="17"/>
        </w:rPr>
        <w:t>En mer effektiv og fremtidsrettet hjelpemiddelformidling – for økt deltakelse og mestring: Rapport fra et ekspertutvalg, Februar 2017.</w:t>
      </w:r>
    </w:p>
    <w:p w:rsidR="00D24D21" w:rsidRDefault="00D24D21">
      <w:pPr>
        <w:pStyle w:val="Fotnotetekst"/>
      </w:pPr>
    </w:p>
  </w:footnote>
  <w:footnote w:id="8">
    <w:p w:rsidR="00D24D21" w:rsidRDefault="00D24D21">
      <w:pPr>
        <w:pStyle w:val="Fotnotetekst"/>
        <w:rPr>
          <w:sz w:val="17"/>
          <w:szCs w:val="17"/>
        </w:rPr>
      </w:pPr>
      <w:r>
        <w:rPr>
          <w:vertAlign w:val="superscript"/>
        </w:rPr>
        <w:footnoteRef/>
      </w:r>
      <w:r>
        <w:rPr>
          <w:sz w:val="17"/>
          <w:szCs w:val="17"/>
        </w:rPr>
        <w:t>2017: «Helse X RHF skal styrke innovasjonssamarbeidet mellom spesialisthelsetjenesten og næringslivet i samsvar med regj</w:t>
      </w:r>
      <w:r>
        <w:rPr>
          <w:sz w:val="17"/>
          <w:szCs w:val="17"/>
        </w:rPr>
        <w:t>e</w:t>
      </w:r>
      <w:r>
        <w:rPr>
          <w:sz w:val="17"/>
          <w:szCs w:val="17"/>
        </w:rPr>
        <w:t>ringens handlingsplan for oppfølging av HelseOmsorg21- strategien.»</w:t>
      </w:r>
    </w:p>
    <w:p w:rsidR="00D24D21" w:rsidRDefault="00D24D21">
      <w:pPr>
        <w:pStyle w:val="Fotnotetekst"/>
        <w:rPr>
          <w:sz w:val="17"/>
          <w:szCs w:val="17"/>
        </w:rPr>
      </w:pPr>
      <w:r>
        <w:rPr>
          <w:sz w:val="17"/>
          <w:szCs w:val="17"/>
        </w:rPr>
        <w:tab/>
        <w:t>2018: «Det er et mål å øke både antallet offentlig initierte kliniske studier og studier initiert av næringslivet. Det skal legges til rette for økt samarbeid med næringslivet, bl.a. gjennom tilrettelegging av infrastruktur for uttesting av medisinsk-teknisk utstyr og for industrifinansierte kliniske studier.»</w:t>
      </w:r>
    </w:p>
    <w:p w:rsidR="00D24D21" w:rsidRDefault="00D24D21">
      <w:pPr>
        <w:pStyle w:val="Fotnotetekst"/>
        <w:rPr>
          <w:sz w:val="17"/>
          <w:szCs w:val="17"/>
        </w:rPr>
      </w:pPr>
      <w:r>
        <w:rPr>
          <w:sz w:val="17"/>
          <w:szCs w:val="17"/>
        </w:rPr>
        <w:tab/>
        <w:t>2019: «Utvikling av ny teknologi og mer presis diagnostikk og behandling gjennom innovasjon og næringslivssamarbeid er sentralt for å skape en bærekraftig helse- og omsorgstjeneste i framtiden. Et tettere samarbeid mellom spesialisthelsetjenesten og næringslivet om forskning, innovasjon og innovative anskaffelser er viktig for å få dette til».</w:t>
      </w:r>
    </w:p>
    <w:p w:rsidR="00D24D21" w:rsidRDefault="00D24D21">
      <w:pPr>
        <w:pStyle w:val="Fotnotetekst"/>
      </w:pPr>
    </w:p>
  </w:footnote>
  <w:footnote w:id="9">
    <w:p w:rsidR="00D24D21" w:rsidRDefault="00D24D21">
      <w:pPr>
        <w:pStyle w:val="Fotnotetekst"/>
        <w:rPr>
          <w:sz w:val="17"/>
          <w:szCs w:val="17"/>
        </w:rPr>
      </w:pPr>
      <w:r>
        <w:rPr>
          <w:vertAlign w:val="superscript"/>
        </w:rPr>
        <w:footnoteRef/>
      </w:r>
      <w:r>
        <w:rPr>
          <w:sz w:val="17"/>
          <w:szCs w:val="17"/>
        </w:rPr>
        <w:t>Kravene til universitetssykehus er regulert i forskrift om godkjenning av sykehus m.m.</w:t>
      </w:r>
    </w:p>
    <w:p w:rsidR="00D24D21" w:rsidRDefault="00D24D21">
      <w:pPr>
        <w:pStyle w:val="Fotnotetekst"/>
      </w:pPr>
    </w:p>
  </w:footnote>
  <w:footnote w:id="10">
    <w:p w:rsidR="00D24D21" w:rsidRDefault="00D24D21">
      <w:pPr>
        <w:pStyle w:val="Fotnotetekst"/>
        <w:rPr>
          <w:sz w:val="17"/>
          <w:szCs w:val="17"/>
        </w:rPr>
      </w:pPr>
      <w:r>
        <w:rPr>
          <w:vertAlign w:val="superscript"/>
        </w:rPr>
        <w:footnoteRef/>
      </w:r>
      <w:r>
        <w:rPr>
          <w:sz w:val="17"/>
          <w:szCs w:val="17"/>
        </w:rPr>
        <w:t xml:space="preserve">Kommunenes strategiske forskningsorgan (KSF). 2019. </w:t>
      </w:r>
      <w:r>
        <w:rPr>
          <w:rStyle w:val="kursiv"/>
          <w:sz w:val="17"/>
          <w:szCs w:val="17"/>
        </w:rPr>
        <w:t>Sluttrapport februar 2019 til HelseOmsorg21-rådet, fra Kommunenes strategiske forskningsorgan (KSF)</w:t>
      </w:r>
      <w:r>
        <w:rPr>
          <w:sz w:val="17"/>
          <w:szCs w:val="17"/>
        </w:rPr>
        <w:t>. Oslo: KS.</w:t>
      </w:r>
    </w:p>
    <w:p w:rsidR="00D24D21" w:rsidRDefault="00D24D21">
      <w:pPr>
        <w:pStyle w:val="Fotnotetekst"/>
      </w:pPr>
    </w:p>
  </w:footnote>
  <w:footnote w:id="11">
    <w:p w:rsidR="00D24D21" w:rsidRDefault="00D24D21">
      <w:pPr>
        <w:pStyle w:val="Fotnotetekst"/>
        <w:rPr>
          <w:sz w:val="17"/>
          <w:szCs w:val="17"/>
        </w:rPr>
      </w:pPr>
      <w:r>
        <w:rPr>
          <w:vertAlign w:val="superscript"/>
        </w:rPr>
        <w:footnoteRef/>
      </w:r>
      <w:r>
        <w:rPr>
          <w:sz w:val="17"/>
          <w:szCs w:val="17"/>
        </w:rPr>
        <w:t>Organisasjonen for økonomisk samarbeid og utvikling.</w:t>
      </w:r>
    </w:p>
    <w:p w:rsidR="00D24D21" w:rsidRDefault="00D24D21">
      <w:pPr>
        <w:pStyle w:val="Fotnotetekst"/>
      </w:pPr>
    </w:p>
  </w:footnote>
  <w:footnote w:id="12">
    <w:p w:rsidR="00D24D21" w:rsidRDefault="00D24D21">
      <w:pPr>
        <w:pStyle w:val="Fotnotetekst"/>
        <w:rPr>
          <w:sz w:val="17"/>
          <w:szCs w:val="17"/>
        </w:rPr>
      </w:pPr>
      <w:r>
        <w:rPr>
          <w:vertAlign w:val="superscript"/>
        </w:rPr>
        <w:footnoteRef/>
      </w:r>
      <w:r>
        <w:rPr>
          <w:sz w:val="17"/>
          <w:szCs w:val="17"/>
        </w:rPr>
        <w:t xml:space="preserve">SSB. (2018). </w:t>
      </w:r>
      <w:r>
        <w:rPr>
          <w:rStyle w:val="kursiv"/>
          <w:sz w:val="17"/>
          <w:szCs w:val="17"/>
        </w:rPr>
        <w:t>Befolkningsframskrivingene. 2018–2100.</w:t>
      </w:r>
    </w:p>
    <w:p w:rsidR="00D24D21" w:rsidRDefault="00D24D21">
      <w:pPr>
        <w:pStyle w:val="Fotnotetekst"/>
      </w:pPr>
    </w:p>
  </w:footnote>
  <w:footnote w:id="13">
    <w:p w:rsidR="00D24D21" w:rsidRDefault="00D24D21">
      <w:pPr>
        <w:pStyle w:val="Fotnotetekst"/>
        <w:rPr>
          <w:sz w:val="17"/>
          <w:szCs w:val="17"/>
        </w:rPr>
      </w:pPr>
      <w:r>
        <w:rPr>
          <w:vertAlign w:val="superscript"/>
        </w:rPr>
        <w:footnoteRef/>
      </w:r>
      <w:r>
        <w:rPr>
          <w:sz w:val="17"/>
          <w:szCs w:val="17"/>
        </w:rPr>
        <w:t xml:space="preserve">NOU 2015: 1 </w:t>
      </w:r>
      <w:r>
        <w:rPr>
          <w:rStyle w:val="kursiv"/>
          <w:sz w:val="17"/>
          <w:szCs w:val="17"/>
        </w:rPr>
        <w:t>Produktivitet – grunnlag for vekst og velferd</w:t>
      </w:r>
      <w:r>
        <w:rPr>
          <w:sz w:val="17"/>
          <w:szCs w:val="17"/>
        </w:rPr>
        <w:t xml:space="preserve"> og NOU 2016: 3 </w:t>
      </w:r>
      <w:r>
        <w:rPr>
          <w:rStyle w:val="kursiv"/>
          <w:sz w:val="17"/>
          <w:szCs w:val="17"/>
        </w:rPr>
        <w:t>Ved et vendepunkt: Fra ressursøkonomi til kun</w:t>
      </w:r>
      <w:r>
        <w:rPr>
          <w:rStyle w:val="kursiv"/>
          <w:sz w:val="17"/>
          <w:szCs w:val="17"/>
        </w:rPr>
        <w:t>n</w:t>
      </w:r>
      <w:r>
        <w:rPr>
          <w:rStyle w:val="kursiv"/>
          <w:sz w:val="17"/>
          <w:szCs w:val="17"/>
        </w:rPr>
        <w:t>skapsøkonomi.</w:t>
      </w:r>
    </w:p>
    <w:p w:rsidR="00D24D21" w:rsidRDefault="00D24D21">
      <w:pPr>
        <w:pStyle w:val="Fotnotetekst"/>
      </w:pPr>
    </w:p>
  </w:footnote>
  <w:footnote w:id="14">
    <w:p w:rsidR="00D24D21" w:rsidRDefault="00D24D21">
      <w:pPr>
        <w:pStyle w:val="Fotnotetekst"/>
        <w:rPr>
          <w:sz w:val="17"/>
          <w:szCs w:val="17"/>
        </w:rPr>
      </w:pPr>
      <w:r>
        <w:rPr>
          <w:vertAlign w:val="superscript"/>
        </w:rPr>
        <w:footnoteRef/>
      </w:r>
      <w:r>
        <w:rPr>
          <w:sz w:val="17"/>
          <w:szCs w:val="17"/>
        </w:rPr>
        <w:t>Målt som veksten i verdiskaping per utførte timeverk i SSBs nasjonalregnskap.</w:t>
      </w:r>
    </w:p>
    <w:p w:rsidR="00D24D21" w:rsidRDefault="00D24D21">
      <w:pPr>
        <w:pStyle w:val="Fotnotetekst"/>
      </w:pPr>
    </w:p>
  </w:footnote>
  <w:footnote w:id="15">
    <w:p w:rsidR="00D24D21" w:rsidRDefault="00D24D21">
      <w:pPr>
        <w:pStyle w:val="Fotnotetekst"/>
        <w:rPr>
          <w:sz w:val="17"/>
          <w:szCs w:val="17"/>
        </w:rPr>
      </w:pPr>
      <w:r>
        <w:rPr>
          <w:vertAlign w:val="superscript"/>
        </w:rPr>
        <w:footnoteRef/>
      </w:r>
      <w:r>
        <w:rPr>
          <w:sz w:val="17"/>
          <w:szCs w:val="17"/>
        </w:rPr>
        <w:t xml:space="preserve">Meld. St. 29 (2016–2017) </w:t>
      </w:r>
      <w:r>
        <w:rPr>
          <w:rStyle w:val="kursiv"/>
          <w:sz w:val="17"/>
          <w:szCs w:val="17"/>
        </w:rPr>
        <w:t>Perspektivmeldingen 2017.</w:t>
      </w:r>
    </w:p>
    <w:p w:rsidR="00D24D21" w:rsidRDefault="00D24D21">
      <w:pPr>
        <w:pStyle w:val="Fotnotetekst"/>
      </w:pPr>
    </w:p>
  </w:footnote>
  <w:footnote w:id="16">
    <w:p w:rsidR="00D24D21" w:rsidRDefault="00D24D21">
      <w:pPr>
        <w:pStyle w:val="Fotnotetekst"/>
        <w:rPr>
          <w:sz w:val="17"/>
          <w:szCs w:val="17"/>
        </w:rPr>
      </w:pPr>
      <w:r>
        <w:rPr>
          <w:vertAlign w:val="superscript"/>
        </w:rPr>
        <w:footnoteRef/>
      </w:r>
      <w:r>
        <w:rPr>
          <w:sz w:val="17"/>
          <w:szCs w:val="17"/>
        </w:rPr>
        <w:t xml:space="preserve">Lindgren, B. (2016). </w:t>
      </w:r>
      <w:r>
        <w:rPr>
          <w:rStyle w:val="kursiv"/>
          <w:sz w:val="17"/>
          <w:szCs w:val="17"/>
        </w:rPr>
        <w:t xml:space="preserve">The rise in life expancy, health trends among the elderly and the demand for health and social care. </w:t>
      </w:r>
    </w:p>
    <w:p w:rsidR="00D24D21" w:rsidRDefault="00D24D21">
      <w:pPr>
        <w:pStyle w:val="Fotnotetekst"/>
      </w:pPr>
      <w:r>
        <w:rPr>
          <w:sz w:val="17"/>
          <w:szCs w:val="17"/>
        </w:rPr>
        <w:t>Working paper 142, Stockholm: Konjunkturinstitutet.</w:t>
      </w:r>
    </w:p>
  </w:footnote>
  <w:footnote w:id="17">
    <w:p w:rsidR="00D24D21" w:rsidRDefault="00D24D21">
      <w:pPr>
        <w:pStyle w:val="Fotnotetekst"/>
        <w:rPr>
          <w:sz w:val="17"/>
          <w:szCs w:val="17"/>
        </w:rPr>
      </w:pPr>
      <w:r>
        <w:rPr>
          <w:vertAlign w:val="superscript"/>
        </w:rPr>
        <w:footnoteRef/>
      </w:r>
      <w:r>
        <w:rPr>
          <w:sz w:val="17"/>
          <w:szCs w:val="17"/>
        </w:rPr>
        <w:t xml:space="preserve">OECD. (2006). </w:t>
      </w:r>
      <w:r>
        <w:rPr>
          <w:rStyle w:val="kursiv"/>
          <w:sz w:val="17"/>
          <w:szCs w:val="17"/>
        </w:rPr>
        <w:t>Projections of OECD health and long-term care expenditure.</w:t>
      </w:r>
    </w:p>
    <w:p w:rsidR="00D24D21" w:rsidRDefault="00D24D21">
      <w:pPr>
        <w:pStyle w:val="Fotnotetekst"/>
      </w:pPr>
    </w:p>
  </w:footnote>
  <w:footnote w:id="18">
    <w:p w:rsidR="00D24D21" w:rsidRDefault="00D24D21">
      <w:pPr>
        <w:pStyle w:val="Fotnotetekst"/>
        <w:rPr>
          <w:sz w:val="17"/>
          <w:szCs w:val="17"/>
        </w:rPr>
      </w:pPr>
      <w:r>
        <w:rPr>
          <w:vertAlign w:val="superscript"/>
        </w:rPr>
        <w:footnoteRef/>
      </w:r>
      <w:r>
        <w:rPr>
          <w:sz w:val="17"/>
          <w:szCs w:val="17"/>
        </w:rPr>
        <w:t xml:space="preserve">OECD. (2017). </w:t>
      </w:r>
      <w:r>
        <w:rPr>
          <w:rStyle w:val="kursiv"/>
          <w:sz w:val="17"/>
          <w:szCs w:val="17"/>
        </w:rPr>
        <w:t>New Health Technologies: Managing access, value and sustainability.</w:t>
      </w:r>
    </w:p>
    <w:p w:rsidR="00D24D21" w:rsidRDefault="00D24D21">
      <w:pPr>
        <w:pStyle w:val="Fotnotetekst"/>
      </w:pPr>
    </w:p>
  </w:footnote>
  <w:footnote w:id="19">
    <w:p w:rsidR="00D24D21" w:rsidRDefault="00D24D21">
      <w:pPr>
        <w:pStyle w:val="Fotnotetekst"/>
        <w:rPr>
          <w:sz w:val="17"/>
          <w:szCs w:val="17"/>
        </w:rPr>
      </w:pPr>
      <w:r>
        <w:rPr>
          <w:vertAlign w:val="superscript"/>
        </w:rPr>
        <w:footnoteRef/>
      </w:r>
      <w:r>
        <w:rPr>
          <w:sz w:val="17"/>
          <w:szCs w:val="17"/>
        </w:rPr>
        <w:t xml:space="preserve">Meld. St. 34 (2015–2016) </w:t>
      </w:r>
      <w:r>
        <w:rPr>
          <w:rStyle w:val="kursiv"/>
          <w:sz w:val="17"/>
          <w:szCs w:val="17"/>
        </w:rPr>
        <w:t>Verdier i pasientens helsetjeneste. Melding om prioritering.</w:t>
      </w:r>
    </w:p>
    <w:p w:rsidR="00D24D21" w:rsidRDefault="00D24D21">
      <w:pPr>
        <w:pStyle w:val="Fotnotetekst"/>
      </w:pPr>
    </w:p>
  </w:footnote>
  <w:footnote w:id="20">
    <w:p w:rsidR="00D24D21" w:rsidRDefault="00D24D21">
      <w:pPr>
        <w:pStyle w:val="Fotnotetekst"/>
        <w:rPr>
          <w:sz w:val="17"/>
          <w:szCs w:val="17"/>
        </w:rPr>
      </w:pPr>
      <w:r>
        <w:rPr>
          <w:vertAlign w:val="superscript"/>
        </w:rPr>
        <w:footnoteRef/>
      </w:r>
      <w:r>
        <w:rPr>
          <w:sz w:val="17"/>
          <w:szCs w:val="17"/>
        </w:rPr>
        <w:t xml:space="preserve">Meld. St. 27 (2016–2017) </w:t>
      </w:r>
      <w:r>
        <w:rPr>
          <w:rStyle w:val="kursiv"/>
          <w:sz w:val="17"/>
          <w:szCs w:val="17"/>
        </w:rPr>
        <w:t>Industrien – grønnere, smartere og mer nyskapende.</w:t>
      </w:r>
    </w:p>
    <w:p w:rsidR="00D24D21" w:rsidRDefault="00D24D21">
      <w:pPr>
        <w:pStyle w:val="Fotnotetekst"/>
      </w:pPr>
    </w:p>
  </w:footnote>
  <w:footnote w:id="21">
    <w:p w:rsidR="00D24D21" w:rsidRDefault="00D24D21">
      <w:pPr>
        <w:pStyle w:val="Fotnotetekst"/>
        <w:rPr>
          <w:sz w:val="17"/>
          <w:szCs w:val="17"/>
        </w:rPr>
      </w:pPr>
      <w:r>
        <w:rPr>
          <w:vertAlign w:val="superscript"/>
        </w:rPr>
        <w:footnoteRef/>
      </w:r>
      <w:r>
        <w:rPr>
          <w:sz w:val="17"/>
          <w:szCs w:val="17"/>
        </w:rPr>
        <w:t xml:space="preserve">WHO. </w:t>
      </w:r>
      <w:r>
        <w:rPr>
          <w:rStyle w:val="kursiv"/>
          <w:sz w:val="17"/>
          <w:szCs w:val="17"/>
        </w:rPr>
        <w:t>What is a health technology?</w:t>
      </w:r>
    </w:p>
    <w:p w:rsidR="00D24D21" w:rsidRDefault="00D24D21">
      <w:pPr>
        <w:pStyle w:val="Fotnotetekst"/>
      </w:pPr>
      <w:r>
        <w:rPr>
          <w:sz w:val="17"/>
          <w:szCs w:val="17"/>
        </w:rPr>
        <w:t xml:space="preserve"> Hentet fra WHO.int.</w:t>
      </w:r>
    </w:p>
  </w:footnote>
  <w:footnote w:id="22">
    <w:p w:rsidR="00D24D21" w:rsidRDefault="00D24D21">
      <w:pPr>
        <w:pStyle w:val="Fotnotetekst"/>
        <w:rPr>
          <w:sz w:val="17"/>
          <w:szCs w:val="17"/>
        </w:rPr>
      </w:pPr>
      <w:r>
        <w:rPr>
          <w:vertAlign w:val="superscript"/>
        </w:rPr>
        <w:footnoteRef/>
      </w:r>
      <w:r>
        <w:rPr>
          <w:sz w:val="17"/>
          <w:szCs w:val="17"/>
        </w:rPr>
        <w:t xml:space="preserve">Teknologirådet. (2018). </w:t>
      </w:r>
      <w:r>
        <w:rPr>
          <w:rStyle w:val="kursiv"/>
          <w:sz w:val="17"/>
          <w:szCs w:val="17"/>
        </w:rPr>
        <w:t>Kunstig intelligens – Muligheter, utfordringer og en plan for Norge.</w:t>
      </w:r>
      <w:r>
        <w:rPr>
          <w:sz w:val="17"/>
          <w:szCs w:val="17"/>
        </w:rPr>
        <w:t xml:space="preserve"> </w:t>
      </w:r>
    </w:p>
    <w:p w:rsidR="00D24D21" w:rsidRDefault="00D24D21">
      <w:pPr>
        <w:pStyle w:val="Fotnotetekst"/>
      </w:pPr>
    </w:p>
  </w:footnote>
  <w:footnote w:id="23">
    <w:p w:rsidR="00D24D21" w:rsidRDefault="00D24D21">
      <w:pPr>
        <w:pStyle w:val="Fotnotetekst"/>
        <w:rPr>
          <w:sz w:val="17"/>
          <w:szCs w:val="17"/>
        </w:rPr>
      </w:pPr>
      <w:r>
        <w:rPr>
          <w:vertAlign w:val="superscript"/>
        </w:rPr>
        <w:footnoteRef/>
      </w:r>
      <w:r>
        <w:rPr>
          <w:sz w:val="17"/>
          <w:szCs w:val="17"/>
        </w:rPr>
        <w:t xml:space="preserve">Kunnskapsdepartementet. (2011). </w:t>
      </w:r>
      <w:r>
        <w:rPr>
          <w:rStyle w:val="kursiv"/>
          <w:sz w:val="17"/>
          <w:szCs w:val="17"/>
        </w:rPr>
        <w:t>Nasjonal strategi for bioteknologi – For framtidas verdiskaping, helse og miljø</w:t>
      </w:r>
      <w:r>
        <w:rPr>
          <w:sz w:val="17"/>
          <w:szCs w:val="17"/>
        </w:rPr>
        <w:t>.</w:t>
      </w:r>
    </w:p>
    <w:p w:rsidR="00D24D21" w:rsidRDefault="00D24D21">
      <w:pPr>
        <w:pStyle w:val="Fotnotetekst"/>
      </w:pPr>
    </w:p>
  </w:footnote>
  <w:footnote w:id="24">
    <w:p w:rsidR="00D24D21" w:rsidRDefault="00D24D21">
      <w:pPr>
        <w:pStyle w:val="Fotnotetekst"/>
        <w:rPr>
          <w:sz w:val="17"/>
          <w:szCs w:val="17"/>
        </w:rPr>
      </w:pPr>
      <w:r>
        <w:rPr>
          <w:vertAlign w:val="superscript"/>
        </w:rPr>
        <w:footnoteRef/>
      </w:r>
      <w:r>
        <w:rPr>
          <w:sz w:val="17"/>
          <w:szCs w:val="17"/>
        </w:rPr>
        <w:t xml:space="preserve">Nærings- og handelsdepartementet. (2012). </w:t>
      </w:r>
      <w:r>
        <w:rPr>
          <w:rStyle w:val="kursiv"/>
          <w:sz w:val="17"/>
          <w:szCs w:val="17"/>
        </w:rPr>
        <w:t>Regjeringens FoU-strategi for nanoteknologi 2012–2021.</w:t>
      </w:r>
    </w:p>
    <w:p w:rsidR="00D24D21" w:rsidRDefault="00D24D21">
      <w:pPr>
        <w:pStyle w:val="Fotnotetekst"/>
      </w:pPr>
    </w:p>
  </w:footnote>
  <w:footnote w:id="25">
    <w:p w:rsidR="00D24D21" w:rsidRDefault="00D24D21">
      <w:pPr>
        <w:pStyle w:val="Fotnotetekst"/>
        <w:rPr>
          <w:sz w:val="17"/>
          <w:szCs w:val="17"/>
        </w:rPr>
      </w:pPr>
      <w:r>
        <w:rPr>
          <w:vertAlign w:val="superscript"/>
        </w:rPr>
        <w:footnoteRef/>
      </w:r>
      <w:r>
        <w:rPr>
          <w:sz w:val="17"/>
          <w:szCs w:val="17"/>
        </w:rPr>
        <w:t xml:space="preserve">OECD (2016). OECD </w:t>
      </w:r>
      <w:r>
        <w:rPr>
          <w:rStyle w:val="kursiv"/>
          <w:sz w:val="17"/>
          <w:szCs w:val="17"/>
        </w:rPr>
        <w:t>Science, Technology and Innovation Outlook 2016.</w:t>
      </w:r>
    </w:p>
    <w:p w:rsidR="00D24D21" w:rsidRDefault="00D24D21">
      <w:pPr>
        <w:pStyle w:val="Fotnotetekst"/>
      </w:pPr>
    </w:p>
  </w:footnote>
  <w:footnote w:id="26">
    <w:p w:rsidR="00D24D21" w:rsidRDefault="00D24D21">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D24D21" w:rsidRDefault="00D24D21">
      <w:pPr>
        <w:pStyle w:val="Fotnotetekst"/>
      </w:pPr>
    </w:p>
  </w:footnote>
  <w:footnote w:id="27">
    <w:p w:rsidR="00D24D21" w:rsidRDefault="00D24D21">
      <w:pPr>
        <w:pStyle w:val="Fotnotetekst"/>
        <w:rPr>
          <w:sz w:val="17"/>
          <w:szCs w:val="17"/>
        </w:rPr>
      </w:pPr>
      <w:r>
        <w:rPr>
          <w:vertAlign w:val="superscript"/>
        </w:rPr>
        <w:footnoteRef/>
      </w:r>
      <w:r>
        <w:rPr>
          <w:sz w:val="17"/>
          <w:szCs w:val="17"/>
        </w:rPr>
        <w:t xml:space="preserve">The World Bank. (2018) </w:t>
      </w:r>
      <w:r>
        <w:rPr>
          <w:rStyle w:val="kursiv"/>
          <w:sz w:val="17"/>
          <w:szCs w:val="17"/>
        </w:rPr>
        <w:t>Doing Business 2019: Training for Reform</w:t>
      </w:r>
      <w:r>
        <w:rPr>
          <w:sz w:val="17"/>
          <w:szCs w:val="17"/>
        </w:rPr>
        <w:t>. Washington DC: World Bank Publications.</w:t>
      </w:r>
    </w:p>
    <w:p w:rsidR="00D24D21" w:rsidRDefault="00D24D21">
      <w:pPr>
        <w:pStyle w:val="Fotnotetekst"/>
      </w:pPr>
    </w:p>
  </w:footnote>
  <w:footnote w:id="28">
    <w:p w:rsidR="00D24D21" w:rsidRDefault="00D24D21">
      <w:pPr>
        <w:pStyle w:val="Fotnotetekst"/>
        <w:rPr>
          <w:sz w:val="17"/>
          <w:szCs w:val="17"/>
        </w:rPr>
      </w:pPr>
      <w:r>
        <w:rPr>
          <w:vertAlign w:val="superscript"/>
        </w:rPr>
        <w:footnoteRef/>
      </w:r>
      <w:r>
        <w:rPr>
          <w:sz w:val="17"/>
          <w:szCs w:val="17"/>
        </w:rPr>
        <w:t>OECD. (2017). OECD Review of Innovation Policy Norway.</w:t>
      </w:r>
    </w:p>
    <w:p w:rsidR="00D24D21" w:rsidRDefault="00D24D21">
      <w:pPr>
        <w:pStyle w:val="Fotnotetekst"/>
      </w:pPr>
    </w:p>
  </w:footnote>
  <w:footnote w:id="29">
    <w:p w:rsidR="00D24D21" w:rsidRDefault="00D24D21">
      <w:pPr>
        <w:pStyle w:val="Fotnotetekst"/>
        <w:rPr>
          <w:sz w:val="17"/>
          <w:szCs w:val="17"/>
        </w:rPr>
      </w:pPr>
      <w:r>
        <w:rPr>
          <w:vertAlign w:val="superscript"/>
        </w:rPr>
        <w:footnoteRef/>
      </w:r>
      <w:r>
        <w:rPr>
          <w:sz w:val="17"/>
          <w:szCs w:val="17"/>
        </w:rPr>
        <w:t>«Kun én gang»-prinsippet er at forvaltningen skal dele og gjenbruke informasjon om forhold som brukeren allerede har opplyst om, istedenfor å spørre brukeren på nytt.</w:t>
      </w:r>
    </w:p>
    <w:p w:rsidR="00D24D21" w:rsidRDefault="00D24D21">
      <w:pPr>
        <w:pStyle w:val="Fotnotetekst"/>
      </w:pPr>
    </w:p>
  </w:footnote>
  <w:footnote w:id="30">
    <w:p w:rsidR="00D24D21" w:rsidRDefault="00D24D21">
      <w:pPr>
        <w:pStyle w:val="Fotnotetekst"/>
        <w:rPr>
          <w:rStyle w:val="kursiv"/>
          <w:sz w:val="17"/>
          <w:szCs w:val="17"/>
        </w:rPr>
      </w:pPr>
      <w:r>
        <w:rPr>
          <w:vertAlign w:val="superscript"/>
        </w:rPr>
        <w:footnoteRef/>
      </w:r>
      <w:r>
        <w:rPr>
          <w:sz w:val="17"/>
          <w:szCs w:val="17"/>
        </w:rPr>
        <w:t>Meld. St. 1 (2016–2017)</w:t>
      </w:r>
      <w:r>
        <w:rPr>
          <w:rStyle w:val="kursiv"/>
          <w:sz w:val="17"/>
          <w:szCs w:val="17"/>
        </w:rPr>
        <w:t xml:space="preserve"> Nasjonalbudsjettet 2017</w:t>
      </w:r>
    </w:p>
    <w:p w:rsidR="00D24D21" w:rsidRDefault="00D24D21">
      <w:pPr>
        <w:pStyle w:val="Fotnotetekst"/>
      </w:pPr>
      <w:r>
        <w:rPr>
          <w:rStyle w:val="kursiv"/>
          <w:sz w:val="17"/>
          <w:szCs w:val="17"/>
        </w:rPr>
        <w:t>.</w:t>
      </w:r>
    </w:p>
  </w:footnote>
  <w:footnote w:id="31">
    <w:p w:rsidR="00D24D21" w:rsidRDefault="00D24D21">
      <w:pPr>
        <w:pStyle w:val="Fotnotetekst"/>
        <w:rPr>
          <w:sz w:val="17"/>
          <w:szCs w:val="17"/>
        </w:rPr>
      </w:pPr>
      <w:r>
        <w:rPr>
          <w:vertAlign w:val="superscript"/>
        </w:rPr>
        <w:footnoteRef/>
      </w:r>
      <w:r>
        <w:rPr>
          <w:sz w:val="17"/>
          <w:szCs w:val="17"/>
        </w:rPr>
        <w:t>Meld. St. 27 (2015–2016)</w:t>
      </w:r>
      <w:r>
        <w:rPr>
          <w:rStyle w:val="kursiv"/>
          <w:sz w:val="17"/>
          <w:szCs w:val="17"/>
        </w:rPr>
        <w:t xml:space="preserve"> Digital agenda for Norge.</w:t>
      </w:r>
    </w:p>
    <w:p w:rsidR="00D24D21" w:rsidRDefault="00D24D21">
      <w:pPr>
        <w:pStyle w:val="Fotnotetekst"/>
      </w:pPr>
    </w:p>
  </w:footnote>
  <w:footnote w:id="32">
    <w:p w:rsidR="00D24D21" w:rsidRDefault="00D24D21">
      <w:pPr>
        <w:pStyle w:val="Fotnotetekst"/>
        <w:rPr>
          <w:sz w:val="17"/>
          <w:szCs w:val="17"/>
        </w:rPr>
      </w:pPr>
      <w:r>
        <w:rPr>
          <w:vertAlign w:val="superscript"/>
        </w:rPr>
        <w:footnoteRef/>
      </w:r>
      <w:r>
        <w:rPr>
          <w:rStyle w:val="kursiv"/>
          <w:sz w:val="17"/>
          <w:szCs w:val="17"/>
        </w:rPr>
        <w:t>Smartere innkjøp – effektive og profesjonelle offentlige anskaffelser</w:t>
      </w:r>
      <w:r>
        <w:rPr>
          <w:sz w:val="17"/>
          <w:szCs w:val="17"/>
        </w:rPr>
        <w:t>.</w:t>
      </w:r>
    </w:p>
    <w:p w:rsidR="00D24D21" w:rsidRDefault="00D24D21">
      <w:pPr>
        <w:pStyle w:val="Fotnotetekst"/>
      </w:pPr>
    </w:p>
  </w:footnote>
  <w:footnote w:id="33">
    <w:p w:rsidR="00D24D21" w:rsidRDefault="00D24D21">
      <w:pPr>
        <w:pStyle w:val="Fotnotetekst"/>
        <w:rPr>
          <w:sz w:val="17"/>
          <w:szCs w:val="17"/>
        </w:rPr>
      </w:pPr>
      <w:r>
        <w:rPr>
          <w:vertAlign w:val="superscript"/>
        </w:rPr>
        <w:footnoteRef/>
      </w:r>
      <w:r>
        <w:rPr>
          <w:sz w:val="17"/>
          <w:szCs w:val="17"/>
        </w:rPr>
        <w:t xml:space="preserve">Meld. St. 34 (2015–2016) </w:t>
      </w:r>
      <w:r>
        <w:rPr>
          <w:rStyle w:val="kursiv"/>
          <w:sz w:val="17"/>
          <w:szCs w:val="17"/>
        </w:rPr>
        <w:t>Verdier i pasientens helsetjeneste - Melding om prioritering.</w:t>
      </w:r>
    </w:p>
    <w:p w:rsidR="00D24D21" w:rsidRDefault="00D24D21">
      <w:pPr>
        <w:pStyle w:val="Fotnotetekst"/>
      </w:pPr>
    </w:p>
  </w:footnote>
  <w:footnote w:id="34">
    <w:p w:rsidR="00D24D21" w:rsidRDefault="00D24D21">
      <w:pPr>
        <w:pStyle w:val="Fotnotetekst"/>
        <w:rPr>
          <w:sz w:val="17"/>
          <w:szCs w:val="17"/>
        </w:rPr>
      </w:pPr>
      <w:r>
        <w:rPr>
          <w:vertAlign w:val="superscript"/>
        </w:rPr>
        <w:footnoteRef/>
      </w:r>
      <w:r>
        <w:rPr>
          <w:sz w:val="17"/>
          <w:szCs w:val="17"/>
        </w:rPr>
        <w:t>Resultatene er tilgjengelig på helseomsorg21monitor.no.</w:t>
      </w:r>
    </w:p>
    <w:p w:rsidR="00D24D21" w:rsidRDefault="00D24D21">
      <w:pPr>
        <w:pStyle w:val="Fotnotetekst"/>
      </w:pPr>
    </w:p>
  </w:footnote>
  <w:footnote w:id="35">
    <w:p w:rsidR="00D24D21" w:rsidRDefault="00D24D21">
      <w:pPr>
        <w:pStyle w:val="Fotnotetekst"/>
        <w:rPr>
          <w:sz w:val="17"/>
          <w:szCs w:val="17"/>
        </w:rPr>
      </w:pPr>
      <w:r>
        <w:rPr>
          <w:vertAlign w:val="superscript"/>
        </w:rPr>
        <w:footnoteRef/>
      </w:r>
      <w:r>
        <w:rPr>
          <w:sz w:val="17"/>
          <w:szCs w:val="17"/>
        </w:rPr>
        <w:t>En 21-prosess er et aktørdrevet nasjonalt strategiarbeid på oppdrag fra regjering eller departement for å fremme forskningsbasert verdiskaping og utvikling på viktige samfunnsområder.</w:t>
      </w:r>
    </w:p>
    <w:p w:rsidR="00D24D21" w:rsidRDefault="00D24D21">
      <w:pPr>
        <w:pStyle w:val="Fotnotetekst"/>
      </w:pPr>
    </w:p>
  </w:footnote>
  <w:footnote w:id="36">
    <w:p w:rsidR="00D24D21" w:rsidRDefault="00D24D21">
      <w:pPr>
        <w:pStyle w:val="Fotnotetekst"/>
        <w:rPr>
          <w:sz w:val="17"/>
          <w:szCs w:val="17"/>
        </w:rPr>
      </w:pPr>
      <w:r>
        <w:rPr>
          <w:vertAlign w:val="superscript"/>
        </w:rPr>
        <w:footnoteRef/>
      </w:r>
      <w:r>
        <w:rPr>
          <w:sz w:val="17"/>
          <w:szCs w:val="17"/>
        </w:rPr>
        <w:t xml:space="preserve">HOD og KD. (2017). </w:t>
      </w:r>
      <w:r>
        <w:rPr>
          <w:rStyle w:val="kursiv"/>
          <w:sz w:val="17"/>
          <w:szCs w:val="17"/>
        </w:rPr>
        <w:t>Samordning mellom universiteter og helseforetak. Identifikasjon av utfordringsbilder med forslag til løsninger</w:t>
      </w:r>
      <w:r>
        <w:rPr>
          <w:sz w:val="17"/>
          <w:szCs w:val="17"/>
        </w:rPr>
        <w:t>.</w:t>
      </w:r>
    </w:p>
    <w:p w:rsidR="00D24D21" w:rsidRDefault="00D24D21">
      <w:pPr>
        <w:pStyle w:val="Fotnotetekst"/>
      </w:pPr>
    </w:p>
  </w:footnote>
  <w:footnote w:id="37">
    <w:p w:rsidR="00D24D21" w:rsidRDefault="00D24D21">
      <w:pPr>
        <w:pStyle w:val="Fotnotetekst"/>
        <w:rPr>
          <w:sz w:val="17"/>
          <w:szCs w:val="17"/>
        </w:rPr>
      </w:pPr>
      <w:r>
        <w:rPr>
          <w:vertAlign w:val="superscript"/>
        </w:rPr>
        <w:footnoteRef/>
      </w:r>
      <w:r>
        <w:rPr>
          <w:sz w:val="17"/>
          <w:szCs w:val="17"/>
        </w:rPr>
        <w:t>NIFUs statsbudsjettanalyse. Hentet fra nifu.no.</w:t>
      </w:r>
    </w:p>
    <w:p w:rsidR="00D24D21" w:rsidRDefault="00D24D21">
      <w:pPr>
        <w:pStyle w:val="Fotnotetekst"/>
      </w:pPr>
    </w:p>
  </w:footnote>
  <w:footnote w:id="38">
    <w:p w:rsidR="00D24D21" w:rsidRDefault="00D24D21">
      <w:pPr>
        <w:pStyle w:val="Fotnotetekst"/>
        <w:rPr>
          <w:sz w:val="17"/>
          <w:szCs w:val="17"/>
        </w:rPr>
      </w:pPr>
      <w:r>
        <w:rPr>
          <w:vertAlign w:val="superscript"/>
        </w:rPr>
        <w:footnoteRef/>
      </w:r>
      <w:r>
        <w:rPr>
          <w:sz w:val="17"/>
          <w:szCs w:val="17"/>
        </w:rPr>
        <w:t>Basert på FoU prosjekter i sektor næringsliv fra 2007–2017, med støtte fra Norges forskningsråd, der det ble gjort en sammenli</w:t>
      </w:r>
      <w:r>
        <w:rPr>
          <w:sz w:val="17"/>
          <w:szCs w:val="17"/>
        </w:rPr>
        <w:t>g</w:t>
      </w:r>
      <w:r>
        <w:rPr>
          <w:sz w:val="17"/>
          <w:szCs w:val="17"/>
        </w:rPr>
        <w:t>ning av samarbeidspartnere i prosjekter merket med «Bedre helse og helsetjenester», «Energi» og «Marin » i Forskningsrådets merkesy</w:t>
      </w:r>
      <w:r>
        <w:rPr>
          <w:sz w:val="17"/>
          <w:szCs w:val="17"/>
        </w:rPr>
        <w:t>s</w:t>
      </w:r>
      <w:r>
        <w:rPr>
          <w:sz w:val="17"/>
          <w:szCs w:val="17"/>
        </w:rPr>
        <w:t>tem.</w:t>
      </w:r>
    </w:p>
    <w:p w:rsidR="00D24D21" w:rsidRDefault="00D24D21">
      <w:pPr>
        <w:pStyle w:val="Fotnotetekst"/>
      </w:pPr>
    </w:p>
  </w:footnote>
  <w:footnote w:id="39">
    <w:p w:rsidR="00D24D21" w:rsidRDefault="00D24D21">
      <w:pPr>
        <w:pStyle w:val="Fotnotetekst"/>
        <w:rPr>
          <w:sz w:val="17"/>
          <w:szCs w:val="17"/>
        </w:rPr>
      </w:pPr>
      <w:r>
        <w:rPr>
          <w:vertAlign w:val="superscript"/>
        </w:rPr>
        <w:footnoteRef/>
      </w:r>
      <w:r>
        <w:rPr>
          <w:sz w:val="17"/>
          <w:szCs w:val="17"/>
        </w:rPr>
        <w:t>Basert på tall fra Innovasjon Norge og Norges Forskningsråd.</w:t>
      </w:r>
    </w:p>
    <w:p w:rsidR="00D24D21" w:rsidRDefault="00D24D21">
      <w:pPr>
        <w:pStyle w:val="Fotnotetekst"/>
      </w:pPr>
    </w:p>
  </w:footnote>
  <w:footnote w:id="40">
    <w:p w:rsidR="00D24D21" w:rsidRDefault="00D24D21">
      <w:pPr>
        <w:pStyle w:val="Fotnotetekst"/>
        <w:rPr>
          <w:sz w:val="17"/>
          <w:szCs w:val="17"/>
        </w:rPr>
      </w:pPr>
      <w:r>
        <w:rPr>
          <w:vertAlign w:val="superscript"/>
        </w:rPr>
        <w:footnoteRef/>
      </w:r>
      <w:r>
        <w:rPr>
          <w:sz w:val="17"/>
          <w:szCs w:val="17"/>
        </w:rPr>
        <w:t>Dette baseres på Norges forskningsråds merkesystem for prosjekter som gjør det mulig å sortere tildelte midler i flere dime</w:t>
      </w:r>
      <w:r>
        <w:rPr>
          <w:sz w:val="17"/>
          <w:szCs w:val="17"/>
        </w:rPr>
        <w:t>n</w:t>
      </w:r>
      <w:r>
        <w:rPr>
          <w:sz w:val="17"/>
          <w:szCs w:val="17"/>
        </w:rPr>
        <w:t>sjoner. Datagrunnlaget her er basert på Forskningsrådets temamerking «Helse og omsorg», «Energi» og næringstema «M</w:t>
      </w:r>
      <w:r>
        <w:rPr>
          <w:sz w:val="17"/>
          <w:szCs w:val="17"/>
        </w:rPr>
        <w:t>a</w:t>
      </w:r>
      <w:r>
        <w:rPr>
          <w:sz w:val="17"/>
          <w:szCs w:val="17"/>
        </w:rPr>
        <w:t>rin».</w:t>
      </w:r>
    </w:p>
    <w:p w:rsidR="00D24D21" w:rsidRDefault="00D24D21">
      <w:pPr>
        <w:pStyle w:val="Fotnotetekst"/>
      </w:pPr>
    </w:p>
  </w:footnote>
  <w:footnote w:id="41">
    <w:p w:rsidR="00D24D21" w:rsidRDefault="00D24D21">
      <w:pPr>
        <w:pStyle w:val="Fotnotetekst"/>
        <w:rPr>
          <w:sz w:val="17"/>
          <w:szCs w:val="17"/>
        </w:rPr>
      </w:pPr>
      <w:r>
        <w:rPr>
          <w:vertAlign w:val="superscript"/>
        </w:rPr>
        <w:footnoteRef/>
      </w:r>
      <w:r>
        <w:rPr>
          <w:sz w:val="17"/>
          <w:szCs w:val="17"/>
        </w:rPr>
        <w:t xml:space="preserve">Report for the Research Council of Norway, 2018 Damvad Analytics, Cambridge University and Rand Europe. </w:t>
      </w:r>
      <w:r>
        <w:rPr>
          <w:rStyle w:val="kursiv"/>
          <w:sz w:val="17"/>
          <w:szCs w:val="17"/>
        </w:rPr>
        <w:t>Evaluation of the Scheme for Research-based Innovation (SFI).</w:t>
      </w:r>
    </w:p>
    <w:p w:rsidR="00D24D21" w:rsidRDefault="00D24D21">
      <w:pPr>
        <w:pStyle w:val="Fotnotetekst"/>
      </w:pPr>
    </w:p>
  </w:footnote>
  <w:footnote w:id="42">
    <w:p w:rsidR="00D24D21" w:rsidRDefault="00D24D21">
      <w:pPr>
        <w:pStyle w:val="Fotnotetekst"/>
        <w:rPr>
          <w:sz w:val="17"/>
          <w:szCs w:val="17"/>
        </w:rPr>
      </w:pPr>
      <w:r>
        <w:rPr>
          <w:vertAlign w:val="superscript"/>
        </w:rPr>
        <w:footnoteRef/>
      </w:r>
      <w:r>
        <w:rPr>
          <w:sz w:val="17"/>
          <w:szCs w:val="17"/>
        </w:rPr>
        <w:t xml:space="preserve">NOU 2018: 5 </w:t>
      </w:r>
      <w:r>
        <w:rPr>
          <w:rStyle w:val="kursiv"/>
          <w:sz w:val="17"/>
          <w:szCs w:val="17"/>
        </w:rPr>
        <w:t>Kapital i omstillingens tid.</w:t>
      </w:r>
    </w:p>
    <w:p w:rsidR="00D24D21" w:rsidRDefault="00D24D21">
      <w:pPr>
        <w:pStyle w:val="Fotnotetekst"/>
      </w:pPr>
    </w:p>
  </w:footnote>
  <w:footnote w:id="43">
    <w:p w:rsidR="00D24D21" w:rsidRDefault="00D24D21">
      <w:pPr>
        <w:pStyle w:val="Fotnotetekst"/>
        <w:rPr>
          <w:sz w:val="17"/>
          <w:szCs w:val="17"/>
        </w:rPr>
      </w:pPr>
      <w:r>
        <w:rPr>
          <w:vertAlign w:val="superscript"/>
        </w:rPr>
        <w:footnoteRef/>
      </w:r>
      <w:r>
        <w:rPr>
          <w:sz w:val="17"/>
          <w:szCs w:val="17"/>
        </w:rPr>
        <w:t xml:space="preserve">Forretningsengel brukes som betegnelse på en privatperson som enten alene eller i syndikat med andre investerer egne penger i en bedrift i oppstartsfasen. En forretningsengel følger gjerne opp investeringen gjennom å stille opp som mentor og gjøre sin kompetanse, erfaring og støtte tilgjengelig for bedriften. </w:t>
      </w:r>
    </w:p>
    <w:p w:rsidR="00D24D21" w:rsidRDefault="00D24D21">
      <w:pPr>
        <w:pStyle w:val="Fotnotetekst"/>
      </w:pPr>
    </w:p>
  </w:footnote>
  <w:footnote w:id="44">
    <w:p w:rsidR="00D24D21" w:rsidRDefault="00D24D21">
      <w:pPr>
        <w:pStyle w:val="Fotnotetekst"/>
        <w:rPr>
          <w:sz w:val="17"/>
          <w:szCs w:val="17"/>
        </w:rPr>
      </w:pPr>
      <w:r>
        <w:rPr>
          <w:vertAlign w:val="superscript"/>
        </w:rPr>
        <w:footnoteRef/>
      </w:r>
      <w:r>
        <w:rPr>
          <w:sz w:val="17"/>
          <w:szCs w:val="17"/>
        </w:rPr>
        <w:t xml:space="preserve">Jakobsen, E.W. m.fl. (2018). </w:t>
      </w:r>
      <w:r>
        <w:rPr>
          <w:rStyle w:val="kursiv"/>
          <w:sz w:val="17"/>
          <w:szCs w:val="17"/>
        </w:rPr>
        <w:t>Helsenæringens verdi 2018</w:t>
      </w:r>
      <w:r>
        <w:rPr>
          <w:sz w:val="17"/>
          <w:szCs w:val="17"/>
        </w:rPr>
        <w:t>. Oslo: Menon Economics.</w:t>
      </w:r>
    </w:p>
    <w:p w:rsidR="00D24D21" w:rsidRDefault="00D24D21">
      <w:pPr>
        <w:pStyle w:val="Fotnotetekst"/>
      </w:pPr>
    </w:p>
  </w:footnote>
  <w:footnote w:id="45">
    <w:p w:rsidR="00D24D21" w:rsidRDefault="00D24D21">
      <w:pPr>
        <w:pStyle w:val="Fotnotetekst"/>
        <w:rPr>
          <w:sz w:val="17"/>
          <w:szCs w:val="17"/>
        </w:rPr>
      </w:pPr>
      <w:r>
        <w:rPr>
          <w:vertAlign w:val="superscript"/>
        </w:rPr>
        <w:footnoteRef/>
      </w:r>
      <w:r>
        <w:rPr>
          <w:sz w:val="17"/>
          <w:szCs w:val="17"/>
        </w:rPr>
        <w:t xml:space="preserve">Den formelle definisjonen av ordet «standard» er </w:t>
      </w:r>
      <w:r>
        <w:rPr>
          <w:rStyle w:val="kursiv"/>
          <w:sz w:val="17"/>
          <w:szCs w:val="17"/>
        </w:rPr>
        <w:t>«Standard dokument til felles og gjentatt bruk, fremkommet ved konsensus og vedtatt av et anerkjent organ som gir regler, retningslinjer eller kjennetegn for aktiviteter eller resultatene av dem for å oppnå opt</w:t>
      </w:r>
      <w:r>
        <w:rPr>
          <w:rStyle w:val="kursiv"/>
          <w:sz w:val="17"/>
          <w:szCs w:val="17"/>
        </w:rPr>
        <w:t>i</w:t>
      </w:r>
      <w:r>
        <w:rPr>
          <w:rStyle w:val="kursiv"/>
          <w:sz w:val="17"/>
          <w:szCs w:val="17"/>
        </w:rPr>
        <w:t>mal orden i en gitt sammenheng.»</w:t>
      </w:r>
      <w:r>
        <w:rPr>
          <w:sz w:val="17"/>
          <w:szCs w:val="17"/>
        </w:rPr>
        <w:t xml:space="preserve"> (Definisjonen er hentet fra NS-EN 45020:2006, pkt. 3.2 og ISO/IEC Guide 2:2004.).</w:t>
      </w:r>
    </w:p>
    <w:p w:rsidR="00D24D21" w:rsidRDefault="00D24D21">
      <w:pPr>
        <w:pStyle w:val="Fotnotetekst"/>
      </w:pPr>
    </w:p>
  </w:footnote>
  <w:footnote w:id="46">
    <w:p w:rsidR="00D24D21" w:rsidRDefault="00D24D21">
      <w:pPr>
        <w:pStyle w:val="Fotnotetekst"/>
        <w:rPr>
          <w:sz w:val="17"/>
          <w:szCs w:val="17"/>
        </w:rPr>
      </w:pPr>
      <w:r>
        <w:rPr>
          <w:vertAlign w:val="superscript"/>
        </w:rPr>
        <w:footnoteRef/>
      </w:r>
      <w:r>
        <w:rPr>
          <w:sz w:val="17"/>
          <w:szCs w:val="17"/>
        </w:rPr>
        <w:t>Standard Norge: standard.no.</w:t>
      </w:r>
    </w:p>
    <w:p w:rsidR="00D24D21" w:rsidRDefault="00D24D21">
      <w:pPr>
        <w:pStyle w:val="Fotnotetekst"/>
      </w:pPr>
    </w:p>
  </w:footnote>
  <w:footnote w:id="47">
    <w:p w:rsidR="00D24D21" w:rsidRDefault="00D24D21">
      <w:pPr>
        <w:pStyle w:val="Fotnotetekst"/>
        <w:rPr>
          <w:sz w:val="17"/>
          <w:szCs w:val="17"/>
        </w:rPr>
      </w:pPr>
      <w:r>
        <w:rPr>
          <w:vertAlign w:val="superscript"/>
        </w:rPr>
        <w:footnoteRef/>
      </w:r>
      <w:r>
        <w:rPr>
          <w:sz w:val="17"/>
          <w:szCs w:val="17"/>
        </w:rPr>
        <w:t>Hovedinstruks for Direktoratet for e-helse.</w:t>
      </w:r>
    </w:p>
    <w:p w:rsidR="00D24D21" w:rsidRDefault="00D24D21">
      <w:pPr>
        <w:pStyle w:val="Fotnotetekst"/>
      </w:pPr>
    </w:p>
  </w:footnote>
  <w:footnote w:id="48">
    <w:p w:rsidR="00D24D21" w:rsidRDefault="00D24D21">
      <w:pPr>
        <w:pStyle w:val="Fotnotetekst"/>
        <w:rPr>
          <w:sz w:val="17"/>
          <w:szCs w:val="17"/>
        </w:rPr>
      </w:pPr>
      <w:r>
        <w:rPr>
          <w:vertAlign w:val="superscript"/>
        </w:rPr>
        <w:footnoteRef/>
      </w:r>
      <w:r>
        <w:rPr>
          <w:sz w:val="17"/>
          <w:szCs w:val="17"/>
        </w:rPr>
        <w:t>Norwegian Clinical Research Infrastructures Network.</w:t>
      </w:r>
    </w:p>
    <w:p w:rsidR="00D24D21" w:rsidRDefault="00D24D21">
      <w:pPr>
        <w:pStyle w:val="Fotnotetekst"/>
      </w:pPr>
    </w:p>
  </w:footnote>
  <w:footnote w:id="49">
    <w:p w:rsidR="00D24D21" w:rsidRDefault="00D24D21">
      <w:pPr>
        <w:pStyle w:val="Fotnotetekst"/>
        <w:rPr>
          <w:sz w:val="17"/>
          <w:szCs w:val="17"/>
        </w:rPr>
      </w:pPr>
      <w:r>
        <w:rPr>
          <w:vertAlign w:val="superscript"/>
        </w:rPr>
        <w:footnoteRef/>
      </w:r>
      <w:r>
        <w:rPr>
          <w:sz w:val="17"/>
          <w:szCs w:val="17"/>
        </w:rPr>
        <w:t xml:space="preserve">De regionale helseforetakene. 2018. </w:t>
      </w:r>
      <w:r>
        <w:rPr>
          <w:rStyle w:val="kursiv"/>
          <w:sz w:val="17"/>
          <w:szCs w:val="17"/>
        </w:rPr>
        <w:t>Forskning og innovasjon til pasientens beste</w:t>
      </w:r>
      <w:r>
        <w:rPr>
          <w:sz w:val="17"/>
          <w:szCs w:val="17"/>
        </w:rPr>
        <w:t>. Nasjonal rapport fra spesialisthelsetjenesten.</w:t>
      </w:r>
    </w:p>
    <w:p w:rsidR="00D24D21" w:rsidRDefault="00D24D21">
      <w:pPr>
        <w:pStyle w:val="Fotnotetekst"/>
      </w:pPr>
    </w:p>
  </w:footnote>
  <w:footnote w:id="50">
    <w:p w:rsidR="00D24D21" w:rsidRDefault="00D24D21">
      <w:pPr>
        <w:pStyle w:val="Fotnotetekst"/>
        <w:rPr>
          <w:sz w:val="17"/>
          <w:szCs w:val="17"/>
        </w:rPr>
      </w:pPr>
      <w:r>
        <w:rPr>
          <w:vertAlign w:val="superscript"/>
        </w:rPr>
        <w:footnoteRef/>
      </w:r>
      <w:r>
        <w:rPr>
          <w:rStyle w:val="kursiv"/>
          <w:sz w:val="17"/>
          <w:szCs w:val="17"/>
        </w:rPr>
        <w:t>Smartere innkjøp – effektive og profesjonelle anskaffelser</w:t>
      </w:r>
      <w:r>
        <w:rPr>
          <w:sz w:val="17"/>
          <w:szCs w:val="17"/>
        </w:rPr>
        <w:t>.</w:t>
      </w:r>
    </w:p>
    <w:p w:rsidR="00D24D21" w:rsidRDefault="00D24D21">
      <w:pPr>
        <w:pStyle w:val="Fotnotetekst"/>
      </w:pPr>
    </w:p>
  </w:footnote>
  <w:footnote w:id="51">
    <w:p w:rsidR="00D24D21" w:rsidRDefault="00D24D21">
      <w:pPr>
        <w:pStyle w:val="Fotnotetekst"/>
        <w:rPr>
          <w:sz w:val="17"/>
          <w:szCs w:val="17"/>
        </w:rPr>
      </w:pPr>
      <w:r>
        <w:rPr>
          <w:vertAlign w:val="superscript"/>
        </w:rPr>
        <w:footnoteRef/>
      </w:r>
      <w:r>
        <w:rPr>
          <w:sz w:val="17"/>
          <w:szCs w:val="17"/>
        </w:rPr>
        <w:t xml:space="preserve">KPMG. (2018). </w:t>
      </w:r>
      <w:r>
        <w:rPr>
          <w:rStyle w:val="kursiv"/>
          <w:sz w:val="17"/>
          <w:szCs w:val="17"/>
        </w:rPr>
        <w:t>Kartlegging av innkjøpssamarbeid i kommune, fylkeskommune og statlige virksomheter.</w:t>
      </w:r>
    </w:p>
    <w:p w:rsidR="00D24D21" w:rsidRDefault="00D24D21">
      <w:pPr>
        <w:pStyle w:val="Fotnotetekst"/>
      </w:pPr>
    </w:p>
  </w:footnote>
  <w:footnote w:id="52">
    <w:p w:rsidR="00D24D21" w:rsidRDefault="00D24D21">
      <w:pPr>
        <w:pStyle w:val="Fotnotetekst"/>
        <w:rPr>
          <w:sz w:val="17"/>
          <w:szCs w:val="17"/>
        </w:rPr>
      </w:pPr>
      <w:r>
        <w:rPr>
          <w:vertAlign w:val="superscript"/>
        </w:rPr>
        <w:footnoteRef/>
      </w:r>
      <w:r>
        <w:rPr>
          <w:sz w:val="17"/>
          <w:szCs w:val="17"/>
        </w:rPr>
        <w:t xml:space="preserve">Rambøll og Inventura. (2014). </w:t>
      </w:r>
      <w:r>
        <w:rPr>
          <w:rStyle w:val="kursiv"/>
          <w:sz w:val="17"/>
          <w:szCs w:val="17"/>
        </w:rPr>
        <w:t>Kostnader, besparelser og effektivisering ved konkurranse.</w:t>
      </w:r>
    </w:p>
    <w:p w:rsidR="00D24D21" w:rsidRDefault="00D24D21">
      <w:pPr>
        <w:pStyle w:val="Fotnotetekst"/>
      </w:pPr>
    </w:p>
  </w:footnote>
  <w:footnote w:id="53">
    <w:p w:rsidR="00D24D21" w:rsidRDefault="00D24D21">
      <w:pPr>
        <w:pStyle w:val="Fotnotetekst"/>
        <w:rPr>
          <w:sz w:val="17"/>
          <w:szCs w:val="17"/>
        </w:rPr>
      </w:pPr>
      <w:r>
        <w:rPr>
          <w:vertAlign w:val="superscript"/>
        </w:rPr>
        <w:footnoteRef/>
      </w:r>
      <w:r>
        <w:rPr>
          <w:sz w:val="17"/>
          <w:szCs w:val="17"/>
        </w:rPr>
        <w:t xml:space="preserve">Oslo Economics. (2016). </w:t>
      </w:r>
      <w:r>
        <w:rPr>
          <w:rStyle w:val="kursiv"/>
          <w:sz w:val="17"/>
          <w:szCs w:val="17"/>
        </w:rPr>
        <w:t>Vurdering av praksis for offentlige anskaffelser av tekniske hjelpemidler.</w:t>
      </w:r>
    </w:p>
    <w:p w:rsidR="00D24D21" w:rsidRDefault="00D24D21">
      <w:pPr>
        <w:pStyle w:val="Fotnotetekst"/>
      </w:pPr>
    </w:p>
  </w:footnote>
  <w:footnote w:id="54">
    <w:p w:rsidR="00D24D21" w:rsidRDefault="00D24D21">
      <w:pPr>
        <w:pStyle w:val="Fotnotetekst"/>
        <w:rPr>
          <w:sz w:val="17"/>
          <w:szCs w:val="17"/>
        </w:rPr>
      </w:pPr>
      <w:r>
        <w:rPr>
          <w:vertAlign w:val="superscript"/>
        </w:rPr>
        <w:footnoteRef/>
      </w:r>
      <w:r>
        <w:rPr>
          <w:sz w:val="17"/>
          <w:szCs w:val="17"/>
        </w:rPr>
        <w:t xml:space="preserve">Skogli, E &amp; Gjems Theie, M. (2017). </w:t>
      </w:r>
      <w:r>
        <w:rPr>
          <w:rStyle w:val="kursiv"/>
          <w:sz w:val="17"/>
          <w:szCs w:val="17"/>
        </w:rPr>
        <w:t>Verdien av kliniske studier i Norge</w:t>
      </w:r>
      <w:r>
        <w:rPr>
          <w:sz w:val="17"/>
          <w:szCs w:val="17"/>
        </w:rPr>
        <w:t>. Oslo: Menon Economics.</w:t>
      </w:r>
    </w:p>
    <w:p w:rsidR="00D24D21" w:rsidRDefault="00D24D21">
      <w:pPr>
        <w:pStyle w:val="Fotnotetekst"/>
      </w:pPr>
    </w:p>
  </w:footnote>
  <w:footnote w:id="55">
    <w:p w:rsidR="00D24D21" w:rsidRDefault="00D24D21">
      <w:pPr>
        <w:pStyle w:val="Fotnotetekst"/>
        <w:rPr>
          <w:sz w:val="17"/>
          <w:szCs w:val="17"/>
        </w:rPr>
      </w:pPr>
      <w:r>
        <w:rPr>
          <w:vertAlign w:val="superscript"/>
        </w:rPr>
        <w:footnoteRef/>
      </w:r>
      <w:r>
        <w:rPr>
          <w:sz w:val="17"/>
          <w:szCs w:val="17"/>
        </w:rPr>
        <w:t>Utarbeidet av NIFU i samarbeid med de regionale helseforetakene.</w:t>
      </w:r>
    </w:p>
    <w:p w:rsidR="00D24D21" w:rsidRDefault="00D24D21">
      <w:pPr>
        <w:pStyle w:val="Fotnotetekst"/>
      </w:pPr>
    </w:p>
  </w:footnote>
  <w:footnote w:id="56">
    <w:p w:rsidR="00D24D21" w:rsidRDefault="00D24D21">
      <w:pPr>
        <w:pStyle w:val="Fotnotetekst"/>
        <w:rPr>
          <w:sz w:val="17"/>
          <w:szCs w:val="17"/>
        </w:rPr>
      </w:pPr>
      <w:r>
        <w:rPr>
          <w:vertAlign w:val="superscript"/>
        </w:rPr>
        <w:footnoteRef/>
      </w:r>
      <w:r>
        <w:rPr>
          <w:sz w:val="17"/>
          <w:szCs w:val="17"/>
        </w:rPr>
        <w:t>Forordning 2016/679, på engelsk General Data Protection Regulation, forkortet GDPR</w:t>
      </w:r>
    </w:p>
    <w:p w:rsidR="00D24D21" w:rsidRDefault="00D24D21">
      <w:pPr>
        <w:pStyle w:val="Fotnotetekst"/>
      </w:pPr>
      <w:r>
        <w:rPr>
          <w:sz w:val="17"/>
          <w:szCs w:val="17"/>
        </w:rPr>
        <w:t>.</w:t>
      </w:r>
    </w:p>
  </w:footnote>
  <w:footnote w:id="57">
    <w:p w:rsidR="00D24D21" w:rsidRDefault="00D24D21">
      <w:pPr>
        <w:pStyle w:val="Fotnotetekst"/>
        <w:rPr>
          <w:sz w:val="17"/>
          <w:szCs w:val="17"/>
        </w:rPr>
      </w:pPr>
      <w:r>
        <w:rPr>
          <w:vertAlign w:val="superscript"/>
        </w:rPr>
        <w:footnoteRef/>
      </w:r>
      <w:r>
        <w:rPr>
          <w:sz w:val="17"/>
          <w:szCs w:val="17"/>
        </w:rPr>
        <w:t xml:space="preserve">Fra 1. januar 2019 er Medtek Norge del av bransjeforeningen for medtek og lab Melanor. </w:t>
      </w:r>
    </w:p>
    <w:p w:rsidR="00D24D21" w:rsidRDefault="00D24D21">
      <w:pPr>
        <w:pStyle w:val="Fotnotetekst"/>
      </w:pPr>
    </w:p>
  </w:footnote>
  <w:footnote w:id="58">
    <w:p w:rsidR="00D24D21" w:rsidRDefault="00D24D21">
      <w:pPr>
        <w:pStyle w:val="Fotnotetekst"/>
        <w:rPr>
          <w:sz w:val="17"/>
          <w:szCs w:val="17"/>
        </w:rPr>
      </w:pPr>
      <w:r>
        <w:rPr>
          <w:vertAlign w:val="superscript"/>
        </w:rPr>
        <w:footnoteRef/>
      </w:r>
      <w:r>
        <w:rPr>
          <w:sz w:val="17"/>
          <w:szCs w:val="17"/>
        </w:rPr>
        <w:t xml:space="preserve">Meld. St. 4 (2018–2019) </w:t>
      </w:r>
      <w:r>
        <w:rPr>
          <w:rStyle w:val="kursiv"/>
          <w:sz w:val="17"/>
          <w:szCs w:val="17"/>
        </w:rPr>
        <w:t>Langtidsplan for forskning og høyere utdanning 2019–2028.</w:t>
      </w:r>
    </w:p>
    <w:p w:rsidR="00D24D21" w:rsidRDefault="00D24D21">
      <w:pPr>
        <w:pStyle w:val="Fotnotetekst"/>
      </w:pPr>
    </w:p>
  </w:footnote>
  <w:footnote w:id="59">
    <w:p w:rsidR="00D24D21" w:rsidRDefault="00D24D21">
      <w:pPr>
        <w:pStyle w:val="Fotnotetekst"/>
        <w:rPr>
          <w:sz w:val="17"/>
          <w:szCs w:val="17"/>
        </w:rPr>
      </w:pPr>
      <w:r>
        <w:rPr>
          <w:vertAlign w:val="superscript"/>
        </w:rPr>
        <w:footnoteRef/>
      </w:r>
      <w:r>
        <w:rPr>
          <w:sz w:val="17"/>
          <w:szCs w:val="17"/>
        </w:rPr>
        <w:t>I EU defineres interoperabilitet som den evne IT-systemer med tilhørende forretningsprosesser har til å utveksle data og dele informasjon og kunnskap.</w:t>
      </w:r>
    </w:p>
    <w:p w:rsidR="00D24D21" w:rsidRDefault="00D24D21">
      <w:pPr>
        <w:pStyle w:val="Fotnotetekst"/>
      </w:pPr>
    </w:p>
  </w:footnote>
  <w:footnote w:id="60">
    <w:p w:rsidR="00D24D21" w:rsidRDefault="00D24D21">
      <w:pPr>
        <w:pStyle w:val="Fotnotetekst"/>
        <w:rPr>
          <w:sz w:val="17"/>
          <w:szCs w:val="17"/>
        </w:rPr>
      </w:pPr>
      <w:r>
        <w:rPr>
          <w:vertAlign w:val="superscript"/>
        </w:rPr>
        <w:footnoteRef/>
      </w:r>
      <w:r>
        <w:rPr>
          <w:sz w:val="17"/>
          <w:szCs w:val="17"/>
        </w:rPr>
        <w:t>Driftsutgiftene omfatter her egenført FoU og omfatter i hovedsak lønn og sosiale utgifter, utgifter til mindre utstyr (inkl. leie), forbruksmateriell mm. Tallene omfatter ikke kapitalutgifter.</w:t>
      </w:r>
    </w:p>
    <w:p w:rsidR="00D24D21" w:rsidRDefault="00D24D21">
      <w:pPr>
        <w:pStyle w:val="Fotnotetekst"/>
      </w:pPr>
    </w:p>
  </w:footnote>
  <w:footnote w:id="61">
    <w:p w:rsidR="00D24D21" w:rsidRDefault="00D24D21">
      <w:pPr>
        <w:pStyle w:val="Fotnotetekst"/>
        <w:rPr>
          <w:sz w:val="17"/>
          <w:szCs w:val="17"/>
        </w:rPr>
      </w:pPr>
      <w:r>
        <w:rPr>
          <w:vertAlign w:val="superscript"/>
        </w:rPr>
        <w:footnoteRef/>
      </w:r>
      <w:r>
        <w:rPr>
          <w:sz w:val="17"/>
          <w:szCs w:val="17"/>
        </w:rPr>
        <w:t>NIFU: FoU-statistikk.</w:t>
      </w:r>
    </w:p>
    <w:p w:rsidR="00D24D21" w:rsidRDefault="00D24D21">
      <w:pPr>
        <w:pStyle w:val="Fotnotetekst"/>
      </w:pPr>
    </w:p>
  </w:footnote>
  <w:footnote w:id="62">
    <w:p w:rsidR="00D24D21" w:rsidRDefault="00D24D21">
      <w:pPr>
        <w:pStyle w:val="Fotnotetekst"/>
        <w:rPr>
          <w:sz w:val="17"/>
          <w:szCs w:val="17"/>
        </w:rPr>
      </w:pPr>
      <w:r>
        <w:rPr>
          <w:vertAlign w:val="superscript"/>
        </w:rPr>
        <w:footnoteRef/>
      </w:r>
      <w:r>
        <w:rPr>
          <w:sz w:val="17"/>
          <w:szCs w:val="17"/>
        </w:rPr>
        <w:t>Tallet inkluderer private, ideelle sykehus med driftsavtale med RHF.</w:t>
      </w:r>
    </w:p>
    <w:p w:rsidR="00D24D21" w:rsidRDefault="00D24D21">
      <w:pPr>
        <w:pStyle w:val="Fotnotetekst"/>
      </w:pPr>
    </w:p>
  </w:footnote>
  <w:footnote w:id="63">
    <w:p w:rsidR="00D24D21" w:rsidRDefault="00D24D21">
      <w:pPr>
        <w:pStyle w:val="Fotnotetekst"/>
        <w:rPr>
          <w:sz w:val="17"/>
          <w:szCs w:val="17"/>
        </w:rPr>
      </w:pPr>
      <w:r>
        <w:rPr>
          <w:vertAlign w:val="superscript"/>
        </w:rPr>
        <w:footnoteRef/>
      </w:r>
      <w:r>
        <w:rPr>
          <w:sz w:val="17"/>
          <w:szCs w:val="17"/>
        </w:rPr>
        <w:t>Dette er basert på om produktet, tjenesten eller prosessen som er tenkt kommersialisert skal bidra til bedre helse eller helsetj</w:t>
      </w:r>
      <w:r>
        <w:rPr>
          <w:sz w:val="17"/>
          <w:szCs w:val="17"/>
        </w:rPr>
        <w:t>e</w:t>
      </w:r>
      <w:r>
        <w:rPr>
          <w:sz w:val="17"/>
          <w:szCs w:val="17"/>
        </w:rPr>
        <w:t>nester.</w:t>
      </w:r>
    </w:p>
    <w:p w:rsidR="00D24D21" w:rsidRDefault="00D24D21">
      <w:pPr>
        <w:pStyle w:val="Fotnotetekst"/>
      </w:pPr>
    </w:p>
  </w:footnote>
  <w:footnote w:id="64">
    <w:p w:rsidR="00D24D21" w:rsidRDefault="00D24D21">
      <w:pPr>
        <w:pStyle w:val="Fotnotetekst"/>
        <w:rPr>
          <w:sz w:val="17"/>
          <w:szCs w:val="17"/>
        </w:rPr>
      </w:pPr>
      <w:r>
        <w:rPr>
          <w:vertAlign w:val="superscript"/>
        </w:rPr>
        <w:footnoteRef/>
      </w:r>
      <w:r>
        <w:rPr>
          <w:sz w:val="17"/>
          <w:szCs w:val="17"/>
        </w:rPr>
        <w:t>Prop. 1 S (2016–2017) Kunnskapsdepartementet.</w:t>
      </w:r>
    </w:p>
    <w:p w:rsidR="00D24D21" w:rsidRDefault="00D24D21">
      <w:pPr>
        <w:pStyle w:val="Fotnotetekst"/>
      </w:pPr>
    </w:p>
  </w:footnote>
  <w:footnote w:id="65">
    <w:p w:rsidR="00D24D21" w:rsidRDefault="00D24D21">
      <w:pPr>
        <w:pStyle w:val="Fotnotetekst"/>
        <w:rPr>
          <w:sz w:val="17"/>
          <w:szCs w:val="17"/>
        </w:rPr>
      </w:pPr>
      <w:r>
        <w:rPr>
          <w:vertAlign w:val="superscript"/>
        </w:rPr>
        <w:footnoteRef/>
      </w:r>
      <w:r>
        <w:rPr>
          <w:sz w:val="17"/>
          <w:szCs w:val="17"/>
        </w:rPr>
        <w:t xml:space="preserve">NOU 2016: 3 </w:t>
      </w:r>
      <w:r>
        <w:rPr>
          <w:rStyle w:val="kursiv"/>
          <w:sz w:val="17"/>
          <w:szCs w:val="17"/>
        </w:rPr>
        <w:t>Ved et vendepunkt: Fra ressursøkonomi til kunnskapsøkonomi – Produktivitetskommisjonens andre rapport</w:t>
      </w:r>
      <w:r>
        <w:rPr>
          <w:sz w:val="17"/>
          <w:szCs w:val="17"/>
        </w:rPr>
        <w:t>.</w:t>
      </w:r>
    </w:p>
    <w:p w:rsidR="00D24D21" w:rsidRDefault="00D24D21">
      <w:pPr>
        <w:pStyle w:val="Fotnotetekst"/>
      </w:pPr>
    </w:p>
  </w:footnote>
  <w:footnote w:id="66">
    <w:p w:rsidR="00D24D21" w:rsidRDefault="00D24D21">
      <w:pPr>
        <w:pStyle w:val="Fotnotetekst"/>
        <w:rPr>
          <w:sz w:val="17"/>
          <w:szCs w:val="17"/>
        </w:rPr>
      </w:pPr>
      <w:r>
        <w:rPr>
          <w:vertAlign w:val="superscript"/>
        </w:rPr>
        <w:footnoteRef/>
      </w:r>
      <w:r>
        <w:rPr>
          <w:sz w:val="17"/>
          <w:szCs w:val="17"/>
        </w:rPr>
        <w:t xml:space="preserve">Dette kalles også ofte «IPR-policydokumenter». IPR er forkortelsen for «intellectual property rights» som på norsk benevnes «immaterialrettigheter». Immaterialrettigheter er nærmere omtalt senere i kapittelet. </w:t>
      </w:r>
    </w:p>
    <w:p w:rsidR="00D24D21" w:rsidRDefault="00D24D21">
      <w:pPr>
        <w:pStyle w:val="Fotnotetekst"/>
      </w:pPr>
    </w:p>
  </w:footnote>
  <w:footnote w:id="67">
    <w:p w:rsidR="00D24D21" w:rsidRDefault="00D24D21">
      <w:pPr>
        <w:pStyle w:val="Fotnotetekst"/>
        <w:rPr>
          <w:sz w:val="17"/>
          <w:szCs w:val="17"/>
        </w:rPr>
      </w:pPr>
      <w:r>
        <w:rPr>
          <w:vertAlign w:val="superscript"/>
        </w:rPr>
        <w:footnoteRef/>
      </w:r>
      <w:r>
        <w:rPr>
          <w:sz w:val="17"/>
          <w:szCs w:val="17"/>
        </w:rPr>
        <w:t xml:space="preserve">Grünfeld, L. m.fl. (2018). </w:t>
      </w:r>
      <w:r>
        <w:rPr>
          <w:rStyle w:val="kursiv"/>
          <w:sz w:val="17"/>
          <w:szCs w:val="17"/>
        </w:rPr>
        <w:t>Insentiver for kommersialisering av forskning</w:t>
      </w:r>
      <w:r>
        <w:rPr>
          <w:sz w:val="17"/>
          <w:szCs w:val="17"/>
        </w:rPr>
        <w:t>. Oslo: Menon Economics.</w:t>
      </w:r>
    </w:p>
    <w:p w:rsidR="00D24D21" w:rsidRDefault="00D24D21">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E4B886"/>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19">
    <w:nsid w:val="61E66E64"/>
    <w:multiLevelType w:val="multilevel"/>
    <w:tmpl w:val="CD340002"/>
    <w:numStyleLink w:val="OverskrifterListeStil"/>
  </w:abstractNum>
  <w:abstractNum w:abstractNumId="20">
    <w:nsid w:val="62A6542F"/>
    <w:multiLevelType w:val="multilevel"/>
    <w:tmpl w:val="EF66E114"/>
    <w:numStyleLink w:val="RomListeStil"/>
  </w:abstractNum>
  <w:abstractNum w:abstractNumId="21">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3">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5">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
    <w:abstractNumId w:val="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
    <w:abstractNumId w:val="0"/>
    <w:lvlOverride w:ilvl="0">
      <w:lvl w:ilvl="0">
        <w:start w:val="1"/>
        <w:numFmt w:val="bullet"/>
        <w:lvlText w:val="Figur 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0">
    <w:abstractNumId w:val="0"/>
    <w:lvlOverride w:ilvl="0">
      <w:lvl w:ilvl="0">
        <w:start w:val="1"/>
        <w:numFmt w:val="bullet"/>
        <w:lvlText w:val="Figur 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1">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Boks 2.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Figur 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8">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1">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Boks 3.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0">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3">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4">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46">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7">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8">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Tabell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Boks 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Boks 6.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3">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Boks 6.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Boks 6.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8">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9">
    <w:abstractNumId w:val="0"/>
    <w:lvlOverride w:ilvl="0">
      <w:lvl w:ilvl="0">
        <w:start w:val="1"/>
        <w:numFmt w:val="bullet"/>
        <w:lvlText w:val="Boks 6.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Boks 6.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73">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5">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Boks 7.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2">
    <w:abstractNumId w:val="0"/>
    <w:lvlOverride w:ilvl="0">
      <w:lvl w:ilvl="0">
        <w:start w:val="1"/>
        <w:numFmt w:val="bullet"/>
        <w:lvlText w:val="Boks 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4">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5">
    <w:abstractNumId w:val="0"/>
    <w:lvlOverride w:ilvl="0">
      <w:lvl w:ilvl="0">
        <w:start w:val="1"/>
        <w:numFmt w:val="bullet"/>
        <w:lvlText w:val="Boks 7.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Boks 7.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Boks 7.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0">
    <w:abstractNumId w:val="0"/>
    <w:lvlOverride w:ilvl="0">
      <w:lvl w:ilvl="0">
        <w:start w:val="1"/>
        <w:numFmt w:val="bullet"/>
        <w:lvlText w:val="Boks 7.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Figur 7.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Boks 7.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Figur 7.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5">
    <w:abstractNumId w:val="0"/>
    <w:lvlOverride w:ilvl="0">
      <w:lvl w:ilvl="0">
        <w:start w:val="1"/>
        <w:numFmt w:val="bullet"/>
        <w:lvlText w:val="Boks 7.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Figur 7.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7">
    <w:abstractNumId w:val="0"/>
    <w:lvlOverride w:ilvl="0">
      <w:lvl w:ilvl="0">
        <w:start w:val="1"/>
        <w:numFmt w:val="bullet"/>
        <w:lvlText w:val="Boks 7.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Boks 7.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Boks 7.1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Boks 7.1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Figur 7.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5">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Boks 7.1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Boks 7.1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8">
    <w:abstractNumId w:val="0"/>
    <w:lvlOverride w:ilvl="0">
      <w:lvl w:ilvl="0">
        <w:start w:val="1"/>
        <w:numFmt w:val="bullet"/>
        <w:lvlText w:val="Boks 7.1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Figur 7.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0">
    <w:abstractNumId w:val="0"/>
    <w:lvlOverride w:ilvl="0">
      <w:lvl w:ilvl="0">
        <w:start w:val="1"/>
        <w:numFmt w:val="bullet"/>
        <w:lvlText w:val="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Boks 7.1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Boks 7.19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6">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7">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Boks 7.2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Boks 7.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Boks 7.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Boks 7.2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Figur 8.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4">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Boks 8.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Figur 8.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9">
    <w:abstractNumId w:val="0"/>
    <w:lvlOverride w:ilvl="0">
      <w:lvl w:ilvl="0">
        <w:start w:val="1"/>
        <w:numFmt w:val="bullet"/>
        <w:lvlText w:val="Boks 8.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Figur 8.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2">
    <w:abstractNumId w:val="0"/>
    <w:lvlOverride w:ilvl="0">
      <w:lvl w:ilvl="0">
        <w:start w:val="1"/>
        <w:numFmt w:val="bullet"/>
        <w:lvlText w:val="Figur 8.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3">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Figur 8.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5">
    <w:abstractNumId w:val="0"/>
    <w:lvlOverride w:ilvl="0">
      <w:lvl w:ilvl="0">
        <w:start w:val="1"/>
        <w:numFmt w:val="bullet"/>
        <w:lvlText w:val="Boks 8.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Figur 8.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7">
    <w:abstractNumId w:val="0"/>
    <w:lvlOverride w:ilvl="0">
      <w:lvl w:ilvl="0">
        <w:start w:val="1"/>
        <w:numFmt w:val="bullet"/>
        <w:lvlText w:val="Boks 8.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Figur 8.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49">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Boks 8.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Figur 8.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2">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8.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Boks 8.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Figur 8.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7">
    <w:abstractNumId w:val="0"/>
    <w:lvlOverride w:ilvl="0">
      <w:lvl w:ilvl="0">
        <w:start w:val="1"/>
        <w:numFmt w:val="bullet"/>
        <w:lvlText w:val="Figur 8.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8">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9">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Figur 8.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2">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3">
    <w:abstractNumId w:val="0"/>
    <w:lvlOverride w:ilvl="0">
      <w:lvl w:ilvl="0">
        <w:start w:val="1"/>
        <w:numFmt w:val="bullet"/>
        <w:lvlText w:val="Boks 8.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Figur 8.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65">
    <w:abstractNumId w:val="0"/>
    <w:lvlOverride w:ilvl="0">
      <w:lvl w:ilvl="0">
        <w:start w:val="1"/>
        <w:numFmt w:val="bullet"/>
        <w:lvlText w:val="8.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6">
    <w:abstractNumId w:val="0"/>
    <w:lvlOverride w:ilvl="0">
      <w:lvl w:ilvl="0">
        <w:start w:val="1"/>
        <w:numFmt w:val="bullet"/>
        <w:lvlText w:val="Boks 8.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8.9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8.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8.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Boks 8.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Boks 8.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Figur 8.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3">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6">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Boks 9.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Boks 9.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Boks 9.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83">
    <w:abstractNumId w:val="0"/>
    <w:lvlOverride w:ilvl="0">
      <w:lvl w:ilvl="0">
        <w:start w:val="1"/>
        <w:numFmt w:val="bullet"/>
        <w:lvlText w:val="Boks 9.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5">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Boks 9.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Boks 9.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0">
    <w:abstractNumId w:val="0"/>
    <w:lvlOverride w:ilvl="0">
      <w:lvl w:ilvl="0">
        <w:start w:val="1"/>
        <w:numFmt w:val="bullet"/>
        <w:lvlText w:val="Boks 9.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Figur 9.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2">
    <w:abstractNumId w:val="0"/>
    <w:lvlOverride w:ilvl="0">
      <w:lvl w:ilvl="0">
        <w:start w:val="1"/>
        <w:numFmt w:val="bullet"/>
        <w:lvlText w:val="Boks 9.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Boks 9.10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Boks 9.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Figur 9.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9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97">
    <w:abstractNumId w:val="23"/>
  </w:num>
  <w:num w:numId="198">
    <w:abstractNumId w:val="18"/>
  </w:num>
  <w:num w:numId="199">
    <w:abstractNumId w:val="22"/>
  </w:num>
  <w:num w:numId="200">
    <w:abstractNumId w:val="6"/>
  </w:num>
  <w:num w:numId="201">
    <w:abstractNumId w:val="8"/>
  </w:num>
  <w:num w:numId="202">
    <w:abstractNumId w:val="3"/>
  </w:num>
  <w:num w:numId="203">
    <w:abstractNumId w:val="1"/>
  </w:num>
  <w:num w:numId="204">
    <w:abstractNumId w:val="12"/>
  </w:num>
  <w:num w:numId="205">
    <w:abstractNumId w:val="15"/>
  </w:num>
  <w:num w:numId="206">
    <w:abstractNumId w:val="14"/>
  </w:num>
  <w:num w:numId="207">
    <w:abstractNumId w:val="2"/>
  </w:num>
  <w:num w:numId="208">
    <w:abstractNumId w:val="9"/>
  </w:num>
  <w:num w:numId="209">
    <w:abstractNumId w:val="4"/>
  </w:num>
  <w:num w:numId="210">
    <w:abstractNumId w:val="5"/>
  </w:num>
  <w:num w:numId="211">
    <w:abstractNumId w:val="13"/>
  </w:num>
  <w:num w:numId="212">
    <w:abstractNumId w:val="17"/>
  </w:num>
  <w:num w:numId="213">
    <w:abstractNumId w:val="20"/>
  </w:num>
  <w:num w:numId="214">
    <w:abstractNumId w:val="7"/>
  </w:num>
  <w:num w:numId="215">
    <w:abstractNumId w:val="16"/>
  </w:num>
  <w:num w:numId="216">
    <w:abstractNumId w:val="21"/>
  </w:num>
  <w:num w:numId="217">
    <w:abstractNumId w:val="10"/>
  </w:num>
  <w:num w:numId="218">
    <w:abstractNumId w:val="11"/>
  </w:num>
  <w:num w:numId="219">
    <w:abstractNumId w:val="19"/>
  </w:num>
  <w:num w:numId="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dirty"/>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60018"/>
    <w:rsid w:val="00160018"/>
    <w:rsid w:val="00201481"/>
    <w:rsid w:val="003F4702"/>
    <w:rsid w:val="0040037F"/>
    <w:rsid w:val="004D54F7"/>
    <w:rsid w:val="00557C44"/>
    <w:rsid w:val="005F0E1B"/>
    <w:rsid w:val="006517FF"/>
    <w:rsid w:val="009C17C8"/>
    <w:rsid w:val="00C3770E"/>
    <w:rsid w:val="00CE47F2"/>
    <w:rsid w:val="00D24D21"/>
    <w:rsid w:val="00E21CFB"/>
    <w:rsid w:val="00E636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C3770E"/>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C3770E"/>
    <w:pPr>
      <w:keepNext/>
      <w:keepLines/>
      <w:numPr>
        <w:numId w:val="21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3770E"/>
    <w:pPr>
      <w:keepNext/>
      <w:keepLines/>
      <w:numPr>
        <w:ilvl w:val="1"/>
        <w:numId w:val="21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C3770E"/>
    <w:pPr>
      <w:keepNext/>
      <w:keepLines/>
      <w:numPr>
        <w:ilvl w:val="2"/>
        <w:numId w:val="219"/>
      </w:numPr>
      <w:spacing w:before="360" w:after="80"/>
      <w:outlineLvl w:val="2"/>
    </w:pPr>
    <w:rPr>
      <w:rFonts w:ascii="Arial" w:hAnsi="Arial"/>
      <w:b/>
    </w:rPr>
  </w:style>
  <w:style w:type="paragraph" w:styleId="Overskrift4">
    <w:name w:val="heading 4"/>
    <w:basedOn w:val="Normal"/>
    <w:next w:val="Normal"/>
    <w:link w:val="Overskrift4Tegn"/>
    <w:qFormat/>
    <w:rsid w:val="00C3770E"/>
    <w:pPr>
      <w:keepNext/>
      <w:keepLines/>
      <w:numPr>
        <w:ilvl w:val="3"/>
        <w:numId w:val="219"/>
      </w:numPr>
      <w:spacing w:before="120" w:after="0"/>
      <w:outlineLvl w:val="3"/>
    </w:pPr>
    <w:rPr>
      <w:rFonts w:ascii="Arial" w:hAnsi="Arial"/>
      <w:i/>
      <w:spacing w:val="4"/>
    </w:rPr>
  </w:style>
  <w:style w:type="paragraph" w:styleId="Overskrift5">
    <w:name w:val="heading 5"/>
    <w:basedOn w:val="Normal"/>
    <w:next w:val="Normal"/>
    <w:link w:val="Overskrift5Tegn"/>
    <w:qFormat/>
    <w:rsid w:val="00C3770E"/>
    <w:pPr>
      <w:keepNext/>
      <w:numPr>
        <w:ilvl w:val="4"/>
        <w:numId w:val="219"/>
      </w:numPr>
      <w:spacing w:before="120" w:after="0"/>
      <w:outlineLvl w:val="4"/>
    </w:pPr>
    <w:rPr>
      <w:rFonts w:ascii="Arial" w:hAnsi="Arial"/>
      <w:i/>
    </w:rPr>
  </w:style>
  <w:style w:type="paragraph" w:styleId="Overskrift6">
    <w:name w:val="heading 6"/>
    <w:basedOn w:val="Normal"/>
    <w:next w:val="Normal"/>
    <w:link w:val="Overskrift6Tegn"/>
    <w:qFormat/>
    <w:rsid w:val="00C3770E"/>
    <w:pPr>
      <w:numPr>
        <w:ilvl w:val="5"/>
        <w:numId w:val="197"/>
      </w:numPr>
      <w:spacing w:before="240" w:after="60"/>
      <w:outlineLvl w:val="5"/>
    </w:pPr>
    <w:rPr>
      <w:rFonts w:ascii="Arial" w:hAnsi="Arial"/>
      <w:i/>
      <w:sz w:val="22"/>
    </w:rPr>
  </w:style>
  <w:style w:type="paragraph" w:styleId="Overskrift7">
    <w:name w:val="heading 7"/>
    <w:basedOn w:val="Normal"/>
    <w:next w:val="Normal"/>
    <w:link w:val="Overskrift7Tegn"/>
    <w:qFormat/>
    <w:rsid w:val="00C3770E"/>
    <w:pPr>
      <w:numPr>
        <w:ilvl w:val="6"/>
        <w:numId w:val="197"/>
      </w:numPr>
      <w:spacing w:before="240" w:after="60"/>
      <w:outlineLvl w:val="6"/>
    </w:pPr>
    <w:rPr>
      <w:rFonts w:ascii="Arial" w:hAnsi="Arial"/>
    </w:rPr>
  </w:style>
  <w:style w:type="paragraph" w:styleId="Overskrift8">
    <w:name w:val="heading 8"/>
    <w:basedOn w:val="Normal"/>
    <w:next w:val="Normal"/>
    <w:link w:val="Overskrift8Tegn"/>
    <w:qFormat/>
    <w:rsid w:val="00C3770E"/>
    <w:pPr>
      <w:numPr>
        <w:ilvl w:val="7"/>
        <w:numId w:val="197"/>
      </w:numPr>
      <w:spacing w:before="240" w:after="60"/>
      <w:outlineLvl w:val="7"/>
    </w:pPr>
    <w:rPr>
      <w:rFonts w:ascii="Arial" w:hAnsi="Arial"/>
      <w:i/>
    </w:rPr>
  </w:style>
  <w:style w:type="paragraph" w:styleId="Overskrift9">
    <w:name w:val="heading 9"/>
    <w:basedOn w:val="Normal"/>
    <w:next w:val="Normal"/>
    <w:link w:val="Overskrift9Tegn"/>
    <w:qFormat/>
    <w:rsid w:val="00C3770E"/>
    <w:pPr>
      <w:numPr>
        <w:ilvl w:val="8"/>
        <w:numId w:val="197"/>
      </w:numPr>
      <w:spacing w:before="240" w:after="60"/>
      <w:outlineLvl w:val="8"/>
    </w:pPr>
    <w:rPr>
      <w:rFonts w:ascii="Arial" w:hAnsi="Arial"/>
      <w:b/>
      <w:i/>
      <w:sz w:val="18"/>
    </w:rPr>
  </w:style>
  <w:style w:type="character" w:default="1" w:styleId="Standardskriftforavsnitt">
    <w:name w:val="Default Paragraph Font"/>
    <w:uiPriority w:val="1"/>
    <w:unhideWhenUsed/>
    <w:rsid w:val="00C3770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770E"/>
  </w:style>
  <w:style w:type="character" w:customStyle="1" w:styleId="Overskrift1Tegn">
    <w:name w:val="Overskrift 1 Tegn"/>
    <w:basedOn w:val="Standardskriftforavsnitt"/>
    <w:link w:val="Overskrift1"/>
    <w:rsid w:val="00C3770E"/>
    <w:rPr>
      <w:rFonts w:ascii="Arial" w:eastAsia="Times New Roman" w:hAnsi="Arial"/>
      <w:b/>
      <w:kern w:val="28"/>
      <w:sz w:val="32"/>
    </w:rPr>
  </w:style>
  <w:style w:type="character" w:customStyle="1" w:styleId="Overskrift2Tegn">
    <w:name w:val="Overskrift 2 Tegn"/>
    <w:basedOn w:val="Standardskriftforavsnitt"/>
    <w:link w:val="Overskrift2"/>
    <w:rsid w:val="00C3770E"/>
    <w:rPr>
      <w:rFonts w:ascii="Arial" w:eastAsia="Times New Roman" w:hAnsi="Arial"/>
      <w:b/>
      <w:spacing w:val="4"/>
      <w:sz w:val="28"/>
    </w:rPr>
  </w:style>
  <w:style w:type="character" w:customStyle="1" w:styleId="Overskrift3Tegn">
    <w:name w:val="Overskrift 3 Tegn"/>
    <w:basedOn w:val="Standardskriftforavsnitt"/>
    <w:link w:val="Overskrift3"/>
    <w:rsid w:val="00C3770E"/>
    <w:rPr>
      <w:rFonts w:ascii="Arial" w:eastAsia="Times New Roman" w:hAnsi="Arial"/>
      <w:b/>
      <w:sz w:val="24"/>
    </w:rPr>
  </w:style>
  <w:style w:type="character" w:customStyle="1" w:styleId="Overskrift4Tegn">
    <w:name w:val="Overskrift 4 Tegn"/>
    <w:basedOn w:val="Standardskriftforavsnitt"/>
    <w:link w:val="Overskrift4"/>
    <w:rsid w:val="00C3770E"/>
    <w:rPr>
      <w:rFonts w:ascii="Arial" w:eastAsia="Times New Roman" w:hAnsi="Arial"/>
      <w:i/>
      <w:spacing w:val="4"/>
      <w:sz w:val="24"/>
    </w:rPr>
  </w:style>
  <w:style w:type="character" w:customStyle="1" w:styleId="Overskrift5Tegn">
    <w:name w:val="Overskrift 5 Tegn"/>
    <w:basedOn w:val="Standardskriftforavsnitt"/>
    <w:link w:val="Overskrift5"/>
    <w:rsid w:val="00C3770E"/>
    <w:rPr>
      <w:rFonts w:ascii="Arial" w:eastAsia="Times New Roman" w:hAnsi="Arial"/>
      <w:i/>
      <w:sz w:val="24"/>
    </w:rPr>
  </w:style>
  <w:style w:type="character" w:customStyle="1" w:styleId="Overskrift6Tegn">
    <w:name w:val="Overskrift 6 Tegn"/>
    <w:basedOn w:val="Standardskriftforavsnitt"/>
    <w:link w:val="Overskrift6"/>
    <w:rsid w:val="00C3770E"/>
    <w:rPr>
      <w:rFonts w:ascii="Arial" w:eastAsia="Times New Roman" w:hAnsi="Arial"/>
      <w:i/>
    </w:rPr>
  </w:style>
  <w:style w:type="character" w:customStyle="1" w:styleId="Overskrift7Tegn">
    <w:name w:val="Overskrift 7 Tegn"/>
    <w:basedOn w:val="Standardskriftforavsnitt"/>
    <w:link w:val="Overskrift7"/>
    <w:rsid w:val="00C3770E"/>
    <w:rPr>
      <w:rFonts w:ascii="Arial" w:eastAsia="Times New Roman" w:hAnsi="Arial"/>
      <w:sz w:val="24"/>
    </w:rPr>
  </w:style>
  <w:style w:type="character" w:customStyle="1" w:styleId="Overskrift8Tegn">
    <w:name w:val="Overskrift 8 Tegn"/>
    <w:basedOn w:val="Standardskriftforavsnitt"/>
    <w:link w:val="Overskrift8"/>
    <w:rsid w:val="00C3770E"/>
    <w:rPr>
      <w:rFonts w:ascii="Arial" w:eastAsia="Times New Roman" w:hAnsi="Arial"/>
      <w:i/>
      <w:sz w:val="24"/>
    </w:rPr>
  </w:style>
  <w:style w:type="character" w:customStyle="1" w:styleId="Overskrift9Tegn">
    <w:name w:val="Overskrift 9 Tegn"/>
    <w:basedOn w:val="Standardskriftforavsnitt"/>
    <w:link w:val="Overskrift9"/>
    <w:rsid w:val="00C3770E"/>
    <w:rPr>
      <w:rFonts w:ascii="Arial" w:eastAsia="Times New Roman" w:hAnsi="Arial"/>
      <w:b/>
      <w:i/>
      <w:sz w:val="18"/>
    </w:rPr>
  </w:style>
  <w:style w:type="paragraph" w:styleId="NormalWeb">
    <w:name w:val="Normal (Web)"/>
    <w:basedOn w:val="Normal"/>
    <w:uiPriority w:val="99"/>
    <w:unhideWhenUsed/>
    <w:rsid w:val="00C3770E"/>
    <w:rPr>
      <w:szCs w:val="24"/>
    </w:rPr>
  </w:style>
  <w:style w:type="paragraph" w:styleId="Liste">
    <w:name w:val="List"/>
    <w:basedOn w:val="Normal"/>
    <w:rsid w:val="00C3770E"/>
    <w:pPr>
      <w:numPr>
        <w:numId w:val="212"/>
      </w:numPr>
      <w:spacing w:line="240" w:lineRule="auto"/>
      <w:contextualSpacing/>
    </w:pPr>
    <w:rPr>
      <w:spacing w:val="4"/>
    </w:rPr>
  </w:style>
  <w:style w:type="paragraph" w:styleId="Liste2">
    <w:name w:val="List 2"/>
    <w:basedOn w:val="Normal"/>
    <w:rsid w:val="00C3770E"/>
    <w:pPr>
      <w:numPr>
        <w:ilvl w:val="1"/>
        <w:numId w:val="212"/>
      </w:numPr>
      <w:spacing w:after="0"/>
    </w:pPr>
    <w:rPr>
      <w:spacing w:val="4"/>
    </w:rPr>
  </w:style>
  <w:style w:type="paragraph" w:styleId="Liste3">
    <w:name w:val="List 3"/>
    <w:basedOn w:val="Normal"/>
    <w:rsid w:val="00C3770E"/>
    <w:pPr>
      <w:numPr>
        <w:ilvl w:val="2"/>
        <w:numId w:val="212"/>
      </w:numPr>
      <w:spacing w:after="0"/>
    </w:pPr>
  </w:style>
  <w:style w:type="paragraph" w:styleId="Liste4">
    <w:name w:val="List 4"/>
    <w:basedOn w:val="Normal"/>
    <w:rsid w:val="00C3770E"/>
    <w:pPr>
      <w:numPr>
        <w:ilvl w:val="3"/>
        <w:numId w:val="212"/>
      </w:numPr>
      <w:spacing w:after="0"/>
    </w:pPr>
  </w:style>
  <w:style w:type="paragraph" w:styleId="Liste5">
    <w:name w:val="List 5"/>
    <w:basedOn w:val="Normal"/>
    <w:rsid w:val="00C3770E"/>
    <w:pPr>
      <w:numPr>
        <w:ilvl w:val="4"/>
        <w:numId w:val="212"/>
      </w:numPr>
      <w:spacing w:after="0"/>
    </w:pPr>
  </w:style>
  <w:style w:type="paragraph" w:styleId="Bildetekst">
    <w:name w:val="caption"/>
    <w:basedOn w:val="Normal"/>
    <w:next w:val="Normal"/>
    <w:uiPriority w:val="35"/>
    <w:unhideWhenUsed/>
    <w:qFormat/>
    <w:rsid w:val="00C3770E"/>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C37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3770E"/>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C3770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C3770E"/>
    <w:rPr>
      <w:rFonts w:ascii="Arial" w:eastAsia="Times New Roman" w:hAnsi="Arial"/>
      <w:b/>
      <w:spacing w:val="4"/>
      <w:sz w:val="28"/>
    </w:rPr>
  </w:style>
  <w:style w:type="paragraph" w:styleId="Ingenmellomrom">
    <w:name w:val="No Spacing"/>
    <w:uiPriority w:val="1"/>
    <w:qFormat/>
    <w:rsid w:val="00C3770E"/>
    <w:pPr>
      <w:spacing w:after="0" w:line="240" w:lineRule="auto"/>
    </w:pPr>
    <w:rPr>
      <w:rFonts w:ascii="Calibri" w:eastAsia="Times New Roman" w:hAnsi="Calibri"/>
      <w:sz w:val="24"/>
    </w:rPr>
  </w:style>
  <w:style w:type="paragraph" w:styleId="Listeavsnitt">
    <w:name w:val="List Paragraph"/>
    <w:basedOn w:val="Normal"/>
    <w:uiPriority w:val="34"/>
    <w:qFormat/>
    <w:rsid w:val="00C3770E"/>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C3770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3770E"/>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C3770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C377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3770E"/>
    <w:rPr>
      <w:rFonts w:ascii="Tahoma" w:eastAsia="Times New Roman" w:hAnsi="Tahoma" w:cs="Tahoma"/>
      <w:sz w:val="16"/>
      <w:szCs w:val="16"/>
    </w:rPr>
  </w:style>
  <w:style w:type="paragraph" w:styleId="Topptekst">
    <w:name w:val="header"/>
    <w:basedOn w:val="Normal"/>
    <w:link w:val="TopptekstTegn"/>
    <w:rsid w:val="00C3770E"/>
    <w:pPr>
      <w:tabs>
        <w:tab w:val="center" w:pos="4536"/>
        <w:tab w:val="right" w:pos="9072"/>
      </w:tabs>
    </w:pPr>
  </w:style>
  <w:style w:type="character" w:customStyle="1" w:styleId="TopptekstTegn">
    <w:name w:val="Topptekst Tegn"/>
    <w:basedOn w:val="Standardskriftforavsnitt"/>
    <w:link w:val="Topptekst"/>
    <w:rsid w:val="00C3770E"/>
    <w:rPr>
      <w:rFonts w:ascii="Times New Roman" w:eastAsia="Times New Roman" w:hAnsi="Times New Roman"/>
      <w:sz w:val="24"/>
    </w:rPr>
  </w:style>
  <w:style w:type="paragraph" w:styleId="Bunntekst">
    <w:name w:val="footer"/>
    <w:basedOn w:val="Normal"/>
    <w:link w:val="BunntekstTegn"/>
    <w:uiPriority w:val="99"/>
    <w:rsid w:val="00C3770E"/>
    <w:pPr>
      <w:tabs>
        <w:tab w:val="center" w:pos="4153"/>
        <w:tab w:val="right" w:pos="8306"/>
      </w:tabs>
    </w:pPr>
    <w:rPr>
      <w:spacing w:val="4"/>
    </w:rPr>
  </w:style>
  <w:style w:type="character" w:customStyle="1" w:styleId="BunntekstTegn">
    <w:name w:val="Bunntekst Tegn"/>
    <w:basedOn w:val="Standardskriftforavsnitt"/>
    <w:link w:val="Bunntekst"/>
    <w:uiPriority w:val="99"/>
    <w:rsid w:val="00C3770E"/>
    <w:rPr>
      <w:rFonts w:ascii="Times New Roman" w:eastAsia="Times New Roman" w:hAnsi="Times New Roman"/>
      <w:spacing w:val="4"/>
      <w:sz w:val="24"/>
    </w:rPr>
  </w:style>
  <w:style w:type="paragraph" w:styleId="Merknadstekst">
    <w:name w:val="annotation text"/>
    <w:basedOn w:val="Normal"/>
    <w:link w:val="MerknadstekstTegn"/>
    <w:rsid w:val="00C3770E"/>
  </w:style>
  <w:style w:type="character" w:customStyle="1" w:styleId="MerknadstekstTegn">
    <w:name w:val="Merknadstekst Tegn"/>
    <w:basedOn w:val="Standardskriftforavsnitt"/>
    <w:link w:val="Merknadstekst"/>
    <w:rsid w:val="00C3770E"/>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C3770E"/>
    <w:pPr>
      <w:spacing w:line="240" w:lineRule="auto"/>
    </w:pPr>
    <w:rPr>
      <w:b/>
      <w:bCs/>
      <w:sz w:val="20"/>
      <w:szCs w:val="20"/>
    </w:rPr>
  </w:style>
  <w:style w:type="character" w:customStyle="1" w:styleId="KommentaremneTegn">
    <w:name w:val="Kommentaremne Tegn"/>
    <w:basedOn w:val="MerknadstekstTegn"/>
    <w:link w:val="Kommentaremne"/>
    <w:uiPriority w:val="99"/>
    <w:rsid w:val="00C3770E"/>
    <w:rPr>
      <w:rFonts w:ascii="Times New Roman" w:eastAsia="Times New Roman" w:hAnsi="Times New Roman"/>
      <w:b/>
      <w:bCs/>
      <w:sz w:val="20"/>
      <w:szCs w:val="20"/>
    </w:rPr>
  </w:style>
  <w:style w:type="paragraph" w:styleId="Fotnotetekst">
    <w:name w:val="footnote text"/>
    <w:basedOn w:val="Normal"/>
    <w:link w:val="FotnotetekstTegn"/>
    <w:rsid w:val="00C3770E"/>
    <w:rPr>
      <w:spacing w:val="4"/>
    </w:rPr>
  </w:style>
  <w:style w:type="character" w:customStyle="1" w:styleId="FotnotetekstTegn">
    <w:name w:val="Fotnotetekst Tegn"/>
    <w:basedOn w:val="Standardskriftforavsnitt"/>
    <w:link w:val="Fotnotetekst"/>
    <w:rsid w:val="00C3770E"/>
    <w:rPr>
      <w:rFonts w:ascii="Times New Roman" w:eastAsia="Times New Roman" w:hAnsi="Times New Roman"/>
      <w:spacing w:val="4"/>
      <w:sz w:val="24"/>
    </w:rPr>
  </w:style>
  <w:style w:type="paragraph" w:styleId="INNH1">
    <w:name w:val="toc 1"/>
    <w:basedOn w:val="Normal"/>
    <w:next w:val="Normal"/>
    <w:rsid w:val="00C3770E"/>
    <w:pPr>
      <w:tabs>
        <w:tab w:val="right" w:leader="dot" w:pos="8306"/>
      </w:tabs>
    </w:pPr>
  </w:style>
  <w:style w:type="paragraph" w:styleId="INNH2">
    <w:name w:val="toc 2"/>
    <w:basedOn w:val="Normal"/>
    <w:next w:val="Normal"/>
    <w:rsid w:val="00C3770E"/>
    <w:pPr>
      <w:tabs>
        <w:tab w:val="right" w:leader="dot" w:pos="8306"/>
      </w:tabs>
      <w:ind w:left="200"/>
    </w:pPr>
  </w:style>
  <w:style w:type="paragraph" w:styleId="INNH3">
    <w:name w:val="toc 3"/>
    <w:basedOn w:val="Normal"/>
    <w:next w:val="Normal"/>
    <w:rsid w:val="00C3770E"/>
    <w:pPr>
      <w:tabs>
        <w:tab w:val="right" w:leader="dot" w:pos="8306"/>
      </w:tabs>
      <w:ind w:left="400"/>
    </w:pPr>
  </w:style>
  <w:style w:type="paragraph" w:styleId="INNH4">
    <w:name w:val="toc 4"/>
    <w:basedOn w:val="Normal"/>
    <w:next w:val="Normal"/>
    <w:rsid w:val="00C3770E"/>
    <w:pPr>
      <w:tabs>
        <w:tab w:val="right" w:leader="dot" w:pos="8306"/>
      </w:tabs>
      <w:ind w:left="600"/>
    </w:pPr>
  </w:style>
  <w:style w:type="paragraph" w:styleId="INNH5">
    <w:name w:val="toc 5"/>
    <w:basedOn w:val="Normal"/>
    <w:next w:val="Normal"/>
    <w:rsid w:val="00C3770E"/>
    <w:pPr>
      <w:tabs>
        <w:tab w:val="right" w:leader="dot" w:pos="8306"/>
      </w:tabs>
      <w:ind w:left="800"/>
    </w:pPr>
  </w:style>
  <w:style w:type="paragraph" w:styleId="Nummerertliste">
    <w:name w:val="List Number"/>
    <w:basedOn w:val="Normal"/>
    <w:rsid w:val="00C3770E"/>
    <w:pPr>
      <w:numPr>
        <w:numId w:val="208"/>
      </w:numPr>
      <w:spacing w:after="0"/>
    </w:pPr>
    <w:rPr>
      <w:rFonts w:ascii="Times" w:eastAsia="Batang" w:hAnsi="Times"/>
      <w:szCs w:val="20"/>
    </w:rPr>
  </w:style>
  <w:style w:type="paragraph" w:styleId="Nummerertliste2">
    <w:name w:val="List Number 2"/>
    <w:basedOn w:val="Normal"/>
    <w:rsid w:val="00C3770E"/>
    <w:pPr>
      <w:numPr>
        <w:ilvl w:val="1"/>
        <w:numId w:val="208"/>
      </w:numPr>
      <w:spacing w:after="0" w:line="240" w:lineRule="auto"/>
    </w:pPr>
    <w:rPr>
      <w:rFonts w:ascii="Times" w:eastAsia="Batang" w:hAnsi="Times"/>
      <w:szCs w:val="20"/>
    </w:rPr>
  </w:style>
  <w:style w:type="paragraph" w:styleId="Nummerertliste3">
    <w:name w:val="List Number 3"/>
    <w:basedOn w:val="Normal"/>
    <w:rsid w:val="00C3770E"/>
    <w:pPr>
      <w:numPr>
        <w:ilvl w:val="2"/>
        <w:numId w:val="208"/>
      </w:numPr>
      <w:spacing w:after="0" w:line="240" w:lineRule="auto"/>
    </w:pPr>
    <w:rPr>
      <w:rFonts w:ascii="Times" w:eastAsia="Batang" w:hAnsi="Times"/>
      <w:szCs w:val="20"/>
    </w:rPr>
  </w:style>
  <w:style w:type="paragraph" w:styleId="Nummerertliste4">
    <w:name w:val="List Number 4"/>
    <w:basedOn w:val="Normal"/>
    <w:rsid w:val="00C3770E"/>
    <w:pPr>
      <w:numPr>
        <w:ilvl w:val="3"/>
        <w:numId w:val="208"/>
      </w:numPr>
      <w:spacing w:after="0" w:line="240" w:lineRule="auto"/>
    </w:pPr>
    <w:rPr>
      <w:rFonts w:ascii="Times" w:eastAsia="Batang" w:hAnsi="Times"/>
      <w:szCs w:val="20"/>
    </w:rPr>
  </w:style>
  <w:style w:type="paragraph" w:styleId="Nummerertliste5">
    <w:name w:val="List Number 5"/>
    <w:basedOn w:val="Normal"/>
    <w:rsid w:val="00C3770E"/>
    <w:pPr>
      <w:numPr>
        <w:ilvl w:val="4"/>
        <w:numId w:val="208"/>
      </w:numPr>
      <w:spacing w:after="0" w:line="240" w:lineRule="auto"/>
    </w:pPr>
    <w:rPr>
      <w:rFonts w:ascii="Times" w:eastAsia="Batang" w:hAnsi="Times"/>
      <w:szCs w:val="20"/>
    </w:rPr>
  </w:style>
  <w:style w:type="paragraph" w:styleId="Punktmerketliste">
    <w:name w:val="List Bullet"/>
    <w:basedOn w:val="Normal"/>
    <w:rsid w:val="00C3770E"/>
    <w:pPr>
      <w:numPr>
        <w:numId w:val="198"/>
      </w:numPr>
      <w:spacing w:after="0"/>
    </w:pPr>
    <w:rPr>
      <w:spacing w:val="4"/>
    </w:rPr>
  </w:style>
  <w:style w:type="paragraph" w:styleId="Punktmerketliste2">
    <w:name w:val="List Bullet 2"/>
    <w:basedOn w:val="Normal"/>
    <w:rsid w:val="00C3770E"/>
    <w:pPr>
      <w:numPr>
        <w:numId w:val="199"/>
      </w:numPr>
      <w:spacing w:after="0"/>
    </w:pPr>
    <w:rPr>
      <w:spacing w:val="4"/>
    </w:rPr>
  </w:style>
  <w:style w:type="paragraph" w:styleId="Punktmerketliste3">
    <w:name w:val="List Bullet 3"/>
    <w:basedOn w:val="Normal"/>
    <w:rsid w:val="00C3770E"/>
    <w:pPr>
      <w:numPr>
        <w:numId w:val="200"/>
      </w:numPr>
      <w:spacing w:after="0"/>
    </w:pPr>
    <w:rPr>
      <w:spacing w:val="4"/>
    </w:rPr>
  </w:style>
  <w:style w:type="paragraph" w:styleId="Punktmerketliste4">
    <w:name w:val="List Bullet 4"/>
    <w:basedOn w:val="Normal"/>
    <w:rsid w:val="00C3770E"/>
    <w:pPr>
      <w:numPr>
        <w:numId w:val="201"/>
      </w:numPr>
      <w:spacing w:after="0"/>
    </w:pPr>
  </w:style>
  <w:style w:type="paragraph" w:styleId="Punktmerketliste5">
    <w:name w:val="List Bullet 5"/>
    <w:basedOn w:val="Normal"/>
    <w:rsid w:val="00C3770E"/>
    <w:pPr>
      <w:numPr>
        <w:numId w:val="202"/>
      </w:numPr>
      <w:spacing w:after="0"/>
    </w:pPr>
  </w:style>
  <w:style w:type="paragraph" w:styleId="Indeks1">
    <w:name w:val="index 1"/>
    <w:basedOn w:val="Normal"/>
    <w:next w:val="Normal"/>
    <w:autoRedefine/>
    <w:uiPriority w:val="99"/>
    <w:unhideWhenUsed/>
    <w:rsid w:val="00C3770E"/>
    <w:pPr>
      <w:spacing w:after="0" w:line="240" w:lineRule="auto"/>
      <w:ind w:left="240" w:hanging="240"/>
    </w:pPr>
  </w:style>
  <w:style w:type="paragraph" w:styleId="Indeks2">
    <w:name w:val="index 2"/>
    <w:basedOn w:val="Normal"/>
    <w:next w:val="Normal"/>
    <w:autoRedefine/>
    <w:uiPriority w:val="99"/>
    <w:unhideWhenUsed/>
    <w:rsid w:val="00C3770E"/>
    <w:pPr>
      <w:spacing w:after="0" w:line="240" w:lineRule="auto"/>
      <w:ind w:left="480" w:hanging="240"/>
    </w:pPr>
  </w:style>
  <w:style w:type="paragraph" w:styleId="Indeks3">
    <w:name w:val="index 3"/>
    <w:basedOn w:val="Normal"/>
    <w:next w:val="Normal"/>
    <w:autoRedefine/>
    <w:uiPriority w:val="99"/>
    <w:unhideWhenUsed/>
    <w:rsid w:val="00C3770E"/>
    <w:pPr>
      <w:spacing w:after="0" w:line="240" w:lineRule="auto"/>
      <w:ind w:left="720" w:hanging="240"/>
    </w:pPr>
  </w:style>
  <w:style w:type="paragraph" w:styleId="Indeks4">
    <w:name w:val="index 4"/>
    <w:basedOn w:val="Normal"/>
    <w:next w:val="Normal"/>
    <w:autoRedefine/>
    <w:uiPriority w:val="99"/>
    <w:unhideWhenUsed/>
    <w:rsid w:val="00C3770E"/>
    <w:pPr>
      <w:spacing w:after="0" w:line="240" w:lineRule="auto"/>
      <w:ind w:left="960" w:hanging="240"/>
    </w:pPr>
  </w:style>
  <w:style w:type="paragraph" w:styleId="Indeks5">
    <w:name w:val="index 5"/>
    <w:basedOn w:val="Normal"/>
    <w:next w:val="Normal"/>
    <w:autoRedefine/>
    <w:uiPriority w:val="99"/>
    <w:unhideWhenUsed/>
    <w:rsid w:val="00C3770E"/>
    <w:pPr>
      <w:spacing w:after="0" w:line="240" w:lineRule="auto"/>
      <w:ind w:left="1200" w:hanging="240"/>
    </w:pPr>
  </w:style>
  <w:style w:type="paragraph" w:styleId="Indeks6">
    <w:name w:val="index 6"/>
    <w:basedOn w:val="Normal"/>
    <w:next w:val="Normal"/>
    <w:autoRedefine/>
    <w:uiPriority w:val="99"/>
    <w:unhideWhenUsed/>
    <w:rsid w:val="00C3770E"/>
    <w:pPr>
      <w:spacing w:after="0" w:line="240" w:lineRule="auto"/>
      <w:ind w:left="1440" w:hanging="240"/>
    </w:pPr>
  </w:style>
  <w:style w:type="paragraph" w:styleId="Indeks7">
    <w:name w:val="index 7"/>
    <w:basedOn w:val="Normal"/>
    <w:next w:val="Normal"/>
    <w:autoRedefine/>
    <w:uiPriority w:val="99"/>
    <w:unhideWhenUsed/>
    <w:rsid w:val="00C3770E"/>
    <w:pPr>
      <w:spacing w:after="0" w:line="240" w:lineRule="auto"/>
      <w:ind w:left="1680" w:hanging="240"/>
    </w:pPr>
  </w:style>
  <w:style w:type="paragraph" w:styleId="Indeks8">
    <w:name w:val="index 8"/>
    <w:basedOn w:val="Normal"/>
    <w:next w:val="Normal"/>
    <w:autoRedefine/>
    <w:uiPriority w:val="99"/>
    <w:unhideWhenUsed/>
    <w:rsid w:val="00C3770E"/>
    <w:pPr>
      <w:spacing w:after="0" w:line="240" w:lineRule="auto"/>
      <w:ind w:left="1920" w:hanging="240"/>
    </w:pPr>
  </w:style>
  <w:style w:type="paragraph" w:styleId="Indeks9">
    <w:name w:val="index 9"/>
    <w:basedOn w:val="Normal"/>
    <w:next w:val="Normal"/>
    <w:autoRedefine/>
    <w:uiPriority w:val="99"/>
    <w:unhideWhenUsed/>
    <w:rsid w:val="00C3770E"/>
    <w:pPr>
      <w:spacing w:after="0" w:line="240" w:lineRule="auto"/>
      <w:ind w:left="2160" w:hanging="240"/>
    </w:pPr>
  </w:style>
  <w:style w:type="paragraph" w:styleId="INNH6">
    <w:name w:val="toc 6"/>
    <w:basedOn w:val="Normal"/>
    <w:next w:val="Normal"/>
    <w:autoRedefine/>
    <w:uiPriority w:val="39"/>
    <w:unhideWhenUsed/>
    <w:rsid w:val="00C3770E"/>
    <w:pPr>
      <w:spacing w:after="100"/>
      <w:ind w:left="1200"/>
    </w:pPr>
  </w:style>
  <w:style w:type="paragraph" w:styleId="INNH7">
    <w:name w:val="toc 7"/>
    <w:basedOn w:val="Normal"/>
    <w:next w:val="Normal"/>
    <w:autoRedefine/>
    <w:uiPriority w:val="39"/>
    <w:unhideWhenUsed/>
    <w:rsid w:val="00C3770E"/>
    <w:pPr>
      <w:spacing w:after="100"/>
      <w:ind w:left="1440"/>
    </w:pPr>
  </w:style>
  <w:style w:type="paragraph" w:styleId="INNH8">
    <w:name w:val="toc 8"/>
    <w:basedOn w:val="Normal"/>
    <w:next w:val="Normal"/>
    <w:autoRedefine/>
    <w:uiPriority w:val="39"/>
    <w:unhideWhenUsed/>
    <w:rsid w:val="00C3770E"/>
    <w:pPr>
      <w:spacing w:after="100"/>
      <w:ind w:left="1680"/>
    </w:pPr>
  </w:style>
  <w:style w:type="paragraph" w:styleId="INNH9">
    <w:name w:val="toc 9"/>
    <w:basedOn w:val="Normal"/>
    <w:next w:val="Normal"/>
    <w:autoRedefine/>
    <w:uiPriority w:val="39"/>
    <w:unhideWhenUsed/>
    <w:rsid w:val="00C3770E"/>
    <w:pPr>
      <w:spacing w:after="100"/>
      <w:ind w:left="1920"/>
    </w:pPr>
  </w:style>
  <w:style w:type="paragraph" w:styleId="Vanliginnrykk">
    <w:name w:val="Normal Indent"/>
    <w:basedOn w:val="Normal"/>
    <w:uiPriority w:val="99"/>
    <w:unhideWhenUsed/>
    <w:rsid w:val="00C3770E"/>
    <w:pPr>
      <w:ind w:left="708"/>
    </w:pPr>
  </w:style>
  <w:style w:type="paragraph" w:styleId="Stikkordregisteroverskrift">
    <w:name w:val="index heading"/>
    <w:basedOn w:val="Normal"/>
    <w:next w:val="Indeks1"/>
    <w:uiPriority w:val="99"/>
    <w:unhideWhenUsed/>
    <w:rsid w:val="00C3770E"/>
    <w:rPr>
      <w:rFonts w:asciiTheme="majorHAnsi" w:eastAsiaTheme="majorEastAsia" w:hAnsiTheme="majorHAnsi" w:cstheme="majorBidi"/>
      <w:b/>
      <w:bCs/>
    </w:rPr>
  </w:style>
  <w:style w:type="paragraph" w:styleId="Figurliste">
    <w:name w:val="table of figures"/>
    <w:basedOn w:val="Normal"/>
    <w:next w:val="Normal"/>
    <w:uiPriority w:val="99"/>
    <w:unhideWhenUsed/>
    <w:rsid w:val="00C3770E"/>
    <w:pPr>
      <w:spacing w:after="0"/>
    </w:pPr>
  </w:style>
  <w:style w:type="paragraph" w:styleId="Konvoluttadresse">
    <w:name w:val="envelope address"/>
    <w:basedOn w:val="Normal"/>
    <w:uiPriority w:val="99"/>
    <w:unhideWhenUsed/>
    <w:rsid w:val="00C3770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3770E"/>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C3770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3770E"/>
    <w:rPr>
      <w:rFonts w:ascii="Times New Roman" w:eastAsia="Times New Roman" w:hAnsi="Times New Roman"/>
      <w:sz w:val="20"/>
      <w:szCs w:val="20"/>
    </w:rPr>
  </w:style>
  <w:style w:type="paragraph" w:styleId="Kildeliste">
    <w:name w:val="table of authorities"/>
    <w:basedOn w:val="Normal"/>
    <w:next w:val="Normal"/>
    <w:uiPriority w:val="99"/>
    <w:unhideWhenUsed/>
    <w:rsid w:val="00C3770E"/>
    <w:pPr>
      <w:spacing w:after="0"/>
      <w:ind w:left="240" w:hanging="240"/>
    </w:pPr>
  </w:style>
  <w:style w:type="paragraph" w:styleId="Makrotekst">
    <w:name w:val="macro"/>
    <w:link w:val="MakrotekstTegn"/>
    <w:uiPriority w:val="99"/>
    <w:unhideWhenUsed/>
    <w:rsid w:val="00C3770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C3770E"/>
    <w:rPr>
      <w:rFonts w:ascii="Consolas" w:eastAsia="Times New Roman" w:hAnsi="Consolas"/>
      <w:sz w:val="20"/>
      <w:szCs w:val="20"/>
    </w:rPr>
  </w:style>
  <w:style w:type="paragraph" w:styleId="Kildelisteoverskrift">
    <w:name w:val="toa heading"/>
    <w:basedOn w:val="Normal"/>
    <w:next w:val="Normal"/>
    <w:uiPriority w:val="99"/>
    <w:unhideWhenUsed/>
    <w:rsid w:val="00C3770E"/>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C3770E"/>
    <w:pPr>
      <w:spacing w:after="0" w:line="240" w:lineRule="auto"/>
      <w:ind w:left="4252"/>
    </w:pPr>
  </w:style>
  <w:style w:type="character" w:customStyle="1" w:styleId="HilsenTegn">
    <w:name w:val="Hilsen Tegn"/>
    <w:basedOn w:val="Standardskriftforavsnitt"/>
    <w:link w:val="Hilsen"/>
    <w:uiPriority w:val="99"/>
    <w:rsid w:val="00C3770E"/>
    <w:rPr>
      <w:rFonts w:ascii="Times New Roman" w:eastAsia="Times New Roman" w:hAnsi="Times New Roman"/>
      <w:sz w:val="24"/>
    </w:rPr>
  </w:style>
  <w:style w:type="paragraph" w:styleId="Underskrift">
    <w:name w:val="Signature"/>
    <w:basedOn w:val="Normal"/>
    <w:link w:val="UnderskriftTegn"/>
    <w:uiPriority w:val="99"/>
    <w:unhideWhenUsed/>
    <w:rsid w:val="00C3770E"/>
    <w:pPr>
      <w:spacing w:after="0" w:line="240" w:lineRule="auto"/>
      <w:ind w:left="4252"/>
    </w:pPr>
  </w:style>
  <w:style w:type="character" w:customStyle="1" w:styleId="UnderskriftTegn">
    <w:name w:val="Underskrift Tegn"/>
    <w:basedOn w:val="Standardskriftforavsnitt"/>
    <w:link w:val="Underskrift"/>
    <w:uiPriority w:val="99"/>
    <w:rsid w:val="00C3770E"/>
    <w:rPr>
      <w:rFonts w:ascii="Times New Roman" w:eastAsia="Times New Roman" w:hAnsi="Times New Roman"/>
      <w:sz w:val="24"/>
    </w:rPr>
  </w:style>
  <w:style w:type="paragraph" w:styleId="Brdtekst">
    <w:name w:val="Body Text"/>
    <w:basedOn w:val="Normal"/>
    <w:link w:val="BrdtekstTegn"/>
    <w:uiPriority w:val="99"/>
    <w:unhideWhenUsed/>
    <w:rsid w:val="00C3770E"/>
  </w:style>
  <w:style w:type="character" w:customStyle="1" w:styleId="BrdtekstTegn">
    <w:name w:val="Brødtekst Tegn"/>
    <w:basedOn w:val="Standardskriftforavsnitt"/>
    <w:link w:val="Brdtekst"/>
    <w:uiPriority w:val="99"/>
    <w:rsid w:val="00C3770E"/>
    <w:rPr>
      <w:rFonts w:ascii="Times New Roman" w:eastAsia="Times New Roman" w:hAnsi="Times New Roman"/>
      <w:sz w:val="24"/>
    </w:rPr>
  </w:style>
  <w:style w:type="paragraph" w:styleId="Brdtekstinnrykk">
    <w:name w:val="Body Text Indent"/>
    <w:basedOn w:val="Normal"/>
    <w:link w:val="BrdtekstinnrykkTegn"/>
    <w:uiPriority w:val="99"/>
    <w:unhideWhenUsed/>
    <w:rsid w:val="00C3770E"/>
    <w:pPr>
      <w:ind w:left="283"/>
    </w:pPr>
  </w:style>
  <w:style w:type="character" w:customStyle="1" w:styleId="BrdtekstinnrykkTegn">
    <w:name w:val="Brødtekstinnrykk Tegn"/>
    <w:basedOn w:val="Standardskriftforavsnitt"/>
    <w:link w:val="Brdtekstinnrykk"/>
    <w:uiPriority w:val="99"/>
    <w:rsid w:val="00C3770E"/>
    <w:rPr>
      <w:rFonts w:ascii="Times New Roman" w:eastAsia="Times New Roman" w:hAnsi="Times New Roman"/>
      <w:sz w:val="24"/>
    </w:rPr>
  </w:style>
  <w:style w:type="paragraph" w:styleId="Meldingshode">
    <w:name w:val="Message Header"/>
    <w:basedOn w:val="Normal"/>
    <w:link w:val="MeldingshodeTegn"/>
    <w:uiPriority w:val="99"/>
    <w:unhideWhenUsed/>
    <w:rsid w:val="00C377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3770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C3770E"/>
  </w:style>
  <w:style w:type="character" w:customStyle="1" w:styleId="InnledendehilsenTegn">
    <w:name w:val="Innledende hilsen Tegn"/>
    <w:basedOn w:val="Standardskriftforavsnitt"/>
    <w:link w:val="Innledendehilsen"/>
    <w:uiPriority w:val="99"/>
    <w:rsid w:val="00C3770E"/>
    <w:rPr>
      <w:rFonts w:ascii="Times New Roman" w:eastAsia="Times New Roman" w:hAnsi="Times New Roman"/>
      <w:sz w:val="24"/>
    </w:rPr>
  </w:style>
  <w:style w:type="paragraph" w:styleId="Dato">
    <w:name w:val="Date"/>
    <w:basedOn w:val="Normal"/>
    <w:next w:val="Normal"/>
    <w:link w:val="DatoTegn"/>
    <w:uiPriority w:val="99"/>
    <w:unhideWhenUsed/>
    <w:rsid w:val="00C3770E"/>
  </w:style>
  <w:style w:type="character" w:customStyle="1" w:styleId="DatoTegn">
    <w:name w:val="Dato Tegn"/>
    <w:basedOn w:val="Standardskriftforavsnitt"/>
    <w:link w:val="Dato"/>
    <w:uiPriority w:val="99"/>
    <w:rsid w:val="00C3770E"/>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C3770E"/>
    <w:pPr>
      <w:spacing w:after="0" w:line="240" w:lineRule="auto"/>
    </w:pPr>
  </w:style>
  <w:style w:type="character" w:customStyle="1" w:styleId="NotatoverskriftTegn">
    <w:name w:val="Notatoverskrift Tegn"/>
    <w:basedOn w:val="Standardskriftforavsnitt"/>
    <w:link w:val="Notatoverskrift"/>
    <w:uiPriority w:val="99"/>
    <w:rsid w:val="00C3770E"/>
    <w:rPr>
      <w:rFonts w:ascii="Times New Roman" w:eastAsia="Times New Roman" w:hAnsi="Times New Roman"/>
      <w:sz w:val="24"/>
    </w:rPr>
  </w:style>
  <w:style w:type="paragraph" w:styleId="Brdtekst2">
    <w:name w:val="Body Text 2"/>
    <w:basedOn w:val="Normal"/>
    <w:link w:val="Brdtekst2Tegn"/>
    <w:uiPriority w:val="99"/>
    <w:unhideWhenUsed/>
    <w:rsid w:val="00C3770E"/>
    <w:pPr>
      <w:spacing w:line="480" w:lineRule="auto"/>
    </w:pPr>
  </w:style>
  <w:style w:type="character" w:customStyle="1" w:styleId="Brdtekst2Tegn">
    <w:name w:val="Brødtekst 2 Tegn"/>
    <w:basedOn w:val="Standardskriftforavsnitt"/>
    <w:link w:val="Brdtekst2"/>
    <w:uiPriority w:val="99"/>
    <w:rsid w:val="00C3770E"/>
    <w:rPr>
      <w:rFonts w:ascii="Times New Roman" w:eastAsia="Times New Roman" w:hAnsi="Times New Roman"/>
      <w:sz w:val="24"/>
    </w:rPr>
  </w:style>
  <w:style w:type="paragraph" w:styleId="Brdtekst3">
    <w:name w:val="Body Text 3"/>
    <w:basedOn w:val="Normal"/>
    <w:link w:val="Brdtekst3Tegn"/>
    <w:uiPriority w:val="99"/>
    <w:unhideWhenUsed/>
    <w:rsid w:val="00C3770E"/>
    <w:rPr>
      <w:sz w:val="16"/>
      <w:szCs w:val="16"/>
    </w:rPr>
  </w:style>
  <w:style w:type="character" w:customStyle="1" w:styleId="Brdtekst3Tegn">
    <w:name w:val="Brødtekst 3 Tegn"/>
    <w:basedOn w:val="Standardskriftforavsnitt"/>
    <w:link w:val="Brdtekst3"/>
    <w:uiPriority w:val="99"/>
    <w:rsid w:val="00C3770E"/>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C3770E"/>
    <w:pPr>
      <w:spacing w:line="480" w:lineRule="auto"/>
      <w:ind w:left="283"/>
    </w:pPr>
  </w:style>
  <w:style w:type="character" w:customStyle="1" w:styleId="Brdtekstinnrykk2Tegn">
    <w:name w:val="Brødtekstinnrykk 2 Tegn"/>
    <w:basedOn w:val="Standardskriftforavsnitt"/>
    <w:link w:val="Brdtekstinnrykk2"/>
    <w:uiPriority w:val="99"/>
    <w:rsid w:val="00C3770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C3770E"/>
    <w:pPr>
      <w:ind w:left="283"/>
    </w:pPr>
    <w:rPr>
      <w:sz w:val="16"/>
      <w:szCs w:val="16"/>
    </w:rPr>
  </w:style>
  <w:style w:type="character" w:customStyle="1" w:styleId="Brdtekstinnrykk3Tegn">
    <w:name w:val="Brødtekstinnrykk 3 Tegn"/>
    <w:basedOn w:val="Standardskriftforavsnitt"/>
    <w:link w:val="Brdtekstinnrykk3"/>
    <w:uiPriority w:val="99"/>
    <w:rsid w:val="00C3770E"/>
    <w:rPr>
      <w:rFonts w:ascii="Times New Roman" w:eastAsia="Times New Roman" w:hAnsi="Times New Roman"/>
      <w:sz w:val="16"/>
      <w:szCs w:val="16"/>
    </w:rPr>
  </w:style>
  <w:style w:type="paragraph" w:styleId="Blokktekst">
    <w:name w:val="Block Text"/>
    <w:basedOn w:val="Normal"/>
    <w:uiPriority w:val="99"/>
    <w:unhideWhenUsed/>
    <w:rsid w:val="00C377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C3770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3770E"/>
    <w:rPr>
      <w:rFonts w:ascii="Tahoma" w:eastAsia="Times New Roman" w:hAnsi="Tahoma" w:cs="Tahoma"/>
      <w:sz w:val="16"/>
      <w:szCs w:val="16"/>
    </w:rPr>
  </w:style>
  <w:style w:type="paragraph" w:styleId="Rentekst">
    <w:name w:val="Plain Text"/>
    <w:basedOn w:val="Normal"/>
    <w:link w:val="RentekstTegn"/>
    <w:uiPriority w:val="99"/>
    <w:unhideWhenUsed/>
    <w:rsid w:val="00C3770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3770E"/>
    <w:rPr>
      <w:rFonts w:ascii="Consolas" w:eastAsia="Times New Roman" w:hAnsi="Consolas"/>
      <w:sz w:val="21"/>
      <w:szCs w:val="21"/>
    </w:rPr>
  </w:style>
  <w:style w:type="paragraph" w:styleId="E-postsignatur">
    <w:name w:val="E-mail Signature"/>
    <w:basedOn w:val="Normal"/>
    <w:link w:val="E-postsignaturTegn"/>
    <w:uiPriority w:val="99"/>
    <w:unhideWhenUsed/>
    <w:rsid w:val="00C3770E"/>
    <w:pPr>
      <w:spacing w:after="0" w:line="240" w:lineRule="auto"/>
    </w:pPr>
  </w:style>
  <w:style w:type="character" w:customStyle="1" w:styleId="E-postsignaturTegn">
    <w:name w:val="E-postsignatur Tegn"/>
    <w:basedOn w:val="Standardskriftforavsnitt"/>
    <w:link w:val="E-postsignatur"/>
    <w:uiPriority w:val="99"/>
    <w:rsid w:val="00C3770E"/>
    <w:rPr>
      <w:rFonts w:ascii="Times New Roman" w:eastAsia="Times New Roman" w:hAnsi="Times New Roman"/>
      <w:sz w:val="24"/>
    </w:rPr>
  </w:style>
  <w:style w:type="paragraph" w:styleId="HTML-adresse">
    <w:name w:val="HTML Address"/>
    <w:basedOn w:val="Normal"/>
    <w:link w:val="HTML-adresseTegn"/>
    <w:uiPriority w:val="99"/>
    <w:unhideWhenUsed/>
    <w:rsid w:val="00C3770E"/>
    <w:pPr>
      <w:spacing w:after="0" w:line="240" w:lineRule="auto"/>
    </w:pPr>
    <w:rPr>
      <w:i/>
      <w:iCs/>
    </w:rPr>
  </w:style>
  <w:style w:type="character" w:customStyle="1" w:styleId="HTML-adresseTegn">
    <w:name w:val="HTML-adresse Tegn"/>
    <w:basedOn w:val="Standardskriftforavsnitt"/>
    <w:link w:val="HTML-adresse"/>
    <w:uiPriority w:val="99"/>
    <w:rsid w:val="00C3770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C3770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3770E"/>
    <w:rPr>
      <w:rFonts w:ascii="Consolas" w:eastAsia="Times New Roman" w:hAnsi="Consolas"/>
      <w:sz w:val="20"/>
      <w:szCs w:val="20"/>
    </w:rPr>
  </w:style>
  <w:style w:type="paragraph" w:styleId="Bibliografi">
    <w:name w:val="Bibliography"/>
    <w:basedOn w:val="Normal"/>
    <w:next w:val="Normal"/>
    <w:uiPriority w:val="37"/>
    <w:unhideWhenUsed/>
    <w:rsid w:val="00C3770E"/>
  </w:style>
  <w:style w:type="paragraph" w:customStyle="1" w:styleId="Figur">
    <w:name w:val="Figur"/>
    <w:basedOn w:val="Normal"/>
    <w:rsid w:val="00C3770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C3770E"/>
    <w:pPr>
      <w:ind w:firstLine="360"/>
    </w:pPr>
  </w:style>
  <w:style w:type="character" w:customStyle="1" w:styleId="Brdtekst-frsteinnrykkTegn">
    <w:name w:val="Brødtekst - første innrykk Tegn"/>
    <w:basedOn w:val="BrdtekstTegn"/>
    <w:link w:val="Brdtekst-frsteinnrykk"/>
    <w:uiPriority w:val="99"/>
    <w:rsid w:val="00C3770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C3770E"/>
    <w:pPr>
      <w:ind w:left="360" w:firstLine="360"/>
    </w:pPr>
  </w:style>
  <w:style w:type="character" w:customStyle="1" w:styleId="Brdtekst-frsteinnrykk2Tegn">
    <w:name w:val="Brødtekst - første innrykk 2 Tegn"/>
    <w:basedOn w:val="BrdtekstinnrykkTegn"/>
    <w:link w:val="Brdtekst-frsteinnrykk2"/>
    <w:uiPriority w:val="99"/>
    <w:rsid w:val="00C3770E"/>
    <w:rPr>
      <w:rFonts w:ascii="Times New Roman" w:eastAsia="Times New Roman" w:hAnsi="Times New Roman"/>
      <w:sz w:val="24"/>
    </w:rPr>
  </w:style>
  <w:style w:type="paragraph" w:styleId="Liste-forts">
    <w:name w:val="List Continue"/>
    <w:basedOn w:val="Normal"/>
    <w:uiPriority w:val="99"/>
    <w:unhideWhenUsed/>
    <w:rsid w:val="00C3770E"/>
    <w:pPr>
      <w:ind w:left="283"/>
      <w:contextualSpacing/>
    </w:pPr>
  </w:style>
  <w:style w:type="paragraph" w:styleId="Liste-forts2">
    <w:name w:val="List Continue 2"/>
    <w:basedOn w:val="Normal"/>
    <w:uiPriority w:val="99"/>
    <w:unhideWhenUsed/>
    <w:rsid w:val="00C3770E"/>
    <w:pPr>
      <w:ind w:left="566"/>
      <w:contextualSpacing/>
    </w:pPr>
  </w:style>
  <w:style w:type="paragraph" w:styleId="Liste-forts3">
    <w:name w:val="List Continue 3"/>
    <w:basedOn w:val="Normal"/>
    <w:uiPriority w:val="99"/>
    <w:unhideWhenUsed/>
    <w:rsid w:val="00C3770E"/>
    <w:pPr>
      <w:ind w:left="849"/>
      <w:contextualSpacing/>
    </w:pPr>
  </w:style>
  <w:style w:type="paragraph" w:styleId="Liste-forts4">
    <w:name w:val="List Continue 4"/>
    <w:basedOn w:val="Normal"/>
    <w:uiPriority w:val="99"/>
    <w:unhideWhenUsed/>
    <w:rsid w:val="00C3770E"/>
    <w:pPr>
      <w:ind w:left="1132"/>
      <w:contextualSpacing/>
    </w:pPr>
  </w:style>
  <w:style w:type="paragraph" w:styleId="Liste-forts5">
    <w:name w:val="List Continue 5"/>
    <w:basedOn w:val="Normal"/>
    <w:uiPriority w:val="99"/>
    <w:unhideWhenUsed/>
    <w:rsid w:val="00C3770E"/>
    <w:pPr>
      <w:ind w:left="1415"/>
      <w:contextualSpacing/>
    </w:pPr>
  </w:style>
  <w:style w:type="paragraph" w:customStyle="1" w:styleId="Sammendrag">
    <w:name w:val="Sammendrag"/>
    <w:basedOn w:val="Overskrift1"/>
    <w:qFormat/>
    <w:rsid w:val="00C3770E"/>
    <w:pPr>
      <w:numPr>
        <w:numId w:val="0"/>
      </w:numPr>
    </w:pPr>
  </w:style>
  <w:style w:type="paragraph" w:customStyle="1" w:styleId="TrykkeriMerknad">
    <w:name w:val="TrykkeriMerknad"/>
    <w:basedOn w:val="Normal"/>
    <w:qFormat/>
    <w:rsid w:val="00C3770E"/>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C3770E"/>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C3770E"/>
    <w:pPr>
      <w:keepNext/>
      <w:spacing w:before="240" w:after="240"/>
    </w:pPr>
    <w:rPr>
      <w:spacing w:val="4"/>
    </w:rPr>
  </w:style>
  <w:style w:type="paragraph" w:customStyle="1" w:styleId="a-tilraar-tit">
    <w:name w:val="a-tilraar-tit"/>
    <w:basedOn w:val="Normal"/>
    <w:next w:val="Normal"/>
    <w:rsid w:val="00C3770E"/>
    <w:pPr>
      <w:keepNext/>
      <w:keepLines/>
      <w:spacing w:before="240"/>
      <w:jc w:val="center"/>
    </w:pPr>
    <w:rPr>
      <w:spacing w:val="30"/>
    </w:rPr>
  </w:style>
  <w:style w:type="paragraph" w:customStyle="1" w:styleId="ramme-noter">
    <w:name w:val="ramme-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C3770E"/>
  </w:style>
  <w:style w:type="paragraph" w:customStyle="1" w:styleId="del-nr">
    <w:name w:val="del-nr"/>
    <w:basedOn w:val="Normal"/>
    <w:qFormat/>
    <w:rsid w:val="00C3770E"/>
    <w:pPr>
      <w:keepNext/>
      <w:keepLines/>
      <w:spacing w:before="360" w:after="0" w:line="240" w:lineRule="auto"/>
      <w:jc w:val="center"/>
    </w:pPr>
    <w:rPr>
      <w:rFonts w:eastAsia="Batang"/>
      <w:i/>
      <w:sz w:val="48"/>
      <w:szCs w:val="20"/>
    </w:rPr>
  </w:style>
  <w:style w:type="paragraph" w:customStyle="1" w:styleId="del-tittel">
    <w:name w:val="del-tittel"/>
    <w:uiPriority w:val="99"/>
    <w:rsid w:val="00C3770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3770E"/>
    <w:rPr>
      <w:spacing w:val="4"/>
    </w:rPr>
  </w:style>
  <w:style w:type="paragraph" w:customStyle="1" w:styleId="figur-noter">
    <w:name w:val="figur-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C3770E"/>
    <w:pPr>
      <w:spacing w:before="240"/>
      <w:jc w:val="center"/>
    </w:pPr>
    <w:rPr>
      <w:spacing w:val="4"/>
    </w:rPr>
  </w:style>
  <w:style w:type="paragraph" w:customStyle="1" w:styleId="hengende-innrykk">
    <w:name w:val="hengende-innrykk"/>
    <w:basedOn w:val="Normal"/>
    <w:next w:val="Normal"/>
    <w:rsid w:val="00C3770E"/>
    <w:pPr>
      <w:ind w:left="1418" w:hanging="1418"/>
    </w:pPr>
    <w:rPr>
      <w:spacing w:val="4"/>
    </w:rPr>
  </w:style>
  <w:style w:type="paragraph" w:customStyle="1" w:styleId="i-dep">
    <w:name w:val="i-dep"/>
    <w:basedOn w:val="Normal"/>
    <w:next w:val="Normal"/>
    <w:rsid w:val="00C3770E"/>
    <w:pPr>
      <w:jc w:val="right"/>
    </w:pPr>
    <w:rPr>
      <w:rFonts w:ascii="Times" w:hAnsi="Times"/>
      <w:b/>
      <w:noProof/>
      <w:spacing w:val="4"/>
      <w:u w:val="single"/>
    </w:rPr>
  </w:style>
  <w:style w:type="paragraph" w:customStyle="1" w:styleId="i-undertit">
    <w:name w:val="i-undertit"/>
    <w:basedOn w:val="Normal"/>
    <w:next w:val="Normal"/>
    <w:rsid w:val="00C3770E"/>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C3770E"/>
    <w:pPr>
      <w:ind w:left="1701" w:hanging="1701"/>
    </w:pPr>
  </w:style>
  <w:style w:type="paragraph" w:customStyle="1" w:styleId="i-statsrdato">
    <w:name w:val="i-statsr.dato"/>
    <w:basedOn w:val="Normal"/>
    <w:next w:val="Normal"/>
    <w:rsid w:val="00C3770E"/>
    <w:pPr>
      <w:jc w:val="center"/>
    </w:pPr>
    <w:rPr>
      <w:rFonts w:ascii="Times" w:hAnsi="Times"/>
      <w:i/>
      <w:noProof/>
      <w:spacing w:val="4"/>
    </w:rPr>
  </w:style>
  <w:style w:type="paragraph" w:customStyle="1" w:styleId="i-tit">
    <w:name w:val="i-tit"/>
    <w:basedOn w:val="Normal"/>
    <w:next w:val="i-statsrdato"/>
    <w:rsid w:val="00C3770E"/>
    <w:pPr>
      <w:spacing w:before="360" w:after="240"/>
      <w:jc w:val="center"/>
    </w:pPr>
    <w:rPr>
      <w:rFonts w:ascii="Times" w:hAnsi="Times"/>
      <w:b/>
      <w:noProof/>
      <w:spacing w:val="4"/>
      <w:sz w:val="32"/>
    </w:rPr>
  </w:style>
  <w:style w:type="paragraph" w:customStyle="1" w:styleId="is-dep">
    <w:name w:val="is-dep"/>
    <w:basedOn w:val="i-dep"/>
    <w:qFormat/>
    <w:rsid w:val="00C3770E"/>
    <w:pPr>
      <w:spacing w:line="240" w:lineRule="auto"/>
    </w:pPr>
    <w:rPr>
      <w:szCs w:val="20"/>
    </w:rPr>
  </w:style>
  <w:style w:type="paragraph" w:customStyle="1" w:styleId="Kilde">
    <w:name w:val="Kilde"/>
    <w:basedOn w:val="Normal"/>
    <w:next w:val="Normal"/>
    <w:rsid w:val="00C3770E"/>
    <w:pPr>
      <w:spacing w:after="240"/>
    </w:pPr>
    <w:rPr>
      <w:spacing w:val="4"/>
      <w:sz w:val="20"/>
    </w:rPr>
  </w:style>
  <w:style w:type="paragraph" w:customStyle="1" w:styleId="l-avsnitt">
    <w:name w:val="l-avsnitt"/>
    <w:basedOn w:val="l-lovkap"/>
    <w:qFormat/>
    <w:rsid w:val="00C3770E"/>
    <w:rPr>
      <w:lang w:val="nn-NO"/>
    </w:rPr>
  </w:style>
  <w:style w:type="paragraph" w:customStyle="1" w:styleId="l-lovdeltit">
    <w:name w:val="l-lovdeltit"/>
    <w:basedOn w:val="Normal"/>
    <w:next w:val="Normal"/>
    <w:rsid w:val="00C3770E"/>
    <w:pPr>
      <w:keepNext/>
      <w:spacing w:before="120" w:after="60"/>
    </w:pPr>
    <w:rPr>
      <w:b/>
    </w:rPr>
  </w:style>
  <w:style w:type="paragraph" w:customStyle="1" w:styleId="l-lovkap">
    <w:name w:val="l-lovkap"/>
    <w:basedOn w:val="Normal"/>
    <w:next w:val="Normal"/>
    <w:rsid w:val="00C3770E"/>
    <w:pPr>
      <w:keepNext/>
      <w:spacing w:before="240" w:after="40"/>
    </w:pPr>
    <w:rPr>
      <w:b/>
      <w:spacing w:val="4"/>
    </w:rPr>
  </w:style>
  <w:style w:type="paragraph" w:customStyle="1" w:styleId="l-lovtit">
    <w:name w:val="l-lovtit"/>
    <w:basedOn w:val="Normal"/>
    <w:next w:val="Normal"/>
    <w:rsid w:val="00C3770E"/>
    <w:pPr>
      <w:keepNext/>
      <w:spacing w:before="120" w:after="60"/>
    </w:pPr>
    <w:rPr>
      <w:b/>
      <w:spacing w:val="4"/>
    </w:rPr>
  </w:style>
  <w:style w:type="paragraph" w:customStyle="1" w:styleId="l-punktum">
    <w:name w:val="l-punktum"/>
    <w:basedOn w:val="Normal"/>
    <w:qFormat/>
    <w:rsid w:val="00C3770E"/>
    <w:pPr>
      <w:spacing w:after="0"/>
    </w:pPr>
    <w:rPr>
      <w:spacing w:val="4"/>
    </w:rPr>
  </w:style>
  <w:style w:type="paragraph" w:customStyle="1" w:styleId="l-tit-endr-avsnitt">
    <w:name w:val="l-tit-endr-avsnitt"/>
    <w:basedOn w:val="l-tit-endr-lovkap"/>
    <w:qFormat/>
    <w:rsid w:val="00C3770E"/>
  </w:style>
  <w:style w:type="paragraph" w:customStyle="1" w:styleId="l-tit-endr-ledd">
    <w:name w:val="l-tit-endr-ledd"/>
    <w:basedOn w:val="Normal"/>
    <w:qFormat/>
    <w:rsid w:val="00C3770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3770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3770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3770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3770E"/>
  </w:style>
  <w:style w:type="paragraph" w:customStyle="1" w:styleId="Listeavsnitt2">
    <w:name w:val="Listeavsnitt 2"/>
    <w:basedOn w:val="Normal"/>
    <w:qFormat/>
    <w:rsid w:val="00C3770E"/>
    <w:pPr>
      <w:spacing w:before="60" w:after="0"/>
      <w:ind w:left="794"/>
    </w:pPr>
  </w:style>
  <w:style w:type="paragraph" w:customStyle="1" w:styleId="Listeavsnitt3">
    <w:name w:val="Listeavsnitt 3"/>
    <w:basedOn w:val="Normal"/>
    <w:qFormat/>
    <w:rsid w:val="00C3770E"/>
    <w:pPr>
      <w:spacing w:before="60" w:after="0"/>
      <w:ind w:left="1191"/>
    </w:pPr>
  </w:style>
  <w:style w:type="paragraph" w:customStyle="1" w:styleId="Listeavsnitt4">
    <w:name w:val="Listeavsnitt 4"/>
    <w:basedOn w:val="Normal"/>
    <w:qFormat/>
    <w:rsid w:val="00C3770E"/>
    <w:pPr>
      <w:spacing w:before="60" w:after="0"/>
      <w:ind w:left="1588"/>
    </w:pPr>
  </w:style>
  <w:style w:type="paragraph" w:customStyle="1" w:styleId="Listeavsnitt5">
    <w:name w:val="Listeavsnitt 5"/>
    <w:basedOn w:val="Normal"/>
    <w:qFormat/>
    <w:rsid w:val="00C3770E"/>
    <w:pPr>
      <w:spacing w:before="60" w:after="0"/>
      <w:ind w:left="1985"/>
    </w:pPr>
  </w:style>
  <w:style w:type="paragraph" w:customStyle="1" w:styleId="Normalref">
    <w:name w:val="Normalref"/>
    <w:basedOn w:val="Normal"/>
    <w:qFormat/>
    <w:rsid w:val="00C3770E"/>
    <w:pPr>
      <w:ind w:left="357" w:hanging="357"/>
    </w:pPr>
  </w:style>
  <w:style w:type="paragraph" w:customStyle="1" w:styleId="Petit">
    <w:name w:val="Petit"/>
    <w:basedOn w:val="Normal"/>
    <w:next w:val="Normal"/>
    <w:qFormat/>
    <w:rsid w:val="00C3770E"/>
    <w:rPr>
      <w:spacing w:val="6"/>
      <w:sz w:val="19"/>
    </w:rPr>
  </w:style>
  <w:style w:type="paragraph" w:customStyle="1" w:styleId="Ramme-slutt">
    <w:name w:val="Ramme-slutt"/>
    <w:basedOn w:val="NormalWeb"/>
    <w:qFormat/>
    <w:rsid w:val="00C3770E"/>
    <w:rPr>
      <w:b/>
      <w:color w:val="C00000"/>
    </w:rPr>
  </w:style>
  <w:style w:type="paragraph" w:customStyle="1" w:styleId="tabell-noter">
    <w:name w:val="tabell-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C3770E"/>
    <w:rPr>
      <w:rFonts w:ascii="Times" w:hAnsi="Times"/>
      <w:vanish/>
      <w:color w:val="00B050"/>
    </w:rPr>
  </w:style>
  <w:style w:type="paragraph" w:customStyle="1" w:styleId="Term">
    <w:name w:val="Term"/>
    <w:basedOn w:val="Normal"/>
    <w:qFormat/>
    <w:rsid w:val="00C3770E"/>
  </w:style>
  <w:style w:type="paragraph" w:customStyle="1" w:styleId="tittel-forord">
    <w:name w:val="tittel-forord"/>
    <w:basedOn w:val="Normal"/>
    <w:next w:val="Normal"/>
    <w:rsid w:val="00C3770E"/>
    <w:pPr>
      <w:keepNext/>
      <w:keepLines/>
      <w:jc w:val="center"/>
    </w:pPr>
    <w:rPr>
      <w:rFonts w:ascii="Arial" w:hAnsi="Arial"/>
      <w:b/>
      <w:sz w:val="28"/>
    </w:rPr>
  </w:style>
  <w:style w:type="paragraph" w:customStyle="1" w:styleId="tittel-litteraturliste">
    <w:name w:val="tittel-litteraturliste"/>
    <w:basedOn w:val="Normal"/>
    <w:next w:val="Normal"/>
    <w:rsid w:val="00C3770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3770E"/>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C3770E"/>
    <w:pPr>
      <w:numPr>
        <w:numId w:val="0"/>
      </w:numPr>
    </w:pPr>
    <w:rPr>
      <w:b w:val="0"/>
      <w:i/>
    </w:rPr>
  </w:style>
  <w:style w:type="paragraph" w:customStyle="1" w:styleId="Undervedl-tittel">
    <w:name w:val="Undervedl-tittel"/>
    <w:basedOn w:val="Normal"/>
    <w:next w:val="Normal"/>
    <w:rsid w:val="00C3770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3770E"/>
    <w:pPr>
      <w:numPr>
        <w:numId w:val="0"/>
      </w:numPr>
      <w:outlineLvl w:val="9"/>
    </w:pPr>
  </w:style>
  <w:style w:type="paragraph" w:customStyle="1" w:styleId="v-Overskrift2">
    <w:name w:val="v-Overskrift 2"/>
    <w:basedOn w:val="Overskrift2"/>
    <w:next w:val="Normal"/>
    <w:rsid w:val="00C3770E"/>
    <w:pPr>
      <w:numPr>
        <w:ilvl w:val="0"/>
        <w:numId w:val="0"/>
      </w:numPr>
      <w:outlineLvl w:val="9"/>
    </w:pPr>
  </w:style>
  <w:style w:type="paragraph" w:customStyle="1" w:styleId="v-Overskrift3">
    <w:name w:val="v-Overskrift 3"/>
    <w:basedOn w:val="Overskrift3"/>
    <w:next w:val="Normal"/>
    <w:rsid w:val="00C3770E"/>
    <w:pPr>
      <w:numPr>
        <w:ilvl w:val="0"/>
        <w:numId w:val="0"/>
      </w:numPr>
      <w:outlineLvl w:val="9"/>
    </w:pPr>
  </w:style>
  <w:style w:type="paragraph" w:customStyle="1" w:styleId="vedlegg-nr">
    <w:name w:val="vedlegg-nr"/>
    <w:basedOn w:val="Normal"/>
    <w:next w:val="Normal"/>
    <w:rsid w:val="00C3770E"/>
    <w:pPr>
      <w:keepNext/>
      <w:keepLines/>
      <w:numPr>
        <w:numId w:val="203"/>
      </w:numPr>
    </w:pPr>
    <w:rPr>
      <w:rFonts w:ascii="Arial" w:hAnsi="Arial"/>
      <w:b/>
      <w:spacing w:val="4"/>
      <w:u w:val="single"/>
    </w:rPr>
  </w:style>
  <w:style w:type="paragraph" w:customStyle="1" w:styleId="vedlegg-tit">
    <w:name w:val="vedlegg-tit"/>
    <w:basedOn w:val="Normal"/>
    <w:next w:val="Normal"/>
    <w:rsid w:val="00C3770E"/>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C3770E"/>
    <w:pPr>
      <w:keepNext/>
      <w:keepLines/>
      <w:jc w:val="center"/>
    </w:pPr>
    <w:rPr>
      <w:rFonts w:eastAsia="Batang"/>
      <w:b/>
      <w:spacing w:val="4"/>
      <w:sz w:val="28"/>
    </w:rPr>
  </w:style>
  <w:style w:type="paragraph" w:customStyle="1" w:styleId="i-hode">
    <w:name w:val="i-hode"/>
    <w:basedOn w:val="Normal"/>
    <w:next w:val="Normal"/>
    <w:rsid w:val="00C3770E"/>
    <w:pPr>
      <w:keepNext/>
      <w:keepLines/>
      <w:spacing w:before="720"/>
      <w:jc w:val="center"/>
    </w:pPr>
    <w:rPr>
      <w:rFonts w:ascii="Times" w:hAnsi="Times"/>
      <w:b/>
      <w:noProof/>
      <w:spacing w:val="4"/>
      <w:sz w:val="56"/>
    </w:rPr>
  </w:style>
  <w:style w:type="paragraph" w:customStyle="1" w:styleId="i-sesjon">
    <w:name w:val="i-sesjon"/>
    <w:basedOn w:val="Normal"/>
    <w:next w:val="Normal"/>
    <w:rsid w:val="00C3770E"/>
    <w:pPr>
      <w:jc w:val="center"/>
    </w:pPr>
    <w:rPr>
      <w:rFonts w:ascii="Times" w:hAnsi="Times"/>
      <w:b/>
      <w:noProof/>
      <w:spacing w:val="4"/>
      <w:sz w:val="28"/>
    </w:rPr>
  </w:style>
  <w:style w:type="paragraph" w:customStyle="1" w:styleId="i-mtit">
    <w:name w:val="i-mtit"/>
    <w:basedOn w:val="Normal"/>
    <w:next w:val="Normal"/>
    <w:rsid w:val="00C3770E"/>
    <w:pPr>
      <w:keepNext/>
      <w:keepLines/>
      <w:spacing w:before="360"/>
      <w:jc w:val="center"/>
    </w:pPr>
    <w:rPr>
      <w:rFonts w:ascii="Times" w:hAnsi="Times"/>
      <w:b/>
      <w:noProof/>
      <w:spacing w:val="4"/>
    </w:rPr>
  </w:style>
  <w:style w:type="paragraph" w:customStyle="1" w:styleId="figur-tittel">
    <w:name w:val="figur-tittel"/>
    <w:basedOn w:val="Normal"/>
    <w:next w:val="Normal"/>
    <w:rsid w:val="00C3770E"/>
    <w:pPr>
      <w:numPr>
        <w:ilvl w:val="5"/>
        <w:numId w:val="219"/>
      </w:numPr>
    </w:pPr>
    <w:rPr>
      <w:rFonts w:ascii="Arial" w:hAnsi="Arial"/>
      <w:spacing w:val="4"/>
    </w:rPr>
  </w:style>
  <w:style w:type="paragraph" w:customStyle="1" w:styleId="tabell-tittel">
    <w:name w:val="tabell-tittel"/>
    <w:basedOn w:val="Normal"/>
    <w:next w:val="Normal"/>
    <w:rsid w:val="00C3770E"/>
    <w:pPr>
      <w:keepNext/>
      <w:keepLines/>
      <w:numPr>
        <w:ilvl w:val="6"/>
        <w:numId w:val="219"/>
      </w:numPr>
      <w:spacing w:before="240"/>
    </w:pPr>
    <w:rPr>
      <w:rFonts w:ascii="Arial" w:hAnsi="Arial"/>
      <w:spacing w:val="4"/>
    </w:rPr>
  </w:style>
  <w:style w:type="paragraph" w:customStyle="1" w:styleId="avsnitt-tittel">
    <w:name w:val="avsnitt-tittel"/>
    <w:basedOn w:val="Normal"/>
    <w:next w:val="Normal"/>
    <w:rsid w:val="00C3770E"/>
    <w:pPr>
      <w:keepNext/>
      <w:keepLines/>
      <w:spacing w:before="360" w:after="60"/>
    </w:pPr>
    <w:rPr>
      <w:rFonts w:ascii="Arial" w:hAnsi="Arial"/>
      <w:spacing w:val="4"/>
      <w:sz w:val="26"/>
    </w:rPr>
  </w:style>
  <w:style w:type="paragraph" w:customStyle="1" w:styleId="Listebombe">
    <w:name w:val="Liste bombe"/>
    <w:basedOn w:val="Liste"/>
    <w:qFormat/>
    <w:rsid w:val="00C3770E"/>
    <w:pPr>
      <w:numPr>
        <w:numId w:val="214"/>
      </w:numPr>
    </w:pPr>
  </w:style>
  <w:style w:type="paragraph" w:customStyle="1" w:styleId="Listebombe2">
    <w:name w:val="Liste bombe 2"/>
    <w:basedOn w:val="Liste2"/>
    <w:qFormat/>
    <w:rsid w:val="00C3770E"/>
    <w:pPr>
      <w:numPr>
        <w:ilvl w:val="0"/>
        <w:numId w:val="215"/>
      </w:numPr>
    </w:pPr>
  </w:style>
  <w:style w:type="paragraph" w:customStyle="1" w:styleId="Listebombe3">
    <w:name w:val="Liste bombe 3"/>
    <w:basedOn w:val="Liste3"/>
    <w:qFormat/>
    <w:rsid w:val="00C3770E"/>
    <w:pPr>
      <w:numPr>
        <w:ilvl w:val="0"/>
        <w:numId w:val="216"/>
      </w:numPr>
    </w:pPr>
  </w:style>
  <w:style w:type="paragraph" w:customStyle="1" w:styleId="Listebombe4">
    <w:name w:val="Liste bombe 4"/>
    <w:basedOn w:val="Liste4"/>
    <w:qFormat/>
    <w:rsid w:val="00C3770E"/>
    <w:pPr>
      <w:numPr>
        <w:ilvl w:val="0"/>
        <w:numId w:val="217"/>
      </w:numPr>
    </w:pPr>
  </w:style>
  <w:style w:type="paragraph" w:customStyle="1" w:styleId="Listebombe5">
    <w:name w:val="Liste bombe 5"/>
    <w:basedOn w:val="Liste5"/>
    <w:qFormat/>
    <w:rsid w:val="00C3770E"/>
    <w:pPr>
      <w:numPr>
        <w:ilvl w:val="0"/>
        <w:numId w:val="218"/>
      </w:numPr>
    </w:pPr>
  </w:style>
  <w:style w:type="paragraph" w:customStyle="1" w:styleId="alfaliste">
    <w:name w:val="alfaliste"/>
    <w:basedOn w:val="Normal"/>
    <w:rsid w:val="00C3770E"/>
    <w:pPr>
      <w:numPr>
        <w:numId w:val="205"/>
      </w:numPr>
      <w:spacing w:after="0"/>
    </w:pPr>
    <w:rPr>
      <w:spacing w:val="4"/>
    </w:rPr>
  </w:style>
  <w:style w:type="paragraph" w:customStyle="1" w:styleId="alfaliste2">
    <w:name w:val="alfaliste 2"/>
    <w:basedOn w:val="Normal"/>
    <w:rsid w:val="00C3770E"/>
    <w:pPr>
      <w:numPr>
        <w:ilvl w:val="1"/>
        <w:numId w:val="205"/>
      </w:numPr>
      <w:spacing w:after="0"/>
    </w:pPr>
    <w:rPr>
      <w:spacing w:val="4"/>
    </w:rPr>
  </w:style>
  <w:style w:type="paragraph" w:customStyle="1" w:styleId="alfaliste3">
    <w:name w:val="alfaliste 3"/>
    <w:basedOn w:val="Normal"/>
    <w:rsid w:val="00C3770E"/>
    <w:pPr>
      <w:numPr>
        <w:ilvl w:val="2"/>
        <w:numId w:val="205"/>
      </w:numPr>
      <w:spacing w:after="0"/>
    </w:pPr>
  </w:style>
  <w:style w:type="paragraph" w:customStyle="1" w:styleId="alfaliste4">
    <w:name w:val="alfaliste 4"/>
    <w:basedOn w:val="Normal"/>
    <w:rsid w:val="00C3770E"/>
    <w:pPr>
      <w:numPr>
        <w:ilvl w:val="3"/>
        <w:numId w:val="205"/>
      </w:numPr>
      <w:spacing w:after="0"/>
    </w:pPr>
  </w:style>
  <w:style w:type="paragraph" w:customStyle="1" w:styleId="alfaliste5">
    <w:name w:val="alfaliste 5"/>
    <w:basedOn w:val="Normal"/>
    <w:rsid w:val="00C3770E"/>
    <w:pPr>
      <w:numPr>
        <w:ilvl w:val="4"/>
        <w:numId w:val="205"/>
      </w:numPr>
      <w:spacing w:after="0"/>
    </w:pPr>
  </w:style>
  <w:style w:type="paragraph" w:customStyle="1" w:styleId="romertallliste">
    <w:name w:val="romertall liste"/>
    <w:basedOn w:val="Normal"/>
    <w:rsid w:val="00C3770E"/>
    <w:pPr>
      <w:numPr>
        <w:numId w:val="213"/>
      </w:numPr>
      <w:spacing w:after="0" w:line="240" w:lineRule="auto"/>
    </w:pPr>
    <w:rPr>
      <w:rFonts w:ascii="Times" w:eastAsia="Batang" w:hAnsi="Times"/>
      <w:szCs w:val="20"/>
    </w:rPr>
  </w:style>
  <w:style w:type="paragraph" w:customStyle="1" w:styleId="romertallliste2">
    <w:name w:val="romertall liste 2"/>
    <w:basedOn w:val="Normal"/>
    <w:rsid w:val="00C3770E"/>
    <w:pPr>
      <w:numPr>
        <w:ilvl w:val="1"/>
        <w:numId w:val="213"/>
      </w:numPr>
      <w:spacing w:after="0" w:line="240" w:lineRule="auto"/>
    </w:pPr>
    <w:rPr>
      <w:rFonts w:ascii="Times" w:eastAsia="Batang" w:hAnsi="Times"/>
      <w:szCs w:val="20"/>
    </w:rPr>
  </w:style>
  <w:style w:type="paragraph" w:customStyle="1" w:styleId="romertallliste3">
    <w:name w:val="romertall liste 3"/>
    <w:basedOn w:val="Normal"/>
    <w:rsid w:val="00C3770E"/>
    <w:pPr>
      <w:numPr>
        <w:ilvl w:val="2"/>
        <w:numId w:val="213"/>
      </w:numPr>
      <w:spacing w:after="0" w:line="240" w:lineRule="auto"/>
    </w:pPr>
    <w:rPr>
      <w:rFonts w:ascii="Times" w:eastAsia="Batang" w:hAnsi="Times"/>
      <w:szCs w:val="20"/>
    </w:rPr>
  </w:style>
  <w:style w:type="paragraph" w:customStyle="1" w:styleId="romertallliste4">
    <w:name w:val="romertall liste 4"/>
    <w:basedOn w:val="Normal"/>
    <w:rsid w:val="00C3770E"/>
    <w:pPr>
      <w:numPr>
        <w:ilvl w:val="3"/>
        <w:numId w:val="213"/>
      </w:numPr>
      <w:spacing w:after="0" w:line="240" w:lineRule="auto"/>
    </w:pPr>
    <w:rPr>
      <w:rFonts w:ascii="Times" w:eastAsia="Batang" w:hAnsi="Times"/>
      <w:szCs w:val="20"/>
    </w:rPr>
  </w:style>
  <w:style w:type="paragraph" w:customStyle="1" w:styleId="romertallliste5">
    <w:name w:val="romertall liste 5"/>
    <w:basedOn w:val="Normal"/>
    <w:qFormat/>
    <w:rsid w:val="00C3770E"/>
    <w:pPr>
      <w:numPr>
        <w:ilvl w:val="4"/>
        <w:numId w:val="213"/>
      </w:numPr>
      <w:spacing w:after="0"/>
    </w:pPr>
    <w:rPr>
      <w:spacing w:val="4"/>
    </w:rPr>
  </w:style>
  <w:style w:type="paragraph" w:customStyle="1" w:styleId="opplisting">
    <w:name w:val="opplisting"/>
    <w:basedOn w:val="Normal"/>
    <w:rsid w:val="00C3770E"/>
    <w:pPr>
      <w:spacing w:after="0"/>
    </w:pPr>
    <w:rPr>
      <w:rFonts w:ascii="Times" w:hAnsi="Times" w:cs="Times New Roman"/>
    </w:rPr>
  </w:style>
  <w:style w:type="paragraph" w:customStyle="1" w:styleId="opplisting2">
    <w:name w:val="opplisting 2"/>
    <w:basedOn w:val="Normal"/>
    <w:qFormat/>
    <w:rsid w:val="00C3770E"/>
    <w:pPr>
      <w:spacing w:after="0"/>
      <w:ind w:left="397"/>
    </w:pPr>
    <w:rPr>
      <w:lang w:val="en-US"/>
    </w:rPr>
  </w:style>
  <w:style w:type="paragraph" w:customStyle="1" w:styleId="opplisting3">
    <w:name w:val="opplisting 3"/>
    <w:basedOn w:val="Normal"/>
    <w:qFormat/>
    <w:rsid w:val="00C3770E"/>
    <w:pPr>
      <w:spacing w:after="0"/>
      <w:ind w:left="794"/>
    </w:pPr>
  </w:style>
  <w:style w:type="paragraph" w:customStyle="1" w:styleId="opplisting4">
    <w:name w:val="opplisting 4"/>
    <w:basedOn w:val="Normal"/>
    <w:qFormat/>
    <w:rsid w:val="00C3770E"/>
    <w:pPr>
      <w:spacing w:after="0"/>
      <w:ind w:left="1191"/>
    </w:pPr>
  </w:style>
  <w:style w:type="paragraph" w:customStyle="1" w:styleId="opplisting5">
    <w:name w:val="opplisting 5"/>
    <w:basedOn w:val="Normal"/>
    <w:qFormat/>
    <w:rsid w:val="00C3770E"/>
    <w:pPr>
      <w:spacing w:after="0"/>
      <w:ind w:left="1588"/>
    </w:pPr>
  </w:style>
  <w:style w:type="paragraph" w:customStyle="1" w:styleId="friliste">
    <w:name w:val="friliste"/>
    <w:basedOn w:val="Normal"/>
    <w:qFormat/>
    <w:rsid w:val="00C3770E"/>
    <w:pPr>
      <w:tabs>
        <w:tab w:val="left" w:pos="397"/>
      </w:tabs>
      <w:spacing w:after="0"/>
      <w:ind w:left="397" w:hanging="397"/>
    </w:pPr>
  </w:style>
  <w:style w:type="paragraph" w:customStyle="1" w:styleId="friliste2">
    <w:name w:val="friliste 2"/>
    <w:basedOn w:val="Normal"/>
    <w:qFormat/>
    <w:rsid w:val="00C3770E"/>
    <w:pPr>
      <w:tabs>
        <w:tab w:val="left" w:pos="794"/>
      </w:tabs>
      <w:spacing w:after="0"/>
      <w:ind w:left="794" w:hanging="397"/>
    </w:pPr>
  </w:style>
  <w:style w:type="paragraph" w:customStyle="1" w:styleId="friliste3">
    <w:name w:val="friliste 3"/>
    <w:basedOn w:val="Normal"/>
    <w:qFormat/>
    <w:rsid w:val="00C3770E"/>
    <w:pPr>
      <w:tabs>
        <w:tab w:val="left" w:pos="1191"/>
      </w:tabs>
      <w:spacing w:after="0"/>
      <w:ind w:left="1191" w:hanging="397"/>
    </w:pPr>
  </w:style>
  <w:style w:type="paragraph" w:customStyle="1" w:styleId="friliste4">
    <w:name w:val="friliste 4"/>
    <w:basedOn w:val="Normal"/>
    <w:qFormat/>
    <w:rsid w:val="00C3770E"/>
    <w:pPr>
      <w:tabs>
        <w:tab w:val="left" w:pos="1588"/>
      </w:tabs>
      <w:spacing w:after="0"/>
      <w:ind w:left="1588" w:hanging="397"/>
    </w:pPr>
  </w:style>
  <w:style w:type="paragraph" w:customStyle="1" w:styleId="friliste5">
    <w:name w:val="friliste 5"/>
    <w:basedOn w:val="Normal"/>
    <w:qFormat/>
    <w:rsid w:val="00C3770E"/>
    <w:pPr>
      <w:tabs>
        <w:tab w:val="left" w:pos="1985"/>
      </w:tabs>
      <w:spacing w:after="0"/>
      <w:ind w:left="1985" w:hanging="397"/>
    </w:pPr>
  </w:style>
  <w:style w:type="paragraph" w:customStyle="1" w:styleId="l-alfaliste">
    <w:name w:val="l-alfaliste"/>
    <w:basedOn w:val="alfaliste"/>
    <w:qFormat/>
    <w:rsid w:val="00C3770E"/>
    <w:pPr>
      <w:numPr>
        <w:numId w:val="206"/>
      </w:numPr>
    </w:pPr>
    <w:rPr>
      <w:rFonts w:eastAsiaTheme="minorEastAsia"/>
    </w:rPr>
  </w:style>
  <w:style w:type="paragraph" w:customStyle="1" w:styleId="l-alfaliste2">
    <w:name w:val="l-alfaliste 2"/>
    <w:basedOn w:val="alfaliste2"/>
    <w:qFormat/>
    <w:rsid w:val="00C3770E"/>
    <w:pPr>
      <w:numPr>
        <w:numId w:val="206"/>
      </w:numPr>
    </w:pPr>
  </w:style>
  <w:style w:type="paragraph" w:customStyle="1" w:styleId="avsnitt-undertittel">
    <w:name w:val="avsnitt-undertittel"/>
    <w:basedOn w:val="Normal"/>
    <w:next w:val="Normal"/>
    <w:rsid w:val="00C3770E"/>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C3770E"/>
    <w:pPr>
      <w:numPr>
        <w:numId w:val="206"/>
      </w:numPr>
    </w:pPr>
  </w:style>
  <w:style w:type="paragraph" w:customStyle="1" w:styleId="l-alfaliste4">
    <w:name w:val="l-alfaliste 4"/>
    <w:basedOn w:val="alfaliste4"/>
    <w:qFormat/>
    <w:rsid w:val="00C3770E"/>
    <w:pPr>
      <w:numPr>
        <w:numId w:val="206"/>
      </w:numPr>
    </w:pPr>
  </w:style>
  <w:style w:type="paragraph" w:customStyle="1" w:styleId="l-alfaliste5">
    <w:name w:val="l-alfaliste 5"/>
    <w:basedOn w:val="alfaliste5"/>
    <w:qFormat/>
    <w:rsid w:val="00C3770E"/>
    <w:pPr>
      <w:numPr>
        <w:numId w:val="206"/>
      </w:numPr>
    </w:pPr>
  </w:style>
  <w:style w:type="paragraph" w:customStyle="1" w:styleId="avsnitt-under-undertittel">
    <w:name w:val="avsnitt-under-undertittel"/>
    <w:basedOn w:val="Normal"/>
    <w:next w:val="Normal"/>
    <w:rsid w:val="00C3770E"/>
    <w:pPr>
      <w:keepNext/>
      <w:keepLines/>
      <w:spacing w:before="360" w:line="240" w:lineRule="auto"/>
    </w:pPr>
    <w:rPr>
      <w:rFonts w:eastAsia="Batang"/>
      <w:i/>
      <w:szCs w:val="20"/>
    </w:rPr>
  </w:style>
  <w:style w:type="paragraph" w:customStyle="1" w:styleId="blokksit">
    <w:name w:val="blokksit"/>
    <w:basedOn w:val="Normal"/>
    <w:qFormat/>
    <w:rsid w:val="00C3770E"/>
    <w:pPr>
      <w:spacing w:line="240" w:lineRule="auto"/>
      <w:ind w:left="397"/>
    </w:pPr>
    <w:rPr>
      <w:rFonts w:ascii="Times" w:hAnsi="Times"/>
      <w:spacing w:val="-2"/>
    </w:rPr>
  </w:style>
  <w:style w:type="paragraph" w:customStyle="1" w:styleId="l-paragraf">
    <w:name w:val="l-paragraf"/>
    <w:basedOn w:val="Normal"/>
    <w:next w:val="Normal"/>
    <w:rsid w:val="00C3770E"/>
    <w:pPr>
      <w:spacing w:before="180" w:after="0"/>
    </w:pPr>
    <w:rPr>
      <w:rFonts w:ascii="Times" w:hAnsi="Times"/>
      <w:i/>
      <w:spacing w:val="4"/>
    </w:rPr>
  </w:style>
  <w:style w:type="paragraph" w:customStyle="1" w:styleId="l-ledd">
    <w:name w:val="l-ledd"/>
    <w:basedOn w:val="Normal"/>
    <w:qFormat/>
    <w:rsid w:val="00C3770E"/>
    <w:pPr>
      <w:spacing w:after="0"/>
      <w:ind w:firstLine="397"/>
    </w:pPr>
    <w:rPr>
      <w:rFonts w:ascii="Times" w:hAnsi="Times"/>
      <w:spacing w:val="4"/>
    </w:rPr>
  </w:style>
  <w:style w:type="paragraph" w:customStyle="1" w:styleId="l-tit-endr-paragraf">
    <w:name w:val="l-tit-endr-paragraf"/>
    <w:basedOn w:val="Normal"/>
    <w:qFormat/>
    <w:rsid w:val="00C3770E"/>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C3770E"/>
    <w:pPr>
      <w:keepNext/>
      <w:keepLines/>
      <w:numPr>
        <w:ilvl w:val="7"/>
        <w:numId w:val="219"/>
      </w:numPr>
      <w:spacing w:before="360" w:after="80"/>
      <w:jc w:val="center"/>
    </w:pPr>
    <w:rPr>
      <w:rFonts w:ascii="Arial" w:hAnsi="Arial"/>
      <w:b/>
      <w:spacing w:val="4"/>
    </w:rPr>
  </w:style>
  <w:style w:type="character" w:styleId="Utheving">
    <w:name w:val="Emphasis"/>
    <w:basedOn w:val="Standardskriftforavsnitt"/>
    <w:uiPriority w:val="20"/>
    <w:qFormat/>
    <w:rsid w:val="00C3770E"/>
    <w:rPr>
      <w:i/>
      <w:iCs/>
    </w:rPr>
  </w:style>
  <w:style w:type="character" w:styleId="Svakutheving">
    <w:name w:val="Subtle Emphasis"/>
    <w:basedOn w:val="Standardskriftforavsnitt"/>
    <w:uiPriority w:val="19"/>
    <w:qFormat/>
    <w:rsid w:val="00C3770E"/>
    <w:rPr>
      <w:i/>
      <w:iCs/>
      <w:color w:val="808080" w:themeColor="text1" w:themeTint="7F"/>
    </w:rPr>
  </w:style>
  <w:style w:type="character" w:styleId="Sterkutheving">
    <w:name w:val="Intense Emphasis"/>
    <w:basedOn w:val="Standardskriftforavsnitt"/>
    <w:uiPriority w:val="21"/>
    <w:qFormat/>
    <w:rsid w:val="00C3770E"/>
    <w:rPr>
      <w:b/>
      <w:bCs/>
      <w:i/>
      <w:iCs/>
      <w:color w:val="4F81BD" w:themeColor="accent1"/>
    </w:rPr>
  </w:style>
  <w:style w:type="character" w:styleId="Svakreferanse">
    <w:name w:val="Subtle Reference"/>
    <w:basedOn w:val="Standardskriftforavsnitt"/>
    <w:uiPriority w:val="31"/>
    <w:qFormat/>
    <w:rsid w:val="00C3770E"/>
    <w:rPr>
      <w:smallCaps/>
      <w:color w:val="C0504D" w:themeColor="accent2"/>
      <w:u w:val="single"/>
    </w:rPr>
  </w:style>
  <w:style w:type="character" w:styleId="Sterkreferanse">
    <w:name w:val="Intense Reference"/>
    <w:basedOn w:val="Standardskriftforavsnitt"/>
    <w:uiPriority w:val="32"/>
    <w:qFormat/>
    <w:rsid w:val="00C3770E"/>
    <w:rPr>
      <w:b/>
      <w:bCs/>
      <w:smallCaps/>
      <w:color w:val="C0504D" w:themeColor="accent2"/>
      <w:spacing w:val="5"/>
      <w:u w:val="single"/>
    </w:rPr>
  </w:style>
  <w:style w:type="character" w:styleId="Boktittel">
    <w:name w:val="Book Title"/>
    <w:basedOn w:val="Standardskriftforavsnitt"/>
    <w:uiPriority w:val="33"/>
    <w:qFormat/>
    <w:rsid w:val="00C3770E"/>
    <w:rPr>
      <w:b/>
      <w:bCs/>
      <w:smallCaps/>
      <w:spacing w:val="5"/>
    </w:rPr>
  </w:style>
  <w:style w:type="character" w:styleId="Merknadsreferanse">
    <w:name w:val="annotation reference"/>
    <w:basedOn w:val="Standardskriftforavsnitt"/>
    <w:rsid w:val="00C3770E"/>
    <w:rPr>
      <w:sz w:val="16"/>
    </w:rPr>
  </w:style>
  <w:style w:type="character" w:styleId="Sluttnotereferanse">
    <w:name w:val="endnote reference"/>
    <w:basedOn w:val="Standardskriftforavsnitt"/>
    <w:uiPriority w:val="99"/>
    <w:unhideWhenUsed/>
    <w:rsid w:val="00C3770E"/>
    <w:rPr>
      <w:vertAlign w:val="superscript"/>
    </w:rPr>
  </w:style>
  <w:style w:type="character" w:styleId="Fulgthyperkobling">
    <w:name w:val="FollowedHyperlink"/>
    <w:basedOn w:val="Standardskriftforavsnitt"/>
    <w:uiPriority w:val="99"/>
    <w:unhideWhenUsed/>
    <w:rsid w:val="00C3770E"/>
    <w:rPr>
      <w:color w:val="800080" w:themeColor="followedHyperlink"/>
      <w:u w:val="single"/>
    </w:rPr>
  </w:style>
  <w:style w:type="character" w:styleId="HTML-sitat">
    <w:name w:val="HTML Cite"/>
    <w:basedOn w:val="Standardskriftforavsnitt"/>
    <w:uiPriority w:val="99"/>
    <w:unhideWhenUsed/>
    <w:rsid w:val="00C3770E"/>
    <w:rPr>
      <w:i/>
      <w:iCs/>
    </w:rPr>
  </w:style>
  <w:style w:type="character" w:styleId="HTML-kode">
    <w:name w:val="HTML Code"/>
    <w:basedOn w:val="Standardskriftforavsnitt"/>
    <w:uiPriority w:val="99"/>
    <w:unhideWhenUsed/>
    <w:rsid w:val="00C3770E"/>
    <w:rPr>
      <w:rFonts w:ascii="Consolas" w:hAnsi="Consolas"/>
      <w:sz w:val="20"/>
      <w:szCs w:val="20"/>
    </w:rPr>
  </w:style>
  <w:style w:type="character" w:styleId="HTML-definisjon">
    <w:name w:val="HTML Definition"/>
    <w:basedOn w:val="Standardskriftforavsnitt"/>
    <w:uiPriority w:val="99"/>
    <w:unhideWhenUsed/>
    <w:rsid w:val="00C3770E"/>
    <w:rPr>
      <w:i/>
      <w:iCs/>
    </w:rPr>
  </w:style>
  <w:style w:type="character" w:styleId="HTML-tastatur">
    <w:name w:val="HTML Keyboard"/>
    <w:basedOn w:val="Standardskriftforavsnitt"/>
    <w:uiPriority w:val="99"/>
    <w:unhideWhenUsed/>
    <w:rsid w:val="00C3770E"/>
    <w:rPr>
      <w:rFonts w:ascii="Consolas" w:hAnsi="Consolas"/>
      <w:sz w:val="20"/>
      <w:szCs w:val="20"/>
    </w:rPr>
  </w:style>
  <w:style w:type="character" w:styleId="HTML-eksempel">
    <w:name w:val="HTML Sample"/>
    <w:basedOn w:val="Standardskriftforavsnitt"/>
    <w:uiPriority w:val="99"/>
    <w:unhideWhenUsed/>
    <w:rsid w:val="00C3770E"/>
    <w:rPr>
      <w:rFonts w:ascii="Consolas" w:hAnsi="Consolas"/>
      <w:sz w:val="24"/>
      <w:szCs w:val="24"/>
    </w:rPr>
  </w:style>
  <w:style w:type="character" w:styleId="HTML-skrivemaskin">
    <w:name w:val="HTML Typewriter"/>
    <w:basedOn w:val="Standardskriftforavsnitt"/>
    <w:uiPriority w:val="99"/>
    <w:unhideWhenUsed/>
    <w:rsid w:val="00C3770E"/>
    <w:rPr>
      <w:rFonts w:ascii="Consolas" w:hAnsi="Consolas"/>
      <w:sz w:val="20"/>
      <w:szCs w:val="20"/>
    </w:rPr>
  </w:style>
  <w:style w:type="character" w:styleId="HTML-variabel">
    <w:name w:val="HTML Variable"/>
    <w:basedOn w:val="Standardskriftforavsnitt"/>
    <w:uiPriority w:val="99"/>
    <w:unhideWhenUsed/>
    <w:rsid w:val="00C3770E"/>
    <w:rPr>
      <w:i/>
      <w:iCs/>
    </w:rPr>
  </w:style>
  <w:style w:type="character" w:styleId="Fotnotereferanse">
    <w:name w:val="footnote reference"/>
    <w:basedOn w:val="Standardskriftforavsnitt"/>
    <w:rsid w:val="00C3770E"/>
    <w:rPr>
      <w:vertAlign w:val="superscript"/>
    </w:rPr>
  </w:style>
  <w:style w:type="character" w:customStyle="1" w:styleId="gjennomstreket">
    <w:name w:val="gjennomstreket"/>
    <w:uiPriority w:val="1"/>
    <w:rsid w:val="00C3770E"/>
    <w:rPr>
      <w:strike/>
      <w:dstrike w:val="0"/>
    </w:rPr>
  </w:style>
  <w:style w:type="character" w:customStyle="1" w:styleId="halvfet">
    <w:name w:val="halvfet"/>
    <w:basedOn w:val="Standardskriftforavsnitt"/>
    <w:rsid w:val="00C3770E"/>
    <w:rPr>
      <w:b/>
    </w:rPr>
  </w:style>
  <w:style w:type="character" w:styleId="Hyperkobling">
    <w:name w:val="Hyperlink"/>
    <w:basedOn w:val="Standardskriftforavsnitt"/>
    <w:uiPriority w:val="99"/>
    <w:unhideWhenUsed/>
    <w:rsid w:val="00C3770E"/>
    <w:rPr>
      <w:color w:val="0000FF" w:themeColor="hyperlink"/>
      <w:u w:val="single"/>
    </w:rPr>
  </w:style>
  <w:style w:type="character" w:customStyle="1" w:styleId="kursiv">
    <w:name w:val="kursiv"/>
    <w:basedOn w:val="Standardskriftforavsnitt"/>
    <w:rsid w:val="00C3770E"/>
    <w:rPr>
      <w:i/>
    </w:rPr>
  </w:style>
  <w:style w:type="character" w:customStyle="1" w:styleId="l-endring">
    <w:name w:val="l-endring"/>
    <w:basedOn w:val="Standardskriftforavsnitt"/>
    <w:rsid w:val="00C3770E"/>
    <w:rPr>
      <w:i/>
    </w:rPr>
  </w:style>
  <w:style w:type="character" w:styleId="Sidetall">
    <w:name w:val="page number"/>
    <w:basedOn w:val="Standardskriftforavsnitt"/>
    <w:rsid w:val="00C3770E"/>
  </w:style>
  <w:style w:type="character" w:styleId="Plassholdertekst">
    <w:name w:val="Placeholder Text"/>
    <w:basedOn w:val="Standardskriftforavsnitt"/>
    <w:uiPriority w:val="99"/>
    <w:rsid w:val="00C3770E"/>
    <w:rPr>
      <w:color w:val="808080"/>
    </w:rPr>
  </w:style>
  <w:style w:type="character" w:customStyle="1" w:styleId="regular">
    <w:name w:val="regular"/>
    <w:basedOn w:val="Standardskriftforavsnitt"/>
    <w:uiPriority w:val="1"/>
    <w:qFormat/>
    <w:rsid w:val="00C3770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3770E"/>
    <w:rPr>
      <w:sz w:val="20"/>
      <w:vertAlign w:val="superscript"/>
    </w:rPr>
  </w:style>
  <w:style w:type="character" w:customStyle="1" w:styleId="skrift-senket">
    <w:name w:val="skrift-senket"/>
    <w:basedOn w:val="Standardskriftforavsnitt"/>
    <w:rsid w:val="00C3770E"/>
    <w:rPr>
      <w:sz w:val="20"/>
      <w:vertAlign w:val="subscript"/>
    </w:rPr>
  </w:style>
  <w:style w:type="character" w:customStyle="1" w:styleId="sperret">
    <w:name w:val="sperret"/>
    <w:basedOn w:val="Standardskriftforavsnitt"/>
    <w:rsid w:val="00C3770E"/>
    <w:rPr>
      <w:spacing w:val="30"/>
    </w:rPr>
  </w:style>
  <w:style w:type="character" w:customStyle="1" w:styleId="Stikkord">
    <w:name w:val="Stikkord"/>
    <w:basedOn w:val="Standardskriftforavsnitt"/>
    <w:rsid w:val="00C3770E"/>
  </w:style>
  <w:style w:type="character" w:styleId="Sterk">
    <w:name w:val="Strong"/>
    <w:basedOn w:val="Standardskriftforavsnitt"/>
    <w:uiPriority w:val="22"/>
    <w:qFormat/>
    <w:rsid w:val="00C3770E"/>
    <w:rPr>
      <w:b/>
      <w:bCs/>
    </w:rPr>
  </w:style>
  <w:style w:type="table" w:styleId="Tabelltemaer">
    <w:name w:val="Table Theme"/>
    <w:basedOn w:val="Vanligtabell"/>
    <w:uiPriority w:val="99"/>
    <w:semiHidden/>
    <w:unhideWhenUsed/>
    <w:rsid w:val="00C377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C3770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3770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37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770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3770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3770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3770E"/>
  </w:style>
  <w:style w:type="numbering" w:customStyle="1" w:styleId="l-ListeStilMal">
    <w:name w:val="l-ListeStilMal"/>
    <w:uiPriority w:val="99"/>
    <w:rsid w:val="00C3770E"/>
    <w:pPr>
      <w:numPr>
        <w:numId w:val="204"/>
      </w:numPr>
    </w:pPr>
  </w:style>
  <w:style w:type="character" w:styleId="HTML-akronym">
    <w:name w:val="HTML Acronym"/>
    <w:basedOn w:val="Standardskriftforavsnitt"/>
    <w:uiPriority w:val="99"/>
    <w:semiHidden/>
    <w:unhideWhenUsed/>
    <w:rsid w:val="00C3770E"/>
  </w:style>
  <w:style w:type="numbering" w:customStyle="1" w:styleId="AlfaListeStil">
    <w:name w:val="AlfaListeStil"/>
    <w:uiPriority w:val="99"/>
    <w:rsid w:val="00C3770E"/>
    <w:pPr>
      <w:numPr>
        <w:numId w:val="205"/>
      </w:numPr>
    </w:pPr>
  </w:style>
  <w:style w:type="numbering" w:customStyle="1" w:styleId="l-AlfaListeStil">
    <w:name w:val="l-AlfaListeStil"/>
    <w:uiPriority w:val="99"/>
    <w:rsid w:val="00C3770E"/>
    <w:pPr>
      <w:numPr>
        <w:numId w:val="206"/>
      </w:numPr>
    </w:pPr>
  </w:style>
  <w:style w:type="numbering" w:customStyle="1" w:styleId="l-NummerertListeStil">
    <w:name w:val="l-NummerertListeStil"/>
    <w:uiPriority w:val="99"/>
    <w:rsid w:val="00C3770E"/>
    <w:pPr>
      <w:numPr>
        <w:numId w:val="207"/>
      </w:numPr>
    </w:pPr>
  </w:style>
  <w:style w:type="numbering" w:customStyle="1" w:styleId="NrListeStil">
    <w:name w:val="NrListeStil"/>
    <w:uiPriority w:val="99"/>
    <w:rsid w:val="00C3770E"/>
    <w:pPr>
      <w:numPr>
        <w:numId w:val="208"/>
      </w:numPr>
    </w:pPr>
  </w:style>
  <w:style w:type="numbering" w:customStyle="1" w:styleId="OpplistingListeStil">
    <w:name w:val="OpplistingListeStil"/>
    <w:uiPriority w:val="99"/>
    <w:rsid w:val="00C3770E"/>
    <w:pPr>
      <w:numPr>
        <w:numId w:val="209"/>
      </w:numPr>
    </w:pPr>
  </w:style>
  <w:style w:type="numbering" w:customStyle="1" w:styleId="OverskrifterListeStil">
    <w:name w:val="OverskrifterListeStil"/>
    <w:uiPriority w:val="99"/>
    <w:rsid w:val="00C3770E"/>
    <w:pPr>
      <w:numPr>
        <w:numId w:val="210"/>
      </w:numPr>
    </w:pPr>
  </w:style>
  <w:style w:type="numbering" w:customStyle="1" w:styleId="RomListeStil">
    <w:name w:val="RomListeStil"/>
    <w:uiPriority w:val="99"/>
    <w:rsid w:val="00C3770E"/>
    <w:pPr>
      <w:numPr>
        <w:numId w:val="211"/>
      </w:numPr>
    </w:pPr>
  </w:style>
  <w:style w:type="numbering" w:customStyle="1" w:styleId="StrekListeStil">
    <w:name w:val="StrekListeStil"/>
    <w:uiPriority w:val="99"/>
    <w:rsid w:val="00C3770E"/>
    <w:pPr>
      <w:numPr>
        <w:numId w:val="212"/>
      </w:numPr>
    </w:pPr>
  </w:style>
  <w:style w:type="table" w:styleId="Tabellrutenett">
    <w:name w:val="Table Grid"/>
    <w:basedOn w:val="Vanligtabell"/>
    <w:uiPriority w:val="59"/>
    <w:rsid w:val="00C3770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Subtitle" w:semiHidden="0" w:uiPriority="0" w:qFormat="1"/>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C3770E"/>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C3770E"/>
    <w:pPr>
      <w:keepNext/>
      <w:keepLines/>
      <w:numPr>
        <w:numId w:val="21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C3770E"/>
    <w:pPr>
      <w:keepNext/>
      <w:keepLines/>
      <w:numPr>
        <w:ilvl w:val="1"/>
        <w:numId w:val="21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C3770E"/>
    <w:pPr>
      <w:keepNext/>
      <w:keepLines/>
      <w:numPr>
        <w:ilvl w:val="2"/>
        <w:numId w:val="219"/>
      </w:numPr>
      <w:spacing w:before="360" w:after="80"/>
      <w:outlineLvl w:val="2"/>
    </w:pPr>
    <w:rPr>
      <w:rFonts w:ascii="Arial" w:hAnsi="Arial"/>
      <w:b/>
    </w:rPr>
  </w:style>
  <w:style w:type="paragraph" w:styleId="Overskrift4">
    <w:name w:val="heading 4"/>
    <w:basedOn w:val="Normal"/>
    <w:next w:val="Normal"/>
    <w:link w:val="Overskrift4Tegn"/>
    <w:qFormat/>
    <w:rsid w:val="00C3770E"/>
    <w:pPr>
      <w:keepNext/>
      <w:keepLines/>
      <w:numPr>
        <w:ilvl w:val="3"/>
        <w:numId w:val="219"/>
      </w:numPr>
      <w:spacing w:before="120" w:after="0"/>
      <w:outlineLvl w:val="3"/>
    </w:pPr>
    <w:rPr>
      <w:rFonts w:ascii="Arial" w:hAnsi="Arial"/>
      <w:i/>
      <w:spacing w:val="4"/>
    </w:rPr>
  </w:style>
  <w:style w:type="paragraph" w:styleId="Overskrift5">
    <w:name w:val="heading 5"/>
    <w:basedOn w:val="Normal"/>
    <w:next w:val="Normal"/>
    <w:link w:val="Overskrift5Tegn"/>
    <w:qFormat/>
    <w:rsid w:val="00C3770E"/>
    <w:pPr>
      <w:keepNext/>
      <w:numPr>
        <w:ilvl w:val="4"/>
        <w:numId w:val="219"/>
      </w:numPr>
      <w:spacing w:before="120" w:after="0"/>
      <w:outlineLvl w:val="4"/>
    </w:pPr>
    <w:rPr>
      <w:rFonts w:ascii="Arial" w:hAnsi="Arial"/>
      <w:i/>
    </w:rPr>
  </w:style>
  <w:style w:type="paragraph" w:styleId="Overskrift6">
    <w:name w:val="heading 6"/>
    <w:basedOn w:val="Normal"/>
    <w:next w:val="Normal"/>
    <w:link w:val="Overskrift6Tegn"/>
    <w:qFormat/>
    <w:rsid w:val="00C3770E"/>
    <w:pPr>
      <w:numPr>
        <w:ilvl w:val="5"/>
        <w:numId w:val="197"/>
      </w:numPr>
      <w:spacing w:before="240" w:after="60"/>
      <w:outlineLvl w:val="5"/>
    </w:pPr>
    <w:rPr>
      <w:rFonts w:ascii="Arial" w:hAnsi="Arial"/>
      <w:i/>
      <w:sz w:val="22"/>
    </w:rPr>
  </w:style>
  <w:style w:type="paragraph" w:styleId="Overskrift7">
    <w:name w:val="heading 7"/>
    <w:basedOn w:val="Normal"/>
    <w:next w:val="Normal"/>
    <w:link w:val="Overskrift7Tegn"/>
    <w:qFormat/>
    <w:rsid w:val="00C3770E"/>
    <w:pPr>
      <w:numPr>
        <w:ilvl w:val="6"/>
        <w:numId w:val="197"/>
      </w:numPr>
      <w:spacing w:before="240" w:after="60"/>
      <w:outlineLvl w:val="6"/>
    </w:pPr>
    <w:rPr>
      <w:rFonts w:ascii="Arial" w:hAnsi="Arial"/>
    </w:rPr>
  </w:style>
  <w:style w:type="paragraph" w:styleId="Overskrift8">
    <w:name w:val="heading 8"/>
    <w:basedOn w:val="Normal"/>
    <w:next w:val="Normal"/>
    <w:link w:val="Overskrift8Tegn"/>
    <w:qFormat/>
    <w:rsid w:val="00C3770E"/>
    <w:pPr>
      <w:numPr>
        <w:ilvl w:val="7"/>
        <w:numId w:val="197"/>
      </w:numPr>
      <w:spacing w:before="240" w:after="60"/>
      <w:outlineLvl w:val="7"/>
    </w:pPr>
    <w:rPr>
      <w:rFonts w:ascii="Arial" w:hAnsi="Arial"/>
      <w:i/>
    </w:rPr>
  </w:style>
  <w:style w:type="paragraph" w:styleId="Overskrift9">
    <w:name w:val="heading 9"/>
    <w:basedOn w:val="Normal"/>
    <w:next w:val="Normal"/>
    <w:link w:val="Overskrift9Tegn"/>
    <w:qFormat/>
    <w:rsid w:val="00C3770E"/>
    <w:pPr>
      <w:numPr>
        <w:ilvl w:val="8"/>
        <w:numId w:val="197"/>
      </w:numPr>
      <w:spacing w:before="240" w:after="60"/>
      <w:outlineLvl w:val="8"/>
    </w:pPr>
    <w:rPr>
      <w:rFonts w:ascii="Arial" w:hAnsi="Arial"/>
      <w:b/>
      <w:i/>
      <w:sz w:val="18"/>
    </w:rPr>
  </w:style>
  <w:style w:type="character" w:default="1" w:styleId="Standardskriftforavsnitt">
    <w:name w:val="Default Paragraph Font"/>
    <w:uiPriority w:val="1"/>
    <w:unhideWhenUsed/>
    <w:rsid w:val="00C3770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3770E"/>
  </w:style>
  <w:style w:type="character" w:customStyle="1" w:styleId="Overskrift1Tegn">
    <w:name w:val="Overskrift 1 Tegn"/>
    <w:basedOn w:val="Standardskriftforavsnitt"/>
    <w:link w:val="Overskrift1"/>
    <w:rsid w:val="00C3770E"/>
    <w:rPr>
      <w:rFonts w:ascii="Arial" w:eastAsia="Times New Roman" w:hAnsi="Arial"/>
      <w:b/>
      <w:kern w:val="28"/>
      <w:sz w:val="32"/>
    </w:rPr>
  </w:style>
  <w:style w:type="character" w:customStyle="1" w:styleId="Overskrift2Tegn">
    <w:name w:val="Overskrift 2 Tegn"/>
    <w:basedOn w:val="Standardskriftforavsnitt"/>
    <w:link w:val="Overskrift2"/>
    <w:rsid w:val="00C3770E"/>
    <w:rPr>
      <w:rFonts w:ascii="Arial" w:eastAsia="Times New Roman" w:hAnsi="Arial"/>
      <w:b/>
      <w:spacing w:val="4"/>
      <w:sz w:val="28"/>
    </w:rPr>
  </w:style>
  <w:style w:type="character" w:customStyle="1" w:styleId="Overskrift3Tegn">
    <w:name w:val="Overskrift 3 Tegn"/>
    <w:basedOn w:val="Standardskriftforavsnitt"/>
    <w:link w:val="Overskrift3"/>
    <w:rsid w:val="00C3770E"/>
    <w:rPr>
      <w:rFonts w:ascii="Arial" w:eastAsia="Times New Roman" w:hAnsi="Arial"/>
      <w:b/>
      <w:sz w:val="24"/>
    </w:rPr>
  </w:style>
  <w:style w:type="character" w:customStyle="1" w:styleId="Overskrift4Tegn">
    <w:name w:val="Overskrift 4 Tegn"/>
    <w:basedOn w:val="Standardskriftforavsnitt"/>
    <w:link w:val="Overskrift4"/>
    <w:rsid w:val="00C3770E"/>
    <w:rPr>
      <w:rFonts w:ascii="Arial" w:eastAsia="Times New Roman" w:hAnsi="Arial"/>
      <w:i/>
      <w:spacing w:val="4"/>
      <w:sz w:val="24"/>
    </w:rPr>
  </w:style>
  <w:style w:type="character" w:customStyle="1" w:styleId="Overskrift5Tegn">
    <w:name w:val="Overskrift 5 Tegn"/>
    <w:basedOn w:val="Standardskriftforavsnitt"/>
    <w:link w:val="Overskrift5"/>
    <w:rsid w:val="00C3770E"/>
    <w:rPr>
      <w:rFonts w:ascii="Arial" w:eastAsia="Times New Roman" w:hAnsi="Arial"/>
      <w:i/>
      <w:sz w:val="24"/>
    </w:rPr>
  </w:style>
  <w:style w:type="character" w:customStyle="1" w:styleId="Overskrift6Tegn">
    <w:name w:val="Overskrift 6 Tegn"/>
    <w:basedOn w:val="Standardskriftforavsnitt"/>
    <w:link w:val="Overskrift6"/>
    <w:rsid w:val="00C3770E"/>
    <w:rPr>
      <w:rFonts w:ascii="Arial" w:eastAsia="Times New Roman" w:hAnsi="Arial"/>
      <w:i/>
    </w:rPr>
  </w:style>
  <w:style w:type="character" w:customStyle="1" w:styleId="Overskrift7Tegn">
    <w:name w:val="Overskrift 7 Tegn"/>
    <w:basedOn w:val="Standardskriftforavsnitt"/>
    <w:link w:val="Overskrift7"/>
    <w:rsid w:val="00C3770E"/>
    <w:rPr>
      <w:rFonts w:ascii="Arial" w:eastAsia="Times New Roman" w:hAnsi="Arial"/>
      <w:sz w:val="24"/>
    </w:rPr>
  </w:style>
  <w:style w:type="character" w:customStyle="1" w:styleId="Overskrift8Tegn">
    <w:name w:val="Overskrift 8 Tegn"/>
    <w:basedOn w:val="Standardskriftforavsnitt"/>
    <w:link w:val="Overskrift8"/>
    <w:rsid w:val="00C3770E"/>
    <w:rPr>
      <w:rFonts w:ascii="Arial" w:eastAsia="Times New Roman" w:hAnsi="Arial"/>
      <w:i/>
      <w:sz w:val="24"/>
    </w:rPr>
  </w:style>
  <w:style w:type="character" w:customStyle="1" w:styleId="Overskrift9Tegn">
    <w:name w:val="Overskrift 9 Tegn"/>
    <w:basedOn w:val="Standardskriftforavsnitt"/>
    <w:link w:val="Overskrift9"/>
    <w:rsid w:val="00C3770E"/>
    <w:rPr>
      <w:rFonts w:ascii="Arial" w:eastAsia="Times New Roman" w:hAnsi="Arial"/>
      <w:b/>
      <w:i/>
      <w:sz w:val="18"/>
    </w:rPr>
  </w:style>
  <w:style w:type="paragraph" w:styleId="NormalWeb">
    <w:name w:val="Normal (Web)"/>
    <w:basedOn w:val="Normal"/>
    <w:uiPriority w:val="99"/>
    <w:unhideWhenUsed/>
    <w:rsid w:val="00C3770E"/>
    <w:rPr>
      <w:szCs w:val="24"/>
    </w:rPr>
  </w:style>
  <w:style w:type="paragraph" w:styleId="Liste">
    <w:name w:val="List"/>
    <w:basedOn w:val="Normal"/>
    <w:rsid w:val="00C3770E"/>
    <w:pPr>
      <w:numPr>
        <w:numId w:val="212"/>
      </w:numPr>
      <w:spacing w:line="240" w:lineRule="auto"/>
      <w:contextualSpacing/>
    </w:pPr>
    <w:rPr>
      <w:spacing w:val="4"/>
    </w:rPr>
  </w:style>
  <w:style w:type="paragraph" w:styleId="Liste2">
    <w:name w:val="List 2"/>
    <w:basedOn w:val="Normal"/>
    <w:rsid w:val="00C3770E"/>
    <w:pPr>
      <w:numPr>
        <w:ilvl w:val="1"/>
        <w:numId w:val="212"/>
      </w:numPr>
      <w:spacing w:after="0"/>
    </w:pPr>
    <w:rPr>
      <w:spacing w:val="4"/>
    </w:rPr>
  </w:style>
  <w:style w:type="paragraph" w:styleId="Liste3">
    <w:name w:val="List 3"/>
    <w:basedOn w:val="Normal"/>
    <w:rsid w:val="00C3770E"/>
    <w:pPr>
      <w:numPr>
        <w:ilvl w:val="2"/>
        <w:numId w:val="212"/>
      </w:numPr>
      <w:spacing w:after="0"/>
    </w:pPr>
  </w:style>
  <w:style w:type="paragraph" w:styleId="Liste4">
    <w:name w:val="List 4"/>
    <w:basedOn w:val="Normal"/>
    <w:rsid w:val="00C3770E"/>
    <w:pPr>
      <w:numPr>
        <w:ilvl w:val="3"/>
        <w:numId w:val="212"/>
      </w:numPr>
      <w:spacing w:after="0"/>
    </w:pPr>
  </w:style>
  <w:style w:type="paragraph" w:styleId="Liste5">
    <w:name w:val="List 5"/>
    <w:basedOn w:val="Normal"/>
    <w:rsid w:val="00C3770E"/>
    <w:pPr>
      <w:numPr>
        <w:ilvl w:val="4"/>
        <w:numId w:val="212"/>
      </w:numPr>
      <w:spacing w:after="0"/>
    </w:pPr>
  </w:style>
  <w:style w:type="paragraph" w:styleId="Bildetekst">
    <w:name w:val="caption"/>
    <w:basedOn w:val="Normal"/>
    <w:next w:val="Normal"/>
    <w:uiPriority w:val="35"/>
    <w:unhideWhenUsed/>
    <w:qFormat/>
    <w:rsid w:val="00C3770E"/>
    <w:pPr>
      <w:spacing w:after="200" w:line="240" w:lineRule="auto"/>
    </w:pPr>
    <w:rPr>
      <w:b/>
      <w:bCs/>
      <w:color w:val="4F81BD" w:themeColor="accent1"/>
      <w:sz w:val="18"/>
      <w:szCs w:val="18"/>
    </w:rPr>
  </w:style>
  <w:style w:type="paragraph" w:styleId="Tittel">
    <w:name w:val="Title"/>
    <w:basedOn w:val="Normal"/>
    <w:next w:val="Normal"/>
    <w:link w:val="TittelTegn"/>
    <w:uiPriority w:val="10"/>
    <w:qFormat/>
    <w:rsid w:val="00C37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C3770E"/>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qFormat/>
    <w:rsid w:val="00C3770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C3770E"/>
    <w:rPr>
      <w:rFonts w:ascii="Arial" w:eastAsia="Times New Roman" w:hAnsi="Arial"/>
      <w:b/>
      <w:spacing w:val="4"/>
      <w:sz w:val="28"/>
    </w:rPr>
  </w:style>
  <w:style w:type="paragraph" w:styleId="Ingenmellomrom">
    <w:name w:val="No Spacing"/>
    <w:uiPriority w:val="1"/>
    <w:qFormat/>
    <w:rsid w:val="00C3770E"/>
    <w:pPr>
      <w:spacing w:after="0" w:line="240" w:lineRule="auto"/>
    </w:pPr>
    <w:rPr>
      <w:rFonts w:ascii="Calibri" w:eastAsia="Times New Roman" w:hAnsi="Calibri"/>
      <w:sz w:val="24"/>
    </w:rPr>
  </w:style>
  <w:style w:type="paragraph" w:styleId="Listeavsnitt">
    <w:name w:val="List Paragraph"/>
    <w:basedOn w:val="Normal"/>
    <w:uiPriority w:val="34"/>
    <w:qFormat/>
    <w:rsid w:val="00C3770E"/>
    <w:pPr>
      <w:spacing w:before="60" w:after="0"/>
      <w:ind w:left="397"/>
    </w:p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C3770E"/>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C3770E"/>
    <w:rPr>
      <w:rFonts w:ascii="Times New Roman" w:eastAsia="Times New Roman" w:hAnsi="Times New Roman"/>
      <w:b/>
      <w:bCs/>
      <w:i/>
      <w:iCs/>
      <w:color w:val="4F81BD" w:themeColor="accent1"/>
      <w:sz w:val="24"/>
    </w:rPr>
  </w:style>
  <w:style w:type="paragraph" w:styleId="Overskriftforinnholdsfortegnelse">
    <w:name w:val="TOC Heading"/>
    <w:basedOn w:val="Overskrift1"/>
    <w:next w:val="Normal"/>
    <w:uiPriority w:val="39"/>
    <w:unhideWhenUsed/>
    <w:qFormat/>
    <w:rsid w:val="00C3770E"/>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Bobletekst">
    <w:name w:val="Balloon Text"/>
    <w:basedOn w:val="Normal"/>
    <w:link w:val="BobletekstTegn"/>
    <w:uiPriority w:val="99"/>
    <w:unhideWhenUsed/>
    <w:rsid w:val="00C377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C3770E"/>
    <w:rPr>
      <w:rFonts w:ascii="Tahoma" w:eastAsia="Times New Roman" w:hAnsi="Tahoma" w:cs="Tahoma"/>
      <w:sz w:val="16"/>
      <w:szCs w:val="16"/>
    </w:rPr>
  </w:style>
  <w:style w:type="paragraph" w:styleId="Topptekst">
    <w:name w:val="header"/>
    <w:basedOn w:val="Normal"/>
    <w:link w:val="TopptekstTegn"/>
    <w:rsid w:val="00C3770E"/>
    <w:pPr>
      <w:tabs>
        <w:tab w:val="center" w:pos="4536"/>
        <w:tab w:val="right" w:pos="9072"/>
      </w:tabs>
    </w:pPr>
  </w:style>
  <w:style w:type="character" w:customStyle="1" w:styleId="TopptekstTegn">
    <w:name w:val="Topptekst Tegn"/>
    <w:basedOn w:val="Standardskriftforavsnitt"/>
    <w:link w:val="Topptekst"/>
    <w:rsid w:val="00C3770E"/>
    <w:rPr>
      <w:rFonts w:ascii="Times New Roman" w:eastAsia="Times New Roman" w:hAnsi="Times New Roman"/>
      <w:sz w:val="24"/>
    </w:rPr>
  </w:style>
  <w:style w:type="paragraph" w:styleId="Bunntekst">
    <w:name w:val="footer"/>
    <w:basedOn w:val="Normal"/>
    <w:link w:val="BunntekstTegn"/>
    <w:uiPriority w:val="99"/>
    <w:rsid w:val="00C3770E"/>
    <w:pPr>
      <w:tabs>
        <w:tab w:val="center" w:pos="4153"/>
        <w:tab w:val="right" w:pos="8306"/>
      </w:tabs>
    </w:pPr>
    <w:rPr>
      <w:spacing w:val="4"/>
    </w:rPr>
  </w:style>
  <w:style w:type="character" w:customStyle="1" w:styleId="BunntekstTegn">
    <w:name w:val="Bunntekst Tegn"/>
    <w:basedOn w:val="Standardskriftforavsnitt"/>
    <w:link w:val="Bunntekst"/>
    <w:uiPriority w:val="99"/>
    <w:rsid w:val="00C3770E"/>
    <w:rPr>
      <w:rFonts w:ascii="Times New Roman" w:eastAsia="Times New Roman" w:hAnsi="Times New Roman"/>
      <w:spacing w:val="4"/>
      <w:sz w:val="24"/>
    </w:rPr>
  </w:style>
  <w:style w:type="paragraph" w:styleId="Merknadstekst">
    <w:name w:val="annotation text"/>
    <w:basedOn w:val="Normal"/>
    <w:link w:val="MerknadstekstTegn"/>
    <w:rsid w:val="00C3770E"/>
  </w:style>
  <w:style w:type="character" w:customStyle="1" w:styleId="MerknadstekstTegn">
    <w:name w:val="Merknadstekst Tegn"/>
    <w:basedOn w:val="Standardskriftforavsnitt"/>
    <w:link w:val="Merknadstekst"/>
    <w:rsid w:val="00C3770E"/>
    <w:rPr>
      <w:rFonts w:ascii="Times New Roman" w:eastAsia="Times New Roman" w:hAnsi="Times New Roman"/>
      <w:sz w:val="24"/>
    </w:rPr>
  </w:style>
  <w:style w:type="paragraph" w:styleId="Kommentaremne">
    <w:name w:val="annotation subject"/>
    <w:basedOn w:val="Merknadstekst"/>
    <w:next w:val="Merknadstekst"/>
    <w:link w:val="KommentaremneTegn"/>
    <w:uiPriority w:val="99"/>
    <w:unhideWhenUsed/>
    <w:rsid w:val="00C3770E"/>
    <w:pPr>
      <w:spacing w:line="240" w:lineRule="auto"/>
    </w:pPr>
    <w:rPr>
      <w:b/>
      <w:bCs/>
      <w:sz w:val="20"/>
      <w:szCs w:val="20"/>
    </w:rPr>
  </w:style>
  <w:style w:type="character" w:customStyle="1" w:styleId="KommentaremneTegn">
    <w:name w:val="Kommentaremne Tegn"/>
    <w:basedOn w:val="MerknadstekstTegn"/>
    <w:link w:val="Kommentaremne"/>
    <w:uiPriority w:val="99"/>
    <w:rsid w:val="00C3770E"/>
    <w:rPr>
      <w:rFonts w:ascii="Times New Roman" w:eastAsia="Times New Roman" w:hAnsi="Times New Roman"/>
      <w:b/>
      <w:bCs/>
      <w:sz w:val="20"/>
      <w:szCs w:val="20"/>
    </w:rPr>
  </w:style>
  <w:style w:type="paragraph" w:styleId="Fotnotetekst">
    <w:name w:val="footnote text"/>
    <w:basedOn w:val="Normal"/>
    <w:link w:val="FotnotetekstTegn"/>
    <w:rsid w:val="00C3770E"/>
    <w:rPr>
      <w:spacing w:val="4"/>
    </w:rPr>
  </w:style>
  <w:style w:type="character" w:customStyle="1" w:styleId="FotnotetekstTegn">
    <w:name w:val="Fotnotetekst Tegn"/>
    <w:basedOn w:val="Standardskriftforavsnitt"/>
    <w:link w:val="Fotnotetekst"/>
    <w:rsid w:val="00C3770E"/>
    <w:rPr>
      <w:rFonts w:ascii="Times New Roman" w:eastAsia="Times New Roman" w:hAnsi="Times New Roman"/>
      <w:spacing w:val="4"/>
      <w:sz w:val="24"/>
    </w:rPr>
  </w:style>
  <w:style w:type="paragraph" w:styleId="INNH1">
    <w:name w:val="toc 1"/>
    <w:basedOn w:val="Normal"/>
    <w:next w:val="Normal"/>
    <w:rsid w:val="00C3770E"/>
    <w:pPr>
      <w:tabs>
        <w:tab w:val="right" w:leader="dot" w:pos="8306"/>
      </w:tabs>
    </w:pPr>
  </w:style>
  <w:style w:type="paragraph" w:styleId="INNH2">
    <w:name w:val="toc 2"/>
    <w:basedOn w:val="Normal"/>
    <w:next w:val="Normal"/>
    <w:rsid w:val="00C3770E"/>
    <w:pPr>
      <w:tabs>
        <w:tab w:val="right" w:leader="dot" w:pos="8306"/>
      </w:tabs>
      <w:ind w:left="200"/>
    </w:pPr>
  </w:style>
  <w:style w:type="paragraph" w:styleId="INNH3">
    <w:name w:val="toc 3"/>
    <w:basedOn w:val="Normal"/>
    <w:next w:val="Normal"/>
    <w:rsid w:val="00C3770E"/>
    <w:pPr>
      <w:tabs>
        <w:tab w:val="right" w:leader="dot" w:pos="8306"/>
      </w:tabs>
      <w:ind w:left="400"/>
    </w:pPr>
  </w:style>
  <w:style w:type="paragraph" w:styleId="INNH4">
    <w:name w:val="toc 4"/>
    <w:basedOn w:val="Normal"/>
    <w:next w:val="Normal"/>
    <w:rsid w:val="00C3770E"/>
    <w:pPr>
      <w:tabs>
        <w:tab w:val="right" w:leader="dot" w:pos="8306"/>
      </w:tabs>
      <w:ind w:left="600"/>
    </w:pPr>
  </w:style>
  <w:style w:type="paragraph" w:styleId="INNH5">
    <w:name w:val="toc 5"/>
    <w:basedOn w:val="Normal"/>
    <w:next w:val="Normal"/>
    <w:rsid w:val="00C3770E"/>
    <w:pPr>
      <w:tabs>
        <w:tab w:val="right" w:leader="dot" w:pos="8306"/>
      </w:tabs>
      <w:ind w:left="800"/>
    </w:pPr>
  </w:style>
  <w:style w:type="paragraph" w:styleId="Nummerertliste">
    <w:name w:val="List Number"/>
    <w:basedOn w:val="Normal"/>
    <w:rsid w:val="00C3770E"/>
    <w:pPr>
      <w:numPr>
        <w:numId w:val="208"/>
      </w:numPr>
      <w:spacing w:after="0"/>
    </w:pPr>
    <w:rPr>
      <w:rFonts w:ascii="Times" w:eastAsia="Batang" w:hAnsi="Times"/>
      <w:szCs w:val="20"/>
    </w:rPr>
  </w:style>
  <w:style w:type="paragraph" w:styleId="Nummerertliste2">
    <w:name w:val="List Number 2"/>
    <w:basedOn w:val="Normal"/>
    <w:rsid w:val="00C3770E"/>
    <w:pPr>
      <w:numPr>
        <w:ilvl w:val="1"/>
        <w:numId w:val="208"/>
      </w:numPr>
      <w:spacing w:after="0" w:line="240" w:lineRule="auto"/>
    </w:pPr>
    <w:rPr>
      <w:rFonts w:ascii="Times" w:eastAsia="Batang" w:hAnsi="Times"/>
      <w:szCs w:val="20"/>
    </w:rPr>
  </w:style>
  <w:style w:type="paragraph" w:styleId="Nummerertliste3">
    <w:name w:val="List Number 3"/>
    <w:basedOn w:val="Normal"/>
    <w:rsid w:val="00C3770E"/>
    <w:pPr>
      <w:numPr>
        <w:ilvl w:val="2"/>
        <w:numId w:val="208"/>
      </w:numPr>
      <w:spacing w:after="0" w:line="240" w:lineRule="auto"/>
    </w:pPr>
    <w:rPr>
      <w:rFonts w:ascii="Times" w:eastAsia="Batang" w:hAnsi="Times"/>
      <w:szCs w:val="20"/>
    </w:rPr>
  </w:style>
  <w:style w:type="paragraph" w:styleId="Nummerertliste4">
    <w:name w:val="List Number 4"/>
    <w:basedOn w:val="Normal"/>
    <w:rsid w:val="00C3770E"/>
    <w:pPr>
      <w:numPr>
        <w:ilvl w:val="3"/>
        <w:numId w:val="208"/>
      </w:numPr>
      <w:spacing w:after="0" w:line="240" w:lineRule="auto"/>
    </w:pPr>
    <w:rPr>
      <w:rFonts w:ascii="Times" w:eastAsia="Batang" w:hAnsi="Times"/>
      <w:szCs w:val="20"/>
    </w:rPr>
  </w:style>
  <w:style w:type="paragraph" w:styleId="Nummerertliste5">
    <w:name w:val="List Number 5"/>
    <w:basedOn w:val="Normal"/>
    <w:rsid w:val="00C3770E"/>
    <w:pPr>
      <w:numPr>
        <w:ilvl w:val="4"/>
        <w:numId w:val="208"/>
      </w:numPr>
      <w:spacing w:after="0" w:line="240" w:lineRule="auto"/>
    </w:pPr>
    <w:rPr>
      <w:rFonts w:ascii="Times" w:eastAsia="Batang" w:hAnsi="Times"/>
      <w:szCs w:val="20"/>
    </w:rPr>
  </w:style>
  <w:style w:type="paragraph" w:styleId="Punktmerketliste">
    <w:name w:val="List Bullet"/>
    <w:basedOn w:val="Normal"/>
    <w:rsid w:val="00C3770E"/>
    <w:pPr>
      <w:numPr>
        <w:numId w:val="198"/>
      </w:numPr>
      <w:spacing w:after="0"/>
    </w:pPr>
    <w:rPr>
      <w:spacing w:val="4"/>
    </w:rPr>
  </w:style>
  <w:style w:type="paragraph" w:styleId="Punktmerketliste2">
    <w:name w:val="List Bullet 2"/>
    <w:basedOn w:val="Normal"/>
    <w:rsid w:val="00C3770E"/>
    <w:pPr>
      <w:numPr>
        <w:numId w:val="199"/>
      </w:numPr>
      <w:spacing w:after="0"/>
    </w:pPr>
    <w:rPr>
      <w:spacing w:val="4"/>
    </w:rPr>
  </w:style>
  <w:style w:type="paragraph" w:styleId="Punktmerketliste3">
    <w:name w:val="List Bullet 3"/>
    <w:basedOn w:val="Normal"/>
    <w:rsid w:val="00C3770E"/>
    <w:pPr>
      <w:numPr>
        <w:numId w:val="200"/>
      </w:numPr>
      <w:spacing w:after="0"/>
    </w:pPr>
    <w:rPr>
      <w:spacing w:val="4"/>
    </w:rPr>
  </w:style>
  <w:style w:type="paragraph" w:styleId="Punktmerketliste4">
    <w:name w:val="List Bullet 4"/>
    <w:basedOn w:val="Normal"/>
    <w:rsid w:val="00C3770E"/>
    <w:pPr>
      <w:numPr>
        <w:numId w:val="201"/>
      </w:numPr>
      <w:spacing w:after="0"/>
    </w:pPr>
  </w:style>
  <w:style w:type="paragraph" w:styleId="Punktmerketliste5">
    <w:name w:val="List Bullet 5"/>
    <w:basedOn w:val="Normal"/>
    <w:rsid w:val="00C3770E"/>
    <w:pPr>
      <w:numPr>
        <w:numId w:val="202"/>
      </w:numPr>
      <w:spacing w:after="0"/>
    </w:pPr>
  </w:style>
  <w:style w:type="paragraph" w:styleId="Indeks1">
    <w:name w:val="index 1"/>
    <w:basedOn w:val="Normal"/>
    <w:next w:val="Normal"/>
    <w:autoRedefine/>
    <w:uiPriority w:val="99"/>
    <w:unhideWhenUsed/>
    <w:rsid w:val="00C3770E"/>
    <w:pPr>
      <w:spacing w:after="0" w:line="240" w:lineRule="auto"/>
      <w:ind w:left="240" w:hanging="240"/>
    </w:pPr>
  </w:style>
  <w:style w:type="paragraph" w:styleId="Indeks2">
    <w:name w:val="index 2"/>
    <w:basedOn w:val="Normal"/>
    <w:next w:val="Normal"/>
    <w:autoRedefine/>
    <w:uiPriority w:val="99"/>
    <w:unhideWhenUsed/>
    <w:rsid w:val="00C3770E"/>
    <w:pPr>
      <w:spacing w:after="0" w:line="240" w:lineRule="auto"/>
      <w:ind w:left="480" w:hanging="240"/>
    </w:pPr>
  </w:style>
  <w:style w:type="paragraph" w:styleId="Indeks3">
    <w:name w:val="index 3"/>
    <w:basedOn w:val="Normal"/>
    <w:next w:val="Normal"/>
    <w:autoRedefine/>
    <w:uiPriority w:val="99"/>
    <w:unhideWhenUsed/>
    <w:rsid w:val="00C3770E"/>
    <w:pPr>
      <w:spacing w:after="0" w:line="240" w:lineRule="auto"/>
      <w:ind w:left="720" w:hanging="240"/>
    </w:pPr>
  </w:style>
  <w:style w:type="paragraph" w:styleId="Indeks4">
    <w:name w:val="index 4"/>
    <w:basedOn w:val="Normal"/>
    <w:next w:val="Normal"/>
    <w:autoRedefine/>
    <w:uiPriority w:val="99"/>
    <w:unhideWhenUsed/>
    <w:rsid w:val="00C3770E"/>
    <w:pPr>
      <w:spacing w:after="0" w:line="240" w:lineRule="auto"/>
      <w:ind w:left="960" w:hanging="240"/>
    </w:pPr>
  </w:style>
  <w:style w:type="paragraph" w:styleId="Indeks5">
    <w:name w:val="index 5"/>
    <w:basedOn w:val="Normal"/>
    <w:next w:val="Normal"/>
    <w:autoRedefine/>
    <w:uiPriority w:val="99"/>
    <w:unhideWhenUsed/>
    <w:rsid w:val="00C3770E"/>
    <w:pPr>
      <w:spacing w:after="0" w:line="240" w:lineRule="auto"/>
      <w:ind w:left="1200" w:hanging="240"/>
    </w:pPr>
  </w:style>
  <w:style w:type="paragraph" w:styleId="Indeks6">
    <w:name w:val="index 6"/>
    <w:basedOn w:val="Normal"/>
    <w:next w:val="Normal"/>
    <w:autoRedefine/>
    <w:uiPriority w:val="99"/>
    <w:unhideWhenUsed/>
    <w:rsid w:val="00C3770E"/>
    <w:pPr>
      <w:spacing w:after="0" w:line="240" w:lineRule="auto"/>
      <w:ind w:left="1440" w:hanging="240"/>
    </w:pPr>
  </w:style>
  <w:style w:type="paragraph" w:styleId="Indeks7">
    <w:name w:val="index 7"/>
    <w:basedOn w:val="Normal"/>
    <w:next w:val="Normal"/>
    <w:autoRedefine/>
    <w:uiPriority w:val="99"/>
    <w:unhideWhenUsed/>
    <w:rsid w:val="00C3770E"/>
    <w:pPr>
      <w:spacing w:after="0" w:line="240" w:lineRule="auto"/>
      <w:ind w:left="1680" w:hanging="240"/>
    </w:pPr>
  </w:style>
  <w:style w:type="paragraph" w:styleId="Indeks8">
    <w:name w:val="index 8"/>
    <w:basedOn w:val="Normal"/>
    <w:next w:val="Normal"/>
    <w:autoRedefine/>
    <w:uiPriority w:val="99"/>
    <w:unhideWhenUsed/>
    <w:rsid w:val="00C3770E"/>
    <w:pPr>
      <w:spacing w:after="0" w:line="240" w:lineRule="auto"/>
      <w:ind w:left="1920" w:hanging="240"/>
    </w:pPr>
  </w:style>
  <w:style w:type="paragraph" w:styleId="Indeks9">
    <w:name w:val="index 9"/>
    <w:basedOn w:val="Normal"/>
    <w:next w:val="Normal"/>
    <w:autoRedefine/>
    <w:uiPriority w:val="99"/>
    <w:unhideWhenUsed/>
    <w:rsid w:val="00C3770E"/>
    <w:pPr>
      <w:spacing w:after="0" w:line="240" w:lineRule="auto"/>
      <w:ind w:left="2160" w:hanging="240"/>
    </w:pPr>
  </w:style>
  <w:style w:type="paragraph" w:styleId="INNH6">
    <w:name w:val="toc 6"/>
    <w:basedOn w:val="Normal"/>
    <w:next w:val="Normal"/>
    <w:autoRedefine/>
    <w:uiPriority w:val="39"/>
    <w:unhideWhenUsed/>
    <w:rsid w:val="00C3770E"/>
    <w:pPr>
      <w:spacing w:after="100"/>
      <w:ind w:left="1200"/>
    </w:pPr>
  </w:style>
  <w:style w:type="paragraph" w:styleId="INNH7">
    <w:name w:val="toc 7"/>
    <w:basedOn w:val="Normal"/>
    <w:next w:val="Normal"/>
    <w:autoRedefine/>
    <w:uiPriority w:val="39"/>
    <w:unhideWhenUsed/>
    <w:rsid w:val="00C3770E"/>
    <w:pPr>
      <w:spacing w:after="100"/>
      <w:ind w:left="1440"/>
    </w:pPr>
  </w:style>
  <w:style w:type="paragraph" w:styleId="INNH8">
    <w:name w:val="toc 8"/>
    <w:basedOn w:val="Normal"/>
    <w:next w:val="Normal"/>
    <w:autoRedefine/>
    <w:uiPriority w:val="39"/>
    <w:unhideWhenUsed/>
    <w:rsid w:val="00C3770E"/>
    <w:pPr>
      <w:spacing w:after="100"/>
      <w:ind w:left="1680"/>
    </w:pPr>
  </w:style>
  <w:style w:type="paragraph" w:styleId="INNH9">
    <w:name w:val="toc 9"/>
    <w:basedOn w:val="Normal"/>
    <w:next w:val="Normal"/>
    <w:autoRedefine/>
    <w:uiPriority w:val="39"/>
    <w:unhideWhenUsed/>
    <w:rsid w:val="00C3770E"/>
    <w:pPr>
      <w:spacing w:after="100"/>
      <w:ind w:left="1920"/>
    </w:pPr>
  </w:style>
  <w:style w:type="paragraph" w:styleId="Vanliginnrykk">
    <w:name w:val="Normal Indent"/>
    <w:basedOn w:val="Normal"/>
    <w:uiPriority w:val="99"/>
    <w:unhideWhenUsed/>
    <w:rsid w:val="00C3770E"/>
    <w:pPr>
      <w:ind w:left="708"/>
    </w:pPr>
  </w:style>
  <w:style w:type="paragraph" w:styleId="Stikkordregisteroverskrift">
    <w:name w:val="index heading"/>
    <w:basedOn w:val="Normal"/>
    <w:next w:val="Indeks1"/>
    <w:uiPriority w:val="99"/>
    <w:unhideWhenUsed/>
    <w:rsid w:val="00C3770E"/>
    <w:rPr>
      <w:rFonts w:asciiTheme="majorHAnsi" w:eastAsiaTheme="majorEastAsia" w:hAnsiTheme="majorHAnsi" w:cstheme="majorBidi"/>
      <w:b/>
      <w:bCs/>
    </w:rPr>
  </w:style>
  <w:style w:type="paragraph" w:styleId="Figurliste">
    <w:name w:val="table of figures"/>
    <w:basedOn w:val="Normal"/>
    <w:next w:val="Normal"/>
    <w:uiPriority w:val="99"/>
    <w:unhideWhenUsed/>
    <w:rsid w:val="00C3770E"/>
    <w:pPr>
      <w:spacing w:after="0"/>
    </w:pPr>
  </w:style>
  <w:style w:type="paragraph" w:styleId="Konvoluttadresse">
    <w:name w:val="envelope address"/>
    <w:basedOn w:val="Normal"/>
    <w:uiPriority w:val="99"/>
    <w:unhideWhenUsed/>
    <w:rsid w:val="00C3770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C3770E"/>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C3770E"/>
    <w:pPr>
      <w:spacing w:after="0" w:line="240" w:lineRule="auto"/>
    </w:pPr>
    <w:rPr>
      <w:sz w:val="20"/>
      <w:szCs w:val="20"/>
    </w:rPr>
  </w:style>
  <w:style w:type="character" w:customStyle="1" w:styleId="SluttnotetekstTegn">
    <w:name w:val="Sluttnotetekst Tegn"/>
    <w:basedOn w:val="Standardskriftforavsnitt"/>
    <w:link w:val="Sluttnotetekst"/>
    <w:uiPriority w:val="99"/>
    <w:rsid w:val="00C3770E"/>
    <w:rPr>
      <w:rFonts w:ascii="Times New Roman" w:eastAsia="Times New Roman" w:hAnsi="Times New Roman"/>
      <w:sz w:val="20"/>
      <w:szCs w:val="20"/>
    </w:rPr>
  </w:style>
  <w:style w:type="paragraph" w:styleId="Kildeliste">
    <w:name w:val="table of authorities"/>
    <w:basedOn w:val="Normal"/>
    <w:next w:val="Normal"/>
    <w:uiPriority w:val="99"/>
    <w:unhideWhenUsed/>
    <w:rsid w:val="00C3770E"/>
    <w:pPr>
      <w:spacing w:after="0"/>
      <w:ind w:left="240" w:hanging="240"/>
    </w:pPr>
  </w:style>
  <w:style w:type="paragraph" w:styleId="Makrotekst">
    <w:name w:val="macro"/>
    <w:link w:val="MakrotekstTegn"/>
    <w:uiPriority w:val="99"/>
    <w:unhideWhenUsed/>
    <w:rsid w:val="00C3770E"/>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C3770E"/>
    <w:rPr>
      <w:rFonts w:ascii="Consolas" w:eastAsia="Times New Roman" w:hAnsi="Consolas"/>
      <w:sz w:val="20"/>
      <w:szCs w:val="20"/>
    </w:rPr>
  </w:style>
  <w:style w:type="paragraph" w:styleId="Kildelisteoverskrift">
    <w:name w:val="toa heading"/>
    <w:basedOn w:val="Normal"/>
    <w:next w:val="Normal"/>
    <w:uiPriority w:val="99"/>
    <w:unhideWhenUsed/>
    <w:rsid w:val="00C3770E"/>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unhideWhenUsed/>
    <w:rsid w:val="00C3770E"/>
    <w:pPr>
      <w:spacing w:after="0" w:line="240" w:lineRule="auto"/>
      <w:ind w:left="4252"/>
    </w:pPr>
  </w:style>
  <w:style w:type="character" w:customStyle="1" w:styleId="HilsenTegn">
    <w:name w:val="Hilsen Tegn"/>
    <w:basedOn w:val="Standardskriftforavsnitt"/>
    <w:link w:val="Hilsen"/>
    <w:uiPriority w:val="99"/>
    <w:rsid w:val="00C3770E"/>
    <w:rPr>
      <w:rFonts w:ascii="Times New Roman" w:eastAsia="Times New Roman" w:hAnsi="Times New Roman"/>
      <w:sz w:val="24"/>
    </w:rPr>
  </w:style>
  <w:style w:type="paragraph" w:styleId="Underskrift">
    <w:name w:val="Signature"/>
    <w:basedOn w:val="Normal"/>
    <w:link w:val="UnderskriftTegn"/>
    <w:uiPriority w:val="99"/>
    <w:unhideWhenUsed/>
    <w:rsid w:val="00C3770E"/>
    <w:pPr>
      <w:spacing w:after="0" w:line="240" w:lineRule="auto"/>
      <w:ind w:left="4252"/>
    </w:pPr>
  </w:style>
  <w:style w:type="character" w:customStyle="1" w:styleId="UnderskriftTegn">
    <w:name w:val="Underskrift Tegn"/>
    <w:basedOn w:val="Standardskriftforavsnitt"/>
    <w:link w:val="Underskrift"/>
    <w:uiPriority w:val="99"/>
    <w:rsid w:val="00C3770E"/>
    <w:rPr>
      <w:rFonts w:ascii="Times New Roman" w:eastAsia="Times New Roman" w:hAnsi="Times New Roman"/>
      <w:sz w:val="24"/>
    </w:rPr>
  </w:style>
  <w:style w:type="paragraph" w:styleId="Brdtekst">
    <w:name w:val="Body Text"/>
    <w:basedOn w:val="Normal"/>
    <w:link w:val="BrdtekstTegn"/>
    <w:uiPriority w:val="99"/>
    <w:unhideWhenUsed/>
    <w:rsid w:val="00C3770E"/>
  </w:style>
  <w:style w:type="character" w:customStyle="1" w:styleId="BrdtekstTegn">
    <w:name w:val="Brødtekst Tegn"/>
    <w:basedOn w:val="Standardskriftforavsnitt"/>
    <w:link w:val="Brdtekst"/>
    <w:uiPriority w:val="99"/>
    <w:rsid w:val="00C3770E"/>
    <w:rPr>
      <w:rFonts w:ascii="Times New Roman" w:eastAsia="Times New Roman" w:hAnsi="Times New Roman"/>
      <w:sz w:val="24"/>
    </w:rPr>
  </w:style>
  <w:style w:type="paragraph" w:styleId="Brdtekstinnrykk">
    <w:name w:val="Body Text Indent"/>
    <w:basedOn w:val="Normal"/>
    <w:link w:val="BrdtekstinnrykkTegn"/>
    <w:uiPriority w:val="99"/>
    <w:unhideWhenUsed/>
    <w:rsid w:val="00C3770E"/>
    <w:pPr>
      <w:ind w:left="283"/>
    </w:pPr>
  </w:style>
  <w:style w:type="character" w:customStyle="1" w:styleId="BrdtekstinnrykkTegn">
    <w:name w:val="Brødtekstinnrykk Tegn"/>
    <w:basedOn w:val="Standardskriftforavsnitt"/>
    <w:link w:val="Brdtekstinnrykk"/>
    <w:uiPriority w:val="99"/>
    <w:rsid w:val="00C3770E"/>
    <w:rPr>
      <w:rFonts w:ascii="Times New Roman" w:eastAsia="Times New Roman" w:hAnsi="Times New Roman"/>
      <w:sz w:val="24"/>
    </w:rPr>
  </w:style>
  <w:style w:type="paragraph" w:styleId="Meldingshode">
    <w:name w:val="Message Header"/>
    <w:basedOn w:val="Normal"/>
    <w:link w:val="MeldingshodeTegn"/>
    <w:uiPriority w:val="99"/>
    <w:unhideWhenUsed/>
    <w:rsid w:val="00C3770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C3770E"/>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C3770E"/>
  </w:style>
  <w:style w:type="character" w:customStyle="1" w:styleId="InnledendehilsenTegn">
    <w:name w:val="Innledende hilsen Tegn"/>
    <w:basedOn w:val="Standardskriftforavsnitt"/>
    <w:link w:val="Innledendehilsen"/>
    <w:uiPriority w:val="99"/>
    <w:rsid w:val="00C3770E"/>
    <w:rPr>
      <w:rFonts w:ascii="Times New Roman" w:eastAsia="Times New Roman" w:hAnsi="Times New Roman"/>
      <w:sz w:val="24"/>
    </w:rPr>
  </w:style>
  <w:style w:type="paragraph" w:styleId="Dato">
    <w:name w:val="Date"/>
    <w:basedOn w:val="Normal"/>
    <w:next w:val="Normal"/>
    <w:link w:val="DatoTegn"/>
    <w:uiPriority w:val="99"/>
    <w:unhideWhenUsed/>
    <w:rsid w:val="00C3770E"/>
  </w:style>
  <w:style w:type="character" w:customStyle="1" w:styleId="DatoTegn">
    <w:name w:val="Dato Tegn"/>
    <w:basedOn w:val="Standardskriftforavsnitt"/>
    <w:link w:val="Dato"/>
    <w:uiPriority w:val="99"/>
    <w:rsid w:val="00C3770E"/>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C3770E"/>
    <w:pPr>
      <w:spacing w:after="0" w:line="240" w:lineRule="auto"/>
    </w:pPr>
  </w:style>
  <w:style w:type="character" w:customStyle="1" w:styleId="NotatoverskriftTegn">
    <w:name w:val="Notatoverskrift Tegn"/>
    <w:basedOn w:val="Standardskriftforavsnitt"/>
    <w:link w:val="Notatoverskrift"/>
    <w:uiPriority w:val="99"/>
    <w:rsid w:val="00C3770E"/>
    <w:rPr>
      <w:rFonts w:ascii="Times New Roman" w:eastAsia="Times New Roman" w:hAnsi="Times New Roman"/>
      <w:sz w:val="24"/>
    </w:rPr>
  </w:style>
  <w:style w:type="paragraph" w:styleId="Brdtekst2">
    <w:name w:val="Body Text 2"/>
    <w:basedOn w:val="Normal"/>
    <w:link w:val="Brdtekst2Tegn"/>
    <w:uiPriority w:val="99"/>
    <w:unhideWhenUsed/>
    <w:rsid w:val="00C3770E"/>
    <w:pPr>
      <w:spacing w:line="480" w:lineRule="auto"/>
    </w:pPr>
  </w:style>
  <w:style w:type="character" w:customStyle="1" w:styleId="Brdtekst2Tegn">
    <w:name w:val="Brødtekst 2 Tegn"/>
    <w:basedOn w:val="Standardskriftforavsnitt"/>
    <w:link w:val="Brdtekst2"/>
    <w:uiPriority w:val="99"/>
    <w:rsid w:val="00C3770E"/>
    <w:rPr>
      <w:rFonts w:ascii="Times New Roman" w:eastAsia="Times New Roman" w:hAnsi="Times New Roman"/>
      <w:sz w:val="24"/>
    </w:rPr>
  </w:style>
  <w:style w:type="paragraph" w:styleId="Brdtekst3">
    <w:name w:val="Body Text 3"/>
    <w:basedOn w:val="Normal"/>
    <w:link w:val="Brdtekst3Tegn"/>
    <w:uiPriority w:val="99"/>
    <w:unhideWhenUsed/>
    <w:rsid w:val="00C3770E"/>
    <w:rPr>
      <w:sz w:val="16"/>
      <w:szCs w:val="16"/>
    </w:rPr>
  </w:style>
  <w:style w:type="character" w:customStyle="1" w:styleId="Brdtekst3Tegn">
    <w:name w:val="Brødtekst 3 Tegn"/>
    <w:basedOn w:val="Standardskriftforavsnitt"/>
    <w:link w:val="Brdtekst3"/>
    <w:uiPriority w:val="99"/>
    <w:rsid w:val="00C3770E"/>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C3770E"/>
    <w:pPr>
      <w:spacing w:line="480" w:lineRule="auto"/>
      <w:ind w:left="283"/>
    </w:pPr>
  </w:style>
  <w:style w:type="character" w:customStyle="1" w:styleId="Brdtekstinnrykk2Tegn">
    <w:name w:val="Brødtekstinnrykk 2 Tegn"/>
    <w:basedOn w:val="Standardskriftforavsnitt"/>
    <w:link w:val="Brdtekstinnrykk2"/>
    <w:uiPriority w:val="99"/>
    <w:rsid w:val="00C3770E"/>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C3770E"/>
    <w:pPr>
      <w:ind w:left="283"/>
    </w:pPr>
    <w:rPr>
      <w:sz w:val="16"/>
      <w:szCs w:val="16"/>
    </w:rPr>
  </w:style>
  <w:style w:type="character" w:customStyle="1" w:styleId="Brdtekstinnrykk3Tegn">
    <w:name w:val="Brødtekstinnrykk 3 Tegn"/>
    <w:basedOn w:val="Standardskriftforavsnitt"/>
    <w:link w:val="Brdtekstinnrykk3"/>
    <w:uiPriority w:val="99"/>
    <w:rsid w:val="00C3770E"/>
    <w:rPr>
      <w:rFonts w:ascii="Times New Roman" w:eastAsia="Times New Roman" w:hAnsi="Times New Roman"/>
      <w:sz w:val="16"/>
      <w:szCs w:val="16"/>
    </w:rPr>
  </w:style>
  <w:style w:type="paragraph" w:styleId="Blokktekst">
    <w:name w:val="Block Text"/>
    <w:basedOn w:val="Normal"/>
    <w:uiPriority w:val="99"/>
    <w:unhideWhenUsed/>
    <w:rsid w:val="00C3770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C3770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C3770E"/>
    <w:rPr>
      <w:rFonts w:ascii="Tahoma" w:eastAsia="Times New Roman" w:hAnsi="Tahoma" w:cs="Tahoma"/>
      <w:sz w:val="16"/>
      <w:szCs w:val="16"/>
    </w:rPr>
  </w:style>
  <w:style w:type="paragraph" w:styleId="Rentekst">
    <w:name w:val="Plain Text"/>
    <w:basedOn w:val="Normal"/>
    <w:link w:val="RentekstTegn"/>
    <w:uiPriority w:val="99"/>
    <w:unhideWhenUsed/>
    <w:rsid w:val="00C3770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C3770E"/>
    <w:rPr>
      <w:rFonts w:ascii="Consolas" w:eastAsia="Times New Roman" w:hAnsi="Consolas"/>
      <w:sz w:val="21"/>
      <w:szCs w:val="21"/>
    </w:rPr>
  </w:style>
  <w:style w:type="paragraph" w:styleId="E-postsignatur">
    <w:name w:val="E-mail Signature"/>
    <w:basedOn w:val="Normal"/>
    <w:link w:val="E-postsignaturTegn"/>
    <w:uiPriority w:val="99"/>
    <w:unhideWhenUsed/>
    <w:rsid w:val="00C3770E"/>
    <w:pPr>
      <w:spacing w:after="0" w:line="240" w:lineRule="auto"/>
    </w:pPr>
  </w:style>
  <w:style w:type="character" w:customStyle="1" w:styleId="E-postsignaturTegn">
    <w:name w:val="E-postsignatur Tegn"/>
    <w:basedOn w:val="Standardskriftforavsnitt"/>
    <w:link w:val="E-postsignatur"/>
    <w:uiPriority w:val="99"/>
    <w:rsid w:val="00C3770E"/>
    <w:rPr>
      <w:rFonts w:ascii="Times New Roman" w:eastAsia="Times New Roman" w:hAnsi="Times New Roman"/>
      <w:sz w:val="24"/>
    </w:rPr>
  </w:style>
  <w:style w:type="paragraph" w:styleId="HTML-adresse">
    <w:name w:val="HTML Address"/>
    <w:basedOn w:val="Normal"/>
    <w:link w:val="HTML-adresseTegn"/>
    <w:uiPriority w:val="99"/>
    <w:unhideWhenUsed/>
    <w:rsid w:val="00C3770E"/>
    <w:pPr>
      <w:spacing w:after="0" w:line="240" w:lineRule="auto"/>
    </w:pPr>
    <w:rPr>
      <w:i/>
      <w:iCs/>
    </w:rPr>
  </w:style>
  <w:style w:type="character" w:customStyle="1" w:styleId="HTML-adresseTegn">
    <w:name w:val="HTML-adresse Tegn"/>
    <w:basedOn w:val="Standardskriftforavsnitt"/>
    <w:link w:val="HTML-adresse"/>
    <w:uiPriority w:val="99"/>
    <w:rsid w:val="00C3770E"/>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C3770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C3770E"/>
    <w:rPr>
      <w:rFonts w:ascii="Consolas" w:eastAsia="Times New Roman" w:hAnsi="Consolas"/>
      <w:sz w:val="20"/>
      <w:szCs w:val="20"/>
    </w:rPr>
  </w:style>
  <w:style w:type="paragraph" w:styleId="Bibliografi">
    <w:name w:val="Bibliography"/>
    <w:basedOn w:val="Normal"/>
    <w:next w:val="Normal"/>
    <w:uiPriority w:val="37"/>
    <w:unhideWhenUsed/>
    <w:rsid w:val="00C3770E"/>
  </w:style>
  <w:style w:type="paragraph" w:customStyle="1" w:styleId="Figur">
    <w:name w:val="Figur"/>
    <w:basedOn w:val="Normal"/>
    <w:rsid w:val="00C3770E"/>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C3770E"/>
    <w:pPr>
      <w:ind w:firstLine="360"/>
    </w:pPr>
  </w:style>
  <w:style w:type="character" w:customStyle="1" w:styleId="Brdtekst-frsteinnrykkTegn">
    <w:name w:val="Brødtekst - første innrykk Tegn"/>
    <w:basedOn w:val="BrdtekstTegn"/>
    <w:link w:val="Brdtekst-frsteinnrykk"/>
    <w:uiPriority w:val="99"/>
    <w:rsid w:val="00C3770E"/>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C3770E"/>
    <w:pPr>
      <w:ind w:left="360" w:firstLine="360"/>
    </w:pPr>
  </w:style>
  <w:style w:type="character" w:customStyle="1" w:styleId="Brdtekst-frsteinnrykk2Tegn">
    <w:name w:val="Brødtekst - første innrykk 2 Tegn"/>
    <w:basedOn w:val="BrdtekstinnrykkTegn"/>
    <w:link w:val="Brdtekst-frsteinnrykk2"/>
    <w:uiPriority w:val="99"/>
    <w:rsid w:val="00C3770E"/>
    <w:rPr>
      <w:rFonts w:ascii="Times New Roman" w:eastAsia="Times New Roman" w:hAnsi="Times New Roman"/>
      <w:sz w:val="24"/>
    </w:rPr>
  </w:style>
  <w:style w:type="paragraph" w:styleId="Liste-forts">
    <w:name w:val="List Continue"/>
    <w:basedOn w:val="Normal"/>
    <w:uiPriority w:val="99"/>
    <w:unhideWhenUsed/>
    <w:rsid w:val="00C3770E"/>
    <w:pPr>
      <w:ind w:left="283"/>
      <w:contextualSpacing/>
    </w:pPr>
  </w:style>
  <w:style w:type="paragraph" w:styleId="Liste-forts2">
    <w:name w:val="List Continue 2"/>
    <w:basedOn w:val="Normal"/>
    <w:uiPriority w:val="99"/>
    <w:unhideWhenUsed/>
    <w:rsid w:val="00C3770E"/>
    <w:pPr>
      <w:ind w:left="566"/>
      <w:contextualSpacing/>
    </w:pPr>
  </w:style>
  <w:style w:type="paragraph" w:styleId="Liste-forts3">
    <w:name w:val="List Continue 3"/>
    <w:basedOn w:val="Normal"/>
    <w:uiPriority w:val="99"/>
    <w:unhideWhenUsed/>
    <w:rsid w:val="00C3770E"/>
    <w:pPr>
      <w:ind w:left="849"/>
      <w:contextualSpacing/>
    </w:pPr>
  </w:style>
  <w:style w:type="paragraph" w:styleId="Liste-forts4">
    <w:name w:val="List Continue 4"/>
    <w:basedOn w:val="Normal"/>
    <w:uiPriority w:val="99"/>
    <w:unhideWhenUsed/>
    <w:rsid w:val="00C3770E"/>
    <w:pPr>
      <w:ind w:left="1132"/>
      <w:contextualSpacing/>
    </w:pPr>
  </w:style>
  <w:style w:type="paragraph" w:styleId="Liste-forts5">
    <w:name w:val="List Continue 5"/>
    <w:basedOn w:val="Normal"/>
    <w:uiPriority w:val="99"/>
    <w:unhideWhenUsed/>
    <w:rsid w:val="00C3770E"/>
    <w:pPr>
      <w:ind w:left="1415"/>
      <w:contextualSpacing/>
    </w:pPr>
  </w:style>
  <w:style w:type="paragraph" w:customStyle="1" w:styleId="Sammendrag">
    <w:name w:val="Sammendrag"/>
    <w:basedOn w:val="Overskrift1"/>
    <w:qFormat/>
    <w:rsid w:val="00C3770E"/>
    <w:pPr>
      <w:numPr>
        <w:numId w:val="0"/>
      </w:numPr>
    </w:pPr>
  </w:style>
  <w:style w:type="paragraph" w:customStyle="1" w:styleId="TrykkeriMerknad">
    <w:name w:val="TrykkeriMerknad"/>
    <w:basedOn w:val="Normal"/>
    <w:qFormat/>
    <w:rsid w:val="00C3770E"/>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C3770E"/>
    <w:pPr>
      <w:shd w:val="clear" w:color="auto" w:fill="FFFF99"/>
      <w:spacing w:line="240" w:lineRule="auto"/>
    </w:pPr>
    <w:rPr>
      <w:color w:val="632423" w:themeColor="accent2" w:themeShade="80"/>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a-tilraar-dep">
    <w:name w:val="a-tilraar-dep"/>
    <w:basedOn w:val="Normal"/>
    <w:next w:val="Normal"/>
    <w:rsid w:val="00C3770E"/>
    <w:pPr>
      <w:keepNext/>
      <w:spacing w:before="240" w:after="240"/>
    </w:pPr>
    <w:rPr>
      <w:spacing w:val="4"/>
    </w:rPr>
  </w:style>
  <w:style w:type="paragraph" w:customStyle="1" w:styleId="a-tilraar-tit">
    <w:name w:val="a-tilraar-tit"/>
    <w:basedOn w:val="Normal"/>
    <w:next w:val="Normal"/>
    <w:rsid w:val="00C3770E"/>
    <w:pPr>
      <w:keepNext/>
      <w:keepLines/>
      <w:spacing w:before="240"/>
      <w:jc w:val="center"/>
    </w:pPr>
    <w:rPr>
      <w:spacing w:val="30"/>
    </w:rPr>
  </w:style>
  <w:style w:type="paragraph" w:customStyle="1" w:styleId="ramme-noter">
    <w:name w:val="ramme-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C3770E"/>
  </w:style>
  <w:style w:type="paragraph" w:customStyle="1" w:styleId="del-nr">
    <w:name w:val="del-nr"/>
    <w:basedOn w:val="Normal"/>
    <w:qFormat/>
    <w:rsid w:val="00C3770E"/>
    <w:pPr>
      <w:keepNext/>
      <w:keepLines/>
      <w:spacing w:before="360" w:after="0" w:line="240" w:lineRule="auto"/>
      <w:jc w:val="center"/>
    </w:pPr>
    <w:rPr>
      <w:rFonts w:eastAsia="Batang"/>
      <w:i/>
      <w:sz w:val="48"/>
      <w:szCs w:val="20"/>
    </w:rPr>
  </w:style>
  <w:style w:type="paragraph" w:customStyle="1" w:styleId="del-tittel">
    <w:name w:val="del-tittel"/>
    <w:uiPriority w:val="99"/>
    <w:rsid w:val="00C3770E"/>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C3770E"/>
    <w:rPr>
      <w:spacing w:val="4"/>
    </w:rPr>
  </w:style>
  <w:style w:type="paragraph" w:customStyle="1" w:styleId="figur-noter">
    <w:name w:val="figur-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C3770E"/>
    <w:pPr>
      <w:spacing w:before="240"/>
      <w:jc w:val="center"/>
    </w:pPr>
    <w:rPr>
      <w:spacing w:val="4"/>
    </w:rPr>
  </w:style>
  <w:style w:type="paragraph" w:customStyle="1" w:styleId="hengende-innrykk">
    <w:name w:val="hengende-innrykk"/>
    <w:basedOn w:val="Normal"/>
    <w:next w:val="Normal"/>
    <w:rsid w:val="00C3770E"/>
    <w:pPr>
      <w:ind w:left="1418" w:hanging="1418"/>
    </w:pPr>
    <w:rPr>
      <w:spacing w:val="4"/>
    </w:rPr>
  </w:style>
  <w:style w:type="paragraph" w:customStyle="1" w:styleId="i-dep">
    <w:name w:val="i-dep"/>
    <w:basedOn w:val="Normal"/>
    <w:next w:val="Normal"/>
    <w:rsid w:val="00C3770E"/>
    <w:pPr>
      <w:jc w:val="right"/>
    </w:pPr>
    <w:rPr>
      <w:rFonts w:ascii="Times" w:hAnsi="Times"/>
      <w:b/>
      <w:noProof/>
      <w:spacing w:val="4"/>
      <w:u w:val="single"/>
    </w:rPr>
  </w:style>
  <w:style w:type="paragraph" w:customStyle="1" w:styleId="i-undertit">
    <w:name w:val="i-undertit"/>
    <w:basedOn w:val="Normal"/>
    <w:next w:val="Normal"/>
    <w:rsid w:val="00C3770E"/>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C3770E"/>
    <w:pPr>
      <w:ind w:left="1701" w:hanging="1701"/>
    </w:pPr>
  </w:style>
  <w:style w:type="paragraph" w:customStyle="1" w:styleId="i-statsrdato">
    <w:name w:val="i-statsr.dato"/>
    <w:basedOn w:val="Normal"/>
    <w:next w:val="Normal"/>
    <w:rsid w:val="00C3770E"/>
    <w:pPr>
      <w:jc w:val="center"/>
    </w:pPr>
    <w:rPr>
      <w:rFonts w:ascii="Times" w:hAnsi="Times"/>
      <w:i/>
      <w:noProof/>
      <w:spacing w:val="4"/>
    </w:rPr>
  </w:style>
  <w:style w:type="paragraph" w:customStyle="1" w:styleId="i-tit">
    <w:name w:val="i-tit"/>
    <w:basedOn w:val="Normal"/>
    <w:next w:val="i-statsrdato"/>
    <w:rsid w:val="00C3770E"/>
    <w:pPr>
      <w:spacing w:before="360" w:after="240"/>
      <w:jc w:val="center"/>
    </w:pPr>
    <w:rPr>
      <w:rFonts w:ascii="Times" w:hAnsi="Times"/>
      <w:b/>
      <w:noProof/>
      <w:spacing w:val="4"/>
      <w:sz w:val="32"/>
    </w:rPr>
  </w:style>
  <w:style w:type="paragraph" w:customStyle="1" w:styleId="is-dep">
    <w:name w:val="is-dep"/>
    <w:basedOn w:val="i-dep"/>
    <w:qFormat/>
    <w:rsid w:val="00C3770E"/>
    <w:pPr>
      <w:spacing w:line="240" w:lineRule="auto"/>
    </w:pPr>
    <w:rPr>
      <w:szCs w:val="20"/>
    </w:rPr>
  </w:style>
  <w:style w:type="paragraph" w:customStyle="1" w:styleId="Kilde">
    <w:name w:val="Kilde"/>
    <w:basedOn w:val="Normal"/>
    <w:next w:val="Normal"/>
    <w:rsid w:val="00C3770E"/>
    <w:pPr>
      <w:spacing w:after="240"/>
    </w:pPr>
    <w:rPr>
      <w:spacing w:val="4"/>
      <w:sz w:val="20"/>
    </w:rPr>
  </w:style>
  <w:style w:type="paragraph" w:customStyle="1" w:styleId="l-avsnitt">
    <w:name w:val="l-avsnitt"/>
    <w:basedOn w:val="l-lovkap"/>
    <w:qFormat/>
    <w:rsid w:val="00C3770E"/>
    <w:rPr>
      <w:lang w:val="nn-NO"/>
    </w:rPr>
  </w:style>
  <w:style w:type="paragraph" w:customStyle="1" w:styleId="l-lovdeltit">
    <w:name w:val="l-lovdeltit"/>
    <w:basedOn w:val="Normal"/>
    <w:next w:val="Normal"/>
    <w:rsid w:val="00C3770E"/>
    <w:pPr>
      <w:keepNext/>
      <w:spacing w:before="120" w:after="60"/>
    </w:pPr>
    <w:rPr>
      <w:b/>
    </w:rPr>
  </w:style>
  <w:style w:type="paragraph" w:customStyle="1" w:styleId="l-lovkap">
    <w:name w:val="l-lovkap"/>
    <w:basedOn w:val="Normal"/>
    <w:next w:val="Normal"/>
    <w:rsid w:val="00C3770E"/>
    <w:pPr>
      <w:keepNext/>
      <w:spacing w:before="240" w:after="40"/>
    </w:pPr>
    <w:rPr>
      <w:b/>
      <w:spacing w:val="4"/>
    </w:rPr>
  </w:style>
  <w:style w:type="paragraph" w:customStyle="1" w:styleId="l-lovtit">
    <w:name w:val="l-lovtit"/>
    <w:basedOn w:val="Normal"/>
    <w:next w:val="Normal"/>
    <w:rsid w:val="00C3770E"/>
    <w:pPr>
      <w:keepNext/>
      <w:spacing w:before="120" w:after="60"/>
    </w:pPr>
    <w:rPr>
      <w:b/>
      <w:spacing w:val="4"/>
    </w:rPr>
  </w:style>
  <w:style w:type="paragraph" w:customStyle="1" w:styleId="l-punktum">
    <w:name w:val="l-punktum"/>
    <w:basedOn w:val="Normal"/>
    <w:qFormat/>
    <w:rsid w:val="00C3770E"/>
    <w:pPr>
      <w:spacing w:after="0"/>
    </w:pPr>
    <w:rPr>
      <w:spacing w:val="4"/>
    </w:rPr>
  </w:style>
  <w:style w:type="paragraph" w:customStyle="1" w:styleId="l-tit-endr-avsnitt">
    <w:name w:val="l-tit-endr-avsnitt"/>
    <w:basedOn w:val="l-tit-endr-lovkap"/>
    <w:qFormat/>
    <w:rsid w:val="00C3770E"/>
  </w:style>
  <w:style w:type="paragraph" w:customStyle="1" w:styleId="l-tit-endr-ledd">
    <w:name w:val="l-tit-endr-ledd"/>
    <w:basedOn w:val="Normal"/>
    <w:qFormat/>
    <w:rsid w:val="00C3770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3770E"/>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3770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C3770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3770E"/>
  </w:style>
  <w:style w:type="paragraph" w:customStyle="1" w:styleId="Listeavsnitt2">
    <w:name w:val="Listeavsnitt 2"/>
    <w:basedOn w:val="Normal"/>
    <w:qFormat/>
    <w:rsid w:val="00C3770E"/>
    <w:pPr>
      <w:spacing w:before="60" w:after="0"/>
      <w:ind w:left="794"/>
    </w:pPr>
  </w:style>
  <w:style w:type="paragraph" w:customStyle="1" w:styleId="Listeavsnitt3">
    <w:name w:val="Listeavsnitt 3"/>
    <w:basedOn w:val="Normal"/>
    <w:qFormat/>
    <w:rsid w:val="00C3770E"/>
    <w:pPr>
      <w:spacing w:before="60" w:after="0"/>
      <w:ind w:left="1191"/>
    </w:pPr>
  </w:style>
  <w:style w:type="paragraph" w:customStyle="1" w:styleId="Listeavsnitt4">
    <w:name w:val="Listeavsnitt 4"/>
    <w:basedOn w:val="Normal"/>
    <w:qFormat/>
    <w:rsid w:val="00C3770E"/>
    <w:pPr>
      <w:spacing w:before="60" w:after="0"/>
      <w:ind w:left="1588"/>
    </w:pPr>
  </w:style>
  <w:style w:type="paragraph" w:customStyle="1" w:styleId="Listeavsnitt5">
    <w:name w:val="Listeavsnitt 5"/>
    <w:basedOn w:val="Normal"/>
    <w:qFormat/>
    <w:rsid w:val="00C3770E"/>
    <w:pPr>
      <w:spacing w:before="60" w:after="0"/>
      <w:ind w:left="1985"/>
    </w:pPr>
  </w:style>
  <w:style w:type="paragraph" w:customStyle="1" w:styleId="Normalref">
    <w:name w:val="Normalref"/>
    <w:basedOn w:val="Normal"/>
    <w:qFormat/>
    <w:rsid w:val="00C3770E"/>
    <w:pPr>
      <w:ind w:left="357" w:hanging="357"/>
    </w:pPr>
  </w:style>
  <w:style w:type="paragraph" w:customStyle="1" w:styleId="Petit">
    <w:name w:val="Petit"/>
    <w:basedOn w:val="Normal"/>
    <w:next w:val="Normal"/>
    <w:qFormat/>
    <w:rsid w:val="00C3770E"/>
    <w:rPr>
      <w:spacing w:val="6"/>
      <w:sz w:val="19"/>
    </w:rPr>
  </w:style>
  <w:style w:type="paragraph" w:customStyle="1" w:styleId="Ramme-slutt">
    <w:name w:val="Ramme-slutt"/>
    <w:basedOn w:val="NormalWeb"/>
    <w:qFormat/>
    <w:rsid w:val="00C3770E"/>
    <w:rPr>
      <w:b/>
      <w:color w:val="C00000"/>
    </w:rPr>
  </w:style>
  <w:style w:type="paragraph" w:customStyle="1" w:styleId="tabell-noter">
    <w:name w:val="tabell-noter"/>
    <w:basedOn w:val="Normal"/>
    <w:next w:val="Normal"/>
    <w:rsid w:val="00C3770E"/>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C3770E"/>
    <w:rPr>
      <w:rFonts w:ascii="Times" w:hAnsi="Times"/>
      <w:vanish/>
      <w:color w:val="00B050"/>
    </w:rPr>
  </w:style>
  <w:style w:type="paragraph" w:customStyle="1" w:styleId="Term">
    <w:name w:val="Term"/>
    <w:basedOn w:val="Normal"/>
    <w:qFormat/>
    <w:rsid w:val="00C3770E"/>
  </w:style>
  <w:style w:type="paragraph" w:customStyle="1" w:styleId="tittel-forord">
    <w:name w:val="tittel-forord"/>
    <w:basedOn w:val="Normal"/>
    <w:next w:val="Normal"/>
    <w:rsid w:val="00C3770E"/>
    <w:pPr>
      <w:keepNext/>
      <w:keepLines/>
      <w:jc w:val="center"/>
    </w:pPr>
    <w:rPr>
      <w:rFonts w:ascii="Arial" w:hAnsi="Arial"/>
      <w:b/>
      <w:sz w:val="28"/>
    </w:rPr>
  </w:style>
  <w:style w:type="paragraph" w:customStyle="1" w:styleId="tittel-litteraturliste">
    <w:name w:val="tittel-litteraturliste"/>
    <w:basedOn w:val="Normal"/>
    <w:next w:val="Normal"/>
    <w:rsid w:val="00C3770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C3770E"/>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C3770E"/>
    <w:pPr>
      <w:numPr>
        <w:numId w:val="0"/>
      </w:numPr>
    </w:pPr>
    <w:rPr>
      <w:b w:val="0"/>
      <w:i/>
    </w:rPr>
  </w:style>
  <w:style w:type="paragraph" w:customStyle="1" w:styleId="Undervedl-tittel">
    <w:name w:val="Undervedl-tittel"/>
    <w:basedOn w:val="Normal"/>
    <w:next w:val="Normal"/>
    <w:rsid w:val="00C3770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C3770E"/>
    <w:pPr>
      <w:numPr>
        <w:numId w:val="0"/>
      </w:numPr>
      <w:outlineLvl w:val="9"/>
    </w:pPr>
  </w:style>
  <w:style w:type="paragraph" w:customStyle="1" w:styleId="v-Overskrift2">
    <w:name w:val="v-Overskrift 2"/>
    <w:basedOn w:val="Overskrift2"/>
    <w:next w:val="Normal"/>
    <w:rsid w:val="00C3770E"/>
    <w:pPr>
      <w:numPr>
        <w:ilvl w:val="0"/>
        <w:numId w:val="0"/>
      </w:numPr>
      <w:outlineLvl w:val="9"/>
    </w:pPr>
  </w:style>
  <w:style w:type="paragraph" w:customStyle="1" w:styleId="v-Overskrift3">
    <w:name w:val="v-Overskrift 3"/>
    <w:basedOn w:val="Overskrift3"/>
    <w:next w:val="Normal"/>
    <w:rsid w:val="00C3770E"/>
    <w:pPr>
      <w:numPr>
        <w:ilvl w:val="0"/>
        <w:numId w:val="0"/>
      </w:numPr>
      <w:outlineLvl w:val="9"/>
    </w:pPr>
  </w:style>
  <w:style w:type="paragraph" w:customStyle="1" w:styleId="vedlegg-nr">
    <w:name w:val="vedlegg-nr"/>
    <w:basedOn w:val="Normal"/>
    <w:next w:val="Normal"/>
    <w:rsid w:val="00C3770E"/>
    <w:pPr>
      <w:keepNext/>
      <w:keepLines/>
      <w:numPr>
        <w:numId w:val="203"/>
      </w:numPr>
    </w:pPr>
    <w:rPr>
      <w:rFonts w:ascii="Arial" w:hAnsi="Arial"/>
      <w:b/>
      <w:spacing w:val="4"/>
      <w:u w:val="single"/>
    </w:rPr>
  </w:style>
  <w:style w:type="paragraph" w:customStyle="1" w:styleId="vedlegg-tit">
    <w:name w:val="vedlegg-tit"/>
    <w:basedOn w:val="Normal"/>
    <w:next w:val="Normal"/>
    <w:rsid w:val="00C3770E"/>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C3770E"/>
    <w:pPr>
      <w:keepNext/>
      <w:keepLines/>
      <w:jc w:val="center"/>
    </w:pPr>
    <w:rPr>
      <w:rFonts w:eastAsia="Batang"/>
      <w:b/>
      <w:spacing w:val="4"/>
      <w:sz w:val="28"/>
    </w:rPr>
  </w:style>
  <w:style w:type="paragraph" w:customStyle="1" w:styleId="i-hode">
    <w:name w:val="i-hode"/>
    <w:basedOn w:val="Normal"/>
    <w:next w:val="Normal"/>
    <w:rsid w:val="00C3770E"/>
    <w:pPr>
      <w:keepNext/>
      <w:keepLines/>
      <w:spacing w:before="720"/>
      <w:jc w:val="center"/>
    </w:pPr>
    <w:rPr>
      <w:rFonts w:ascii="Times" w:hAnsi="Times"/>
      <w:b/>
      <w:noProof/>
      <w:spacing w:val="4"/>
      <w:sz w:val="56"/>
    </w:rPr>
  </w:style>
  <w:style w:type="paragraph" w:customStyle="1" w:styleId="i-sesjon">
    <w:name w:val="i-sesjon"/>
    <w:basedOn w:val="Normal"/>
    <w:next w:val="Normal"/>
    <w:rsid w:val="00C3770E"/>
    <w:pPr>
      <w:jc w:val="center"/>
    </w:pPr>
    <w:rPr>
      <w:rFonts w:ascii="Times" w:hAnsi="Times"/>
      <w:b/>
      <w:noProof/>
      <w:spacing w:val="4"/>
      <w:sz w:val="28"/>
    </w:rPr>
  </w:style>
  <w:style w:type="paragraph" w:customStyle="1" w:styleId="i-mtit">
    <w:name w:val="i-mtit"/>
    <w:basedOn w:val="Normal"/>
    <w:next w:val="Normal"/>
    <w:rsid w:val="00C3770E"/>
    <w:pPr>
      <w:keepNext/>
      <w:keepLines/>
      <w:spacing w:before="360"/>
      <w:jc w:val="center"/>
    </w:pPr>
    <w:rPr>
      <w:rFonts w:ascii="Times" w:hAnsi="Times"/>
      <w:b/>
      <w:noProof/>
      <w:spacing w:val="4"/>
    </w:rPr>
  </w:style>
  <w:style w:type="paragraph" w:customStyle="1" w:styleId="figur-tittel">
    <w:name w:val="figur-tittel"/>
    <w:basedOn w:val="Normal"/>
    <w:next w:val="Normal"/>
    <w:rsid w:val="00C3770E"/>
    <w:pPr>
      <w:numPr>
        <w:ilvl w:val="5"/>
        <w:numId w:val="219"/>
      </w:numPr>
    </w:pPr>
    <w:rPr>
      <w:rFonts w:ascii="Arial" w:hAnsi="Arial"/>
      <w:spacing w:val="4"/>
    </w:rPr>
  </w:style>
  <w:style w:type="paragraph" w:customStyle="1" w:styleId="tabell-tittel">
    <w:name w:val="tabell-tittel"/>
    <w:basedOn w:val="Normal"/>
    <w:next w:val="Normal"/>
    <w:rsid w:val="00C3770E"/>
    <w:pPr>
      <w:keepNext/>
      <w:keepLines/>
      <w:numPr>
        <w:ilvl w:val="6"/>
        <w:numId w:val="219"/>
      </w:numPr>
      <w:spacing w:before="240"/>
    </w:pPr>
    <w:rPr>
      <w:rFonts w:ascii="Arial" w:hAnsi="Arial"/>
      <w:spacing w:val="4"/>
    </w:rPr>
  </w:style>
  <w:style w:type="paragraph" w:customStyle="1" w:styleId="avsnitt-tittel">
    <w:name w:val="avsnitt-tittel"/>
    <w:basedOn w:val="Normal"/>
    <w:next w:val="Normal"/>
    <w:rsid w:val="00C3770E"/>
    <w:pPr>
      <w:keepNext/>
      <w:keepLines/>
      <w:spacing w:before="360" w:after="60"/>
    </w:pPr>
    <w:rPr>
      <w:rFonts w:ascii="Arial" w:hAnsi="Arial"/>
      <w:spacing w:val="4"/>
      <w:sz w:val="26"/>
    </w:rPr>
  </w:style>
  <w:style w:type="paragraph" w:customStyle="1" w:styleId="Listebombe">
    <w:name w:val="Liste bombe"/>
    <w:basedOn w:val="Liste"/>
    <w:qFormat/>
    <w:rsid w:val="00C3770E"/>
    <w:pPr>
      <w:numPr>
        <w:numId w:val="214"/>
      </w:numPr>
    </w:pPr>
  </w:style>
  <w:style w:type="paragraph" w:customStyle="1" w:styleId="Listebombe2">
    <w:name w:val="Liste bombe 2"/>
    <w:basedOn w:val="Liste2"/>
    <w:qFormat/>
    <w:rsid w:val="00C3770E"/>
    <w:pPr>
      <w:numPr>
        <w:ilvl w:val="0"/>
        <w:numId w:val="215"/>
      </w:numPr>
    </w:pPr>
  </w:style>
  <w:style w:type="paragraph" w:customStyle="1" w:styleId="Listebombe3">
    <w:name w:val="Liste bombe 3"/>
    <w:basedOn w:val="Liste3"/>
    <w:qFormat/>
    <w:rsid w:val="00C3770E"/>
    <w:pPr>
      <w:numPr>
        <w:ilvl w:val="0"/>
        <w:numId w:val="216"/>
      </w:numPr>
    </w:pPr>
  </w:style>
  <w:style w:type="paragraph" w:customStyle="1" w:styleId="Listebombe4">
    <w:name w:val="Liste bombe 4"/>
    <w:basedOn w:val="Liste4"/>
    <w:qFormat/>
    <w:rsid w:val="00C3770E"/>
    <w:pPr>
      <w:numPr>
        <w:ilvl w:val="0"/>
        <w:numId w:val="217"/>
      </w:numPr>
    </w:pPr>
  </w:style>
  <w:style w:type="paragraph" w:customStyle="1" w:styleId="Listebombe5">
    <w:name w:val="Liste bombe 5"/>
    <w:basedOn w:val="Liste5"/>
    <w:qFormat/>
    <w:rsid w:val="00C3770E"/>
    <w:pPr>
      <w:numPr>
        <w:ilvl w:val="0"/>
        <w:numId w:val="218"/>
      </w:numPr>
    </w:pPr>
  </w:style>
  <w:style w:type="paragraph" w:customStyle="1" w:styleId="alfaliste">
    <w:name w:val="alfaliste"/>
    <w:basedOn w:val="Normal"/>
    <w:rsid w:val="00C3770E"/>
    <w:pPr>
      <w:numPr>
        <w:numId w:val="205"/>
      </w:numPr>
      <w:spacing w:after="0"/>
    </w:pPr>
    <w:rPr>
      <w:spacing w:val="4"/>
    </w:rPr>
  </w:style>
  <w:style w:type="paragraph" w:customStyle="1" w:styleId="alfaliste2">
    <w:name w:val="alfaliste 2"/>
    <w:basedOn w:val="Normal"/>
    <w:rsid w:val="00C3770E"/>
    <w:pPr>
      <w:numPr>
        <w:ilvl w:val="1"/>
        <w:numId w:val="205"/>
      </w:numPr>
      <w:spacing w:after="0"/>
    </w:pPr>
    <w:rPr>
      <w:spacing w:val="4"/>
    </w:rPr>
  </w:style>
  <w:style w:type="paragraph" w:customStyle="1" w:styleId="alfaliste3">
    <w:name w:val="alfaliste 3"/>
    <w:basedOn w:val="Normal"/>
    <w:rsid w:val="00C3770E"/>
    <w:pPr>
      <w:numPr>
        <w:ilvl w:val="2"/>
        <w:numId w:val="205"/>
      </w:numPr>
      <w:spacing w:after="0"/>
    </w:pPr>
  </w:style>
  <w:style w:type="paragraph" w:customStyle="1" w:styleId="alfaliste4">
    <w:name w:val="alfaliste 4"/>
    <w:basedOn w:val="Normal"/>
    <w:rsid w:val="00C3770E"/>
    <w:pPr>
      <w:numPr>
        <w:ilvl w:val="3"/>
        <w:numId w:val="205"/>
      </w:numPr>
      <w:spacing w:after="0"/>
    </w:pPr>
  </w:style>
  <w:style w:type="paragraph" w:customStyle="1" w:styleId="alfaliste5">
    <w:name w:val="alfaliste 5"/>
    <w:basedOn w:val="Normal"/>
    <w:rsid w:val="00C3770E"/>
    <w:pPr>
      <w:numPr>
        <w:ilvl w:val="4"/>
        <w:numId w:val="205"/>
      </w:numPr>
      <w:spacing w:after="0"/>
    </w:pPr>
  </w:style>
  <w:style w:type="paragraph" w:customStyle="1" w:styleId="romertallliste">
    <w:name w:val="romertall liste"/>
    <w:basedOn w:val="Normal"/>
    <w:rsid w:val="00C3770E"/>
    <w:pPr>
      <w:numPr>
        <w:numId w:val="213"/>
      </w:numPr>
      <w:spacing w:after="0" w:line="240" w:lineRule="auto"/>
    </w:pPr>
    <w:rPr>
      <w:rFonts w:ascii="Times" w:eastAsia="Batang" w:hAnsi="Times"/>
      <w:szCs w:val="20"/>
    </w:rPr>
  </w:style>
  <w:style w:type="paragraph" w:customStyle="1" w:styleId="romertallliste2">
    <w:name w:val="romertall liste 2"/>
    <w:basedOn w:val="Normal"/>
    <w:rsid w:val="00C3770E"/>
    <w:pPr>
      <w:numPr>
        <w:ilvl w:val="1"/>
        <w:numId w:val="213"/>
      </w:numPr>
      <w:spacing w:after="0" w:line="240" w:lineRule="auto"/>
    </w:pPr>
    <w:rPr>
      <w:rFonts w:ascii="Times" w:eastAsia="Batang" w:hAnsi="Times"/>
      <w:szCs w:val="20"/>
    </w:rPr>
  </w:style>
  <w:style w:type="paragraph" w:customStyle="1" w:styleId="romertallliste3">
    <w:name w:val="romertall liste 3"/>
    <w:basedOn w:val="Normal"/>
    <w:rsid w:val="00C3770E"/>
    <w:pPr>
      <w:numPr>
        <w:ilvl w:val="2"/>
        <w:numId w:val="213"/>
      </w:numPr>
      <w:spacing w:after="0" w:line="240" w:lineRule="auto"/>
    </w:pPr>
    <w:rPr>
      <w:rFonts w:ascii="Times" w:eastAsia="Batang" w:hAnsi="Times"/>
      <w:szCs w:val="20"/>
    </w:rPr>
  </w:style>
  <w:style w:type="paragraph" w:customStyle="1" w:styleId="romertallliste4">
    <w:name w:val="romertall liste 4"/>
    <w:basedOn w:val="Normal"/>
    <w:rsid w:val="00C3770E"/>
    <w:pPr>
      <w:numPr>
        <w:ilvl w:val="3"/>
        <w:numId w:val="213"/>
      </w:numPr>
      <w:spacing w:after="0" w:line="240" w:lineRule="auto"/>
    </w:pPr>
    <w:rPr>
      <w:rFonts w:ascii="Times" w:eastAsia="Batang" w:hAnsi="Times"/>
      <w:szCs w:val="20"/>
    </w:rPr>
  </w:style>
  <w:style w:type="paragraph" w:customStyle="1" w:styleId="romertallliste5">
    <w:name w:val="romertall liste 5"/>
    <w:basedOn w:val="Normal"/>
    <w:qFormat/>
    <w:rsid w:val="00C3770E"/>
    <w:pPr>
      <w:numPr>
        <w:ilvl w:val="4"/>
        <w:numId w:val="213"/>
      </w:numPr>
      <w:spacing w:after="0"/>
    </w:pPr>
    <w:rPr>
      <w:spacing w:val="4"/>
    </w:rPr>
  </w:style>
  <w:style w:type="paragraph" w:customStyle="1" w:styleId="opplisting">
    <w:name w:val="opplisting"/>
    <w:basedOn w:val="Normal"/>
    <w:rsid w:val="00C3770E"/>
    <w:pPr>
      <w:spacing w:after="0"/>
    </w:pPr>
    <w:rPr>
      <w:rFonts w:ascii="Times" w:hAnsi="Times" w:cs="Times New Roman"/>
    </w:rPr>
  </w:style>
  <w:style w:type="paragraph" w:customStyle="1" w:styleId="opplisting2">
    <w:name w:val="opplisting 2"/>
    <w:basedOn w:val="Normal"/>
    <w:qFormat/>
    <w:rsid w:val="00C3770E"/>
    <w:pPr>
      <w:spacing w:after="0"/>
      <w:ind w:left="397"/>
    </w:pPr>
    <w:rPr>
      <w:lang w:val="en-US"/>
    </w:rPr>
  </w:style>
  <w:style w:type="paragraph" w:customStyle="1" w:styleId="opplisting3">
    <w:name w:val="opplisting 3"/>
    <w:basedOn w:val="Normal"/>
    <w:qFormat/>
    <w:rsid w:val="00C3770E"/>
    <w:pPr>
      <w:spacing w:after="0"/>
      <w:ind w:left="794"/>
    </w:pPr>
  </w:style>
  <w:style w:type="paragraph" w:customStyle="1" w:styleId="opplisting4">
    <w:name w:val="opplisting 4"/>
    <w:basedOn w:val="Normal"/>
    <w:qFormat/>
    <w:rsid w:val="00C3770E"/>
    <w:pPr>
      <w:spacing w:after="0"/>
      <w:ind w:left="1191"/>
    </w:pPr>
  </w:style>
  <w:style w:type="paragraph" w:customStyle="1" w:styleId="opplisting5">
    <w:name w:val="opplisting 5"/>
    <w:basedOn w:val="Normal"/>
    <w:qFormat/>
    <w:rsid w:val="00C3770E"/>
    <w:pPr>
      <w:spacing w:after="0"/>
      <w:ind w:left="1588"/>
    </w:pPr>
  </w:style>
  <w:style w:type="paragraph" w:customStyle="1" w:styleId="friliste">
    <w:name w:val="friliste"/>
    <w:basedOn w:val="Normal"/>
    <w:qFormat/>
    <w:rsid w:val="00C3770E"/>
    <w:pPr>
      <w:tabs>
        <w:tab w:val="left" w:pos="397"/>
      </w:tabs>
      <w:spacing w:after="0"/>
      <w:ind w:left="397" w:hanging="397"/>
    </w:pPr>
  </w:style>
  <w:style w:type="paragraph" w:customStyle="1" w:styleId="friliste2">
    <w:name w:val="friliste 2"/>
    <w:basedOn w:val="Normal"/>
    <w:qFormat/>
    <w:rsid w:val="00C3770E"/>
    <w:pPr>
      <w:tabs>
        <w:tab w:val="left" w:pos="794"/>
      </w:tabs>
      <w:spacing w:after="0"/>
      <w:ind w:left="794" w:hanging="397"/>
    </w:pPr>
  </w:style>
  <w:style w:type="paragraph" w:customStyle="1" w:styleId="friliste3">
    <w:name w:val="friliste 3"/>
    <w:basedOn w:val="Normal"/>
    <w:qFormat/>
    <w:rsid w:val="00C3770E"/>
    <w:pPr>
      <w:tabs>
        <w:tab w:val="left" w:pos="1191"/>
      </w:tabs>
      <w:spacing w:after="0"/>
      <w:ind w:left="1191" w:hanging="397"/>
    </w:pPr>
  </w:style>
  <w:style w:type="paragraph" w:customStyle="1" w:styleId="friliste4">
    <w:name w:val="friliste 4"/>
    <w:basedOn w:val="Normal"/>
    <w:qFormat/>
    <w:rsid w:val="00C3770E"/>
    <w:pPr>
      <w:tabs>
        <w:tab w:val="left" w:pos="1588"/>
      </w:tabs>
      <w:spacing w:after="0"/>
      <w:ind w:left="1588" w:hanging="397"/>
    </w:pPr>
  </w:style>
  <w:style w:type="paragraph" w:customStyle="1" w:styleId="friliste5">
    <w:name w:val="friliste 5"/>
    <w:basedOn w:val="Normal"/>
    <w:qFormat/>
    <w:rsid w:val="00C3770E"/>
    <w:pPr>
      <w:tabs>
        <w:tab w:val="left" w:pos="1985"/>
      </w:tabs>
      <w:spacing w:after="0"/>
      <w:ind w:left="1985" w:hanging="397"/>
    </w:pPr>
  </w:style>
  <w:style w:type="paragraph" w:customStyle="1" w:styleId="l-alfaliste">
    <w:name w:val="l-alfaliste"/>
    <w:basedOn w:val="alfaliste"/>
    <w:qFormat/>
    <w:rsid w:val="00C3770E"/>
    <w:pPr>
      <w:numPr>
        <w:numId w:val="206"/>
      </w:numPr>
    </w:pPr>
    <w:rPr>
      <w:rFonts w:eastAsiaTheme="minorEastAsia"/>
    </w:rPr>
  </w:style>
  <w:style w:type="paragraph" w:customStyle="1" w:styleId="l-alfaliste2">
    <w:name w:val="l-alfaliste 2"/>
    <w:basedOn w:val="alfaliste2"/>
    <w:qFormat/>
    <w:rsid w:val="00C3770E"/>
    <w:pPr>
      <w:numPr>
        <w:numId w:val="206"/>
      </w:numPr>
    </w:pPr>
  </w:style>
  <w:style w:type="paragraph" w:customStyle="1" w:styleId="avsnitt-undertittel">
    <w:name w:val="avsnitt-undertittel"/>
    <w:basedOn w:val="Normal"/>
    <w:next w:val="Normal"/>
    <w:rsid w:val="00C3770E"/>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C3770E"/>
    <w:pPr>
      <w:numPr>
        <w:numId w:val="206"/>
      </w:numPr>
    </w:pPr>
  </w:style>
  <w:style w:type="paragraph" w:customStyle="1" w:styleId="l-alfaliste4">
    <w:name w:val="l-alfaliste 4"/>
    <w:basedOn w:val="alfaliste4"/>
    <w:qFormat/>
    <w:rsid w:val="00C3770E"/>
    <w:pPr>
      <w:numPr>
        <w:numId w:val="206"/>
      </w:numPr>
    </w:pPr>
  </w:style>
  <w:style w:type="paragraph" w:customStyle="1" w:styleId="l-alfaliste5">
    <w:name w:val="l-alfaliste 5"/>
    <w:basedOn w:val="alfaliste5"/>
    <w:qFormat/>
    <w:rsid w:val="00C3770E"/>
    <w:pPr>
      <w:numPr>
        <w:numId w:val="206"/>
      </w:numPr>
    </w:pPr>
  </w:style>
  <w:style w:type="paragraph" w:customStyle="1" w:styleId="avsnitt-under-undertittel">
    <w:name w:val="avsnitt-under-undertittel"/>
    <w:basedOn w:val="Normal"/>
    <w:next w:val="Normal"/>
    <w:rsid w:val="00C3770E"/>
    <w:pPr>
      <w:keepNext/>
      <w:keepLines/>
      <w:spacing w:before="360" w:line="240" w:lineRule="auto"/>
    </w:pPr>
    <w:rPr>
      <w:rFonts w:eastAsia="Batang"/>
      <w:i/>
      <w:szCs w:val="20"/>
    </w:rPr>
  </w:style>
  <w:style w:type="paragraph" w:customStyle="1" w:styleId="blokksit">
    <w:name w:val="blokksit"/>
    <w:basedOn w:val="Normal"/>
    <w:qFormat/>
    <w:rsid w:val="00C3770E"/>
    <w:pPr>
      <w:spacing w:line="240" w:lineRule="auto"/>
      <w:ind w:left="397"/>
    </w:pPr>
    <w:rPr>
      <w:rFonts w:ascii="Times" w:hAnsi="Times"/>
      <w:spacing w:val="-2"/>
    </w:rPr>
  </w:style>
  <w:style w:type="paragraph" w:customStyle="1" w:styleId="l-paragraf">
    <w:name w:val="l-paragraf"/>
    <w:basedOn w:val="Normal"/>
    <w:next w:val="Normal"/>
    <w:rsid w:val="00C3770E"/>
    <w:pPr>
      <w:spacing w:before="180" w:after="0"/>
    </w:pPr>
    <w:rPr>
      <w:rFonts w:ascii="Times" w:hAnsi="Times"/>
      <w:i/>
      <w:spacing w:val="4"/>
    </w:rPr>
  </w:style>
  <w:style w:type="paragraph" w:customStyle="1" w:styleId="l-ledd">
    <w:name w:val="l-ledd"/>
    <w:basedOn w:val="Normal"/>
    <w:qFormat/>
    <w:rsid w:val="00C3770E"/>
    <w:pPr>
      <w:spacing w:after="0"/>
      <w:ind w:firstLine="397"/>
    </w:pPr>
    <w:rPr>
      <w:rFonts w:ascii="Times" w:hAnsi="Times"/>
      <w:spacing w:val="4"/>
    </w:rPr>
  </w:style>
  <w:style w:type="paragraph" w:customStyle="1" w:styleId="l-tit-endr-paragraf">
    <w:name w:val="l-tit-endr-paragraf"/>
    <w:basedOn w:val="Normal"/>
    <w:qFormat/>
    <w:rsid w:val="00C3770E"/>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C3770E"/>
    <w:pPr>
      <w:keepNext/>
      <w:keepLines/>
      <w:numPr>
        <w:ilvl w:val="7"/>
        <w:numId w:val="219"/>
      </w:numPr>
      <w:spacing w:before="360" w:after="80"/>
      <w:jc w:val="center"/>
    </w:pPr>
    <w:rPr>
      <w:rFonts w:ascii="Arial" w:hAnsi="Arial"/>
      <w:b/>
      <w:spacing w:val="4"/>
    </w:rPr>
  </w:style>
  <w:style w:type="character" w:styleId="Utheving">
    <w:name w:val="Emphasis"/>
    <w:basedOn w:val="Standardskriftforavsnitt"/>
    <w:uiPriority w:val="20"/>
    <w:qFormat/>
    <w:rsid w:val="00C3770E"/>
    <w:rPr>
      <w:i/>
      <w:iCs/>
    </w:rPr>
  </w:style>
  <w:style w:type="character" w:styleId="Svakutheving">
    <w:name w:val="Subtle Emphasis"/>
    <w:basedOn w:val="Standardskriftforavsnitt"/>
    <w:uiPriority w:val="19"/>
    <w:qFormat/>
    <w:rsid w:val="00C3770E"/>
    <w:rPr>
      <w:i/>
      <w:iCs/>
      <w:color w:val="808080" w:themeColor="text1" w:themeTint="7F"/>
    </w:rPr>
  </w:style>
  <w:style w:type="character" w:styleId="Sterkutheving">
    <w:name w:val="Intense Emphasis"/>
    <w:basedOn w:val="Standardskriftforavsnitt"/>
    <w:uiPriority w:val="21"/>
    <w:qFormat/>
    <w:rsid w:val="00C3770E"/>
    <w:rPr>
      <w:b/>
      <w:bCs/>
      <w:i/>
      <w:iCs/>
      <w:color w:val="4F81BD" w:themeColor="accent1"/>
    </w:rPr>
  </w:style>
  <w:style w:type="character" w:styleId="Svakreferanse">
    <w:name w:val="Subtle Reference"/>
    <w:basedOn w:val="Standardskriftforavsnitt"/>
    <w:uiPriority w:val="31"/>
    <w:qFormat/>
    <w:rsid w:val="00C3770E"/>
    <w:rPr>
      <w:smallCaps/>
      <w:color w:val="C0504D" w:themeColor="accent2"/>
      <w:u w:val="single"/>
    </w:rPr>
  </w:style>
  <w:style w:type="character" w:styleId="Sterkreferanse">
    <w:name w:val="Intense Reference"/>
    <w:basedOn w:val="Standardskriftforavsnitt"/>
    <w:uiPriority w:val="32"/>
    <w:qFormat/>
    <w:rsid w:val="00C3770E"/>
    <w:rPr>
      <w:b/>
      <w:bCs/>
      <w:smallCaps/>
      <w:color w:val="C0504D" w:themeColor="accent2"/>
      <w:spacing w:val="5"/>
      <w:u w:val="single"/>
    </w:rPr>
  </w:style>
  <w:style w:type="character" w:styleId="Boktittel">
    <w:name w:val="Book Title"/>
    <w:basedOn w:val="Standardskriftforavsnitt"/>
    <w:uiPriority w:val="33"/>
    <w:qFormat/>
    <w:rsid w:val="00C3770E"/>
    <w:rPr>
      <w:b/>
      <w:bCs/>
      <w:smallCaps/>
      <w:spacing w:val="5"/>
    </w:rPr>
  </w:style>
  <w:style w:type="character" w:styleId="Merknadsreferanse">
    <w:name w:val="annotation reference"/>
    <w:basedOn w:val="Standardskriftforavsnitt"/>
    <w:rsid w:val="00C3770E"/>
    <w:rPr>
      <w:sz w:val="16"/>
    </w:rPr>
  </w:style>
  <w:style w:type="character" w:styleId="Sluttnotereferanse">
    <w:name w:val="endnote reference"/>
    <w:basedOn w:val="Standardskriftforavsnitt"/>
    <w:uiPriority w:val="99"/>
    <w:unhideWhenUsed/>
    <w:rsid w:val="00C3770E"/>
    <w:rPr>
      <w:vertAlign w:val="superscript"/>
    </w:rPr>
  </w:style>
  <w:style w:type="character" w:styleId="Fulgthyperkobling">
    <w:name w:val="FollowedHyperlink"/>
    <w:basedOn w:val="Standardskriftforavsnitt"/>
    <w:uiPriority w:val="99"/>
    <w:unhideWhenUsed/>
    <w:rsid w:val="00C3770E"/>
    <w:rPr>
      <w:color w:val="800080" w:themeColor="followedHyperlink"/>
      <w:u w:val="single"/>
    </w:rPr>
  </w:style>
  <w:style w:type="character" w:styleId="HTML-sitat">
    <w:name w:val="HTML Cite"/>
    <w:basedOn w:val="Standardskriftforavsnitt"/>
    <w:uiPriority w:val="99"/>
    <w:unhideWhenUsed/>
    <w:rsid w:val="00C3770E"/>
    <w:rPr>
      <w:i/>
      <w:iCs/>
    </w:rPr>
  </w:style>
  <w:style w:type="character" w:styleId="HTML-kode">
    <w:name w:val="HTML Code"/>
    <w:basedOn w:val="Standardskriftforavsnitt"/>
    <w:uiPriority w:val="99"/>
    <w:unhideWhenUsed/>
    <w:rsid w:val="00C3770E"/>
    <w:rPr>
      <w:rFonts w:ascii="Consolas" w:hAnsi="Consolas"/>
      <w:sz w:val="20"/>
      <w:szCs w:val="20"/>
    </w:rPr>
  </w:style>
  <w:style w:type="character" w:styleId="HTML-definisjon">
    <w:name w:val="HTML Definition"/>
    <w:basedOn w:val="Standardskriftforavsnitt"/>
    <w:uiPriority w:val="99"/>
    <w:unhideWhenUsed/>
    <w:rsid w:val="00C3770E"/>
    <w:rPr>
      <w:i/>
      <w:iCs/>
    </w:rPr>
  </w:style>
  <w:style w:type="character" w:styleId="HTML-tastatur">
    <w:name w:val="HTML Keyboard"/>
    <w:basedOn w:val="Standardskriftforavsnitt"/>
    <w:uiPriority w:val="99"/>
    <w:unhideWhenUsed/>
    <w:rsid w:val="00C3770E"/>
    <w:rPr>
      <w:rFonts w:ascii="Consolas" w:hAnsi="Consolas"/>
      <w:sz w:val="20"/>
      <w:szCs w:val="20"/>
    </w:rPr>
  </w:style>
  <w:style w:type="character" w:styleId="HTML-eksempel">
    <w:name w:val="HTML Sample"/>
    <w:basedOn w:val="Standardskriftforavsnitt"/>
    <w:uiPriority w:val="99"/>
    <w:unhideWhenUsed/>
    <w:rsid w:val="00C3770E"/>
    <w:rPr>
      <w:rFonts w:ascii="Consolas" w:hAnsi="Consolas"/>
      <w:sz w:val="24"/>
      <w:szCs w:val="24"/>
    </w:rPr>
  </w:style>
  <w:style w:type="character" w:styleId="HTML-skrivemaskin">
    <w:name w:val="HTML Typewriter"/>
    <w:basedOn w:val="Standardskriftforavsnitt"/>
    <w:uiPriority w:val="99"/>
    <w:unhideWhenUsed/>
    <w:rsid w:val="00C3770E"/>
    <w:rPr>
      <w:rFonts w:ascii="Consolas" w:hAnsi="Consolas"/>
      <w:sz w:val="20"/>
      <w:szCs w:val="20"/>
    </w:rPr>
  </w:style>
  <w:style w:type="character" w:styleId="HTML-variabel">
    <w:name w:val="HTML Variable"/>
    <w:basedOn w:val="Standardskriftforavsnitt"/>
    <w:uiPriority w:val="99"/>
    <w:unhideWhenUsed/>
    <w:rsid w:val="00C3770E"/>
    <w:rPr>
      <w:i/>
      <w:iCs/>
    </w:rPr>
  </w:style>
  <w:style w:type="character" w:styleId="Fotnotereferanse">
    <w:name w:val="footnote reference"/>
    <w:basedOn w:val="Standardskriftforavsnitt"/>
    <w:rsid w:val="00C3770E"/>
    <w:rPr>
      <w:vertAlign w:val="superscript"/>
    </w:rPr>
  </w:style>
  <w:style w:type="character" w:customStyle="1" w:styleId="gjennomstreket">
    <w:name w:val="gjennomstreket"/>
    <w:uiPriority w:val="1"/>
    <w:rsid w:val="00C3770E"/>
    <w:rPr>
      <w:strike/>
      <w:dstrike w:val="0"/>
    </w:rPr>
  </w:style>
  <w:style w:type="character" w:customStyle="1" w:styleId="halvfet">
    <w:name w:val="halvfet"/>
    <w:basedOn w:val="Standardskriftforavsnitt"/>
    <w:rsid w:val="00C3770E"/>
    <w:rPr>
      <w:b/>
    </w:rPr>
  </w:style>
  <w:style w:type="character" w:styleId="Hyperkobling">
    <w:name w:val="Hyperlink"/>
    <w:basedOn w:val="Standardskriftforavsnitt"/>
    <w:uiPriority w:val="99"/>
    <w:unhideWhenUsed/>
    <w:rsid w:val="00C3770E"/>
    <w:rPr>
      <w:color w:val="0000FF" w:themeColor="hyperlink"/>
      <w:u w:val="single"/>
    </w:rPr>
  </w:style>
  <w:style w:type="character" w:customStyle="1" w:styleId="kursiv">
    <w:name w:val="kursiv"/>
    <w:basedOn w:val="Standardskriftforavsnitt"/>
    <w:rsid w:val="00C3770E"/>
    <w:rPr>
      <w:i/>
    </w:rPr>
  </w:style>
  <w:style w:type="character" w:customStyle="1" w:styleId="l-endring">
    <w:name w:val="l-endring"/>
    <w:basedOn w:val="Standardskriftforavsnitt"/>
    <w:rsid w:val="00C3770E"/>
    <w:rPr>
      <w:i/>
    </w:rPr>
  </w:style>
  <w:style w:type="character" w:styleId="Sidetall">
    <w:name w:val="page number"/>
    <w:basedOn w:val="Standardskriftforavsnitt"/>
    <w:rsid w:val="00C3770E"/>
  </w:style>
  <w:style w:type="character" w:styleId="Plassholdertekst">
    <w:name w:val="Placeholder Text"/>
    <w:basedOn w:val="Standardskriftforavsnitt"/>
    <w:uiPriority w:val="99"/>
    <w:rsid w:val="00C3770E"/>
    <w:rPr>
      <w:color w:val="808080"/>
    </w:rPr>
  </w:style>
  <w:style w:type="character" w:customStyle="1" w:styleId="regular">
    <w:name w:val="regular"/>
    <w:basedOn w:val="Standardskriftforavsnitt"/>
    <w:uiPriority w:val="1"/>
    <w:qFormat/>
    <w:rsid w:val="00C3770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C3770E"/>
    <w:rPr>
      <w:sz w:val="20"/>
      <w:vertAlign w:val="superscript"/>
    </w:rPr>
  </w:style>
  <w:style w:type="character" w:customStyle="1" w:styleId="skrift-senket">
    <w:name w:val="skrift-senket"/>
    <w:basedOn w:val="Standardskriftforavsnitt"/>
    <w:rsid w:val="00C3770E"/>
    <w:rPr>
      <w:sz w:val="20"/>
      <w:vertAlign w:val="subscript"/>
    </w:rPr>
  </w:style>
  <w:style w:type="character" w:customStyle="1" w:styleId="sperret">
    <w:name w:val="sperret"/>
    <w:basedOn w:val="Standardskriftforavsnitt"/>
    <w:rsid w:val="00C3770E"/>
    <w:rPr>
      <w:spacing w:val="30"/>
    </w:rPr>
  </w:style>
  <w:style w:type="character" w:customStyle="1" w:styleId="Stikkord">
    <w:name w:val="Stikkord"/>
    <w:basedOn w:val="Standardskriftforavsnitt"/>
    <w:rsid w:val="00C3770E"/>
  </w:style>
  <w:style w:type="character" w:styleId="Sterk">
    <w:name w:val="Strong"/>
    <w:basedOn w:val="Standardskriftforavsnitt"/>
    <w:uiPriority w:val="22"/>
    <w:qFormat/>
    <w:rsid w:val="00C3770E"/>
    <w:rPr>
      <w:b/>
      <w:bCs/>
    </w:rPr>
  </w:style>
  <w:style w:type="table" w:styleId="Tabelltemaer">
    <w:name w:val="Table Theme"/>
    <w:basedOn w:val="Vanligtabell"/>
    <w:uiPriority w:val="99"/>
    <w:semiHidden/>
    <w:unhideWhenUsed/>
    <w:rsid w:val="00C3770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C3770E"/>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C3770E"/>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C377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3770E"/>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C3770E"/>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3770E"/>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C3770E"/>
  </w:style>
  <w:style w:type="numbering" w:customStyle="1" w:styleId="l-ListeStilMal">
    <w:name w:val="l-ListeStilMal"/>
    <w:uiPriority w:val="99"/>
    <w:rsid w:val="00C3770E"/>
    <w:pPr>
      <w:numPr>
        <w:numId w:val="204"/>
      </w:numPr>
    </w:pPr>
  </w:style>
  <w:style w:type="character" w:styleId="HTML-akronym">
    <w:name w:val="HTML Acronym"/>
    <w:basedOn w:val="Standardskriftforavsnitt"/>
    <w:uiPriority w:val="99"/>
    <w:semiHidden/>
    <w:unhideWhenUsed/>
    <w:rsid w:val="00C3770E"/>
  </w:style>
  <w:style w:type="numbering" w:customStyle="1" w:styleId="AlfaListeStil">
    <w:name w:val="AlfaListeStil"/>
    <w:uiPriority w:val="99"/>
    <w:rsid w:val="00C3770E"/>
    <w:pPr>
      <w:numPr>
        <w:numId w:val="205"/>
      </w:numPr>
    </w:pPr>
  </w:style>
  <w:style w:type="numbering" w:customStyle="1" w:styleId="l-AlfaListeStil">
    <w:name w:val="l-AlfaListeStil"/>
    <w:uiPriority w:val="99"/>
    <w:rsid w:val="00C3770E"/>
    <w:pPr>
      <w:numPr>
        <w:numId w:val="206"/>
      </w:numPr>
    </w:pPr>
  </w:style>
  <w:style w:type="numbering" w:customStyle="1" w:styleId="l-NummerertListeStil">
    <w:name w:val="l-NummerertListeStil"/>
    <w:uiPriority w:val="99"/>
    <w:rsid w:val="00C3770E"/>
    <w:pPr>
      <w:numPr>
        <w:numId w:val="207"/>
      </w:numPr>
    </w:pPr>
  </w:style>
  <w:style w:type="numbering" w:customStyle="1" w:styleId="NrListeStil">
    <w:name w:val="NrListeStil"/>
    <w:uiPriority w:val="99"/>
    <w:rsid w:val="00C3770E"/>
    <w:pPr>
      <w:numPr>
        <w:numId w:val="208"/>
      </w:numPr>
    </w:pPr>
  </w:style>
  <w:style w:type="numbering" w:customStyle="1" w:styleId="OpplistingListeStil">
    <w:name w:val="OpplistingListeStil"/>
    <w:uiPriority w:val="99"/>
    <w:rsid w:val="00C3770E"/>
    <w:pPr>
      <w:numPr>
        <w:numId w:val="209"/>
      </w:numPr>
    </w:pPr>
  </w:style>
  <w:style w:type="numbering" w:customStyle="1" w:styleId="OverskrifterListeStil">
    <w:name w:val="OverskrifterListeStil"/>
    <w:uiPriority w:val="99"/>
    <w:rsid w:val="00C3770E"/>
    <w:pPr>
      <w:numPr>
        <w:numId w:val="210"/>
      </w:numPr>
    </w:pPr>
  </w:style>
  <w:style w:type="numbering" w:customStyle="1" w:styleId="RomListeStil">
    <w:name w:val="RomListeStil"/>
    <w:uiPriority w:val="99"/>
    <w:rsid w:val="00C3770E"/>
    <w:pPr>
      <w:numPr>
        <w:numId w:val="211"/>
      </w:numPr>
    </w:pPr>
  </w:style>
  <w:style w:type="numbering" w:customStyle="1" w:styleId="StrekListeStil">
    <w:name w:val="StrekListeStil"/>
    <w:uiPriority w:val="99"/>
    <w:rsid w:val="00C3770E"/>
    <w:pPr>
      <w:numPr>
        <w:numId w:val="212"/>
      </w:numPr>
    </w:pPr>
  </w:style>
  <w:style w:type="table" w:styleId="Tabellrutenett">
    <w:name w:val="Table Grid"/>
    <w:basedOn w:val="Vanligtabell"/>
    <w:uiPriority w:val="59"/>
    <w:rsid w:val="00C3770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53</TotalTime>
  <Pages>132</Pages>
  <Words>57743</Words>
  <Characters>356482</Characters>
  <Application>Microsoft Office Word</Application>
  <DocSecurity>0</DocSecurity>
  <Lines>2970</Lines>
  <Paragraphs>826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15</cp:revision>
  <dcterms:created xsi:type="dcterms:W3CDTF">2019-03-29T09:07:00Z</dcterms:created>
  <dcterms:modified xsi:type="dcterms:W3CDTF">2019-03-29T10:00:00Z</dcterms:modified>
</cp:coreProperties>
</file>