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76C1B" w:rsidP="0050705A">
      <w:pPr>
        <w:pStyle w:val="is-dep"/>
      </w:pPr>
      <w:r>
        <w:t>Landbruks- og matdepartementet</w:t>
      </w:r>
    </w:p>
    <w:p w:rsidR="00000000" w:rsidRDefault="00556C84" w:rsidP="0050705A">
      <w:pPr>
        <w:pStyle w:val="i-hode"/>
      </w:pPr>
      <w:proofErr w:type="spellStart"/>
      <w:r>
        <w:t>Prop</w:t>
      </w:r>
      <w:proofErr w:type="spellEnd"/>
      <w:r>
        <w:t>. 39 L</w:t>
      </w:r>
    </w:p>
    <w:p w:rsidR="00000000" w:rsidRDefault="00556C84" w:rsidP="0050705A">
      <w:pPr>
        <w:pStyle w:val="i-sesjon"/>
      </w:pPr>
      <w:r>
        <w:t>(2018–2019)</w:t>
      </w:r>
    </w:p>
    <w:p w:rsidR="00000000" w:rsidRDefault="00556C84" w:rsidP="0050705A">
      <w:pPr>
        <w:pStyle w:val="i-hode-tit"/>
      </w:pPr>
      <w:r>
        <w:t xml:space="preserve">Proposisjon til Stortinget (forslag til lovvedtak) </w:t>
      </w:r>
    </w:p>
    <w:p w:rsidR="00000000" w:rsidRPr="0050705A" w:rsidRDefault="00556C84" w:rsidP="0050705A">
      <w:pPr>
        <w:pStyle w:val="i-tit"/>
      </w:pPr>
      <w:r w:rsidRPr="0050705A">
        <w:t xml:space="preserve">Endringer i jordlova mv. </w:t>
      </w:r>
      <w:r w:rsidRPr="0050705A">
        <w:br/>
        <w:t>(klimahensyn ved nydyrking)</w:t>
      </w:r>
    </w:p>
    <w:p w:rsidR="00000000" w:rsidRDefault="00376C1B" w:rsidP="0050705A">
      <w:pPr>
        <w:pStyle w:val="i-dep"/>
      </w:pPr>
      <w:r>
        <w:t>Landbruks- og matdepartementet</w:t>
      </w:r>
    </w:p>
    <w:p w:rsidR="00000000" w:rsidRDefault="00556C84" w:rsidP="0050705A">
      <w:pPr>
        <w:pStyle w:val="i-hode"/>
      </w:pPr>
      <w:r>
        <w:t>Prop. 39 L</w:t>
      </w:r>
    </w:p>
    <w:p w:rsidR="00000000" w:rsidRDefault="00556C84" w:rsidP="0050705A">
      <w:pPr>
        <w:pStyle w:val="i-sesjon"/>
      </w:pPr>
      <w:r>
        <w:t>(2018–2019)</w:t>
      </w:r>
    </w:p>
    <w:p w:rsidR="00000000" w:rsidRDefault="00556C84" w:rsidP="0050705A">
      <w:pPr>
        <w:pStyle w:val="i-hode-tit"/>
      </w:pPr>
      <w:r>
        <w:t>Proposisjon til Stortinget (for</w:t>
      </w:r>
      <w:r>
        <w:t xml:space="preserve">slag til lovvedtak) </w:t>
      </w:r>
    </w:p>
    <w:p w:rsidR="00000000" w:rsidRPr="0050705A" w:rsidRDefault="00556C84" w:rsidP="0050705A">
      <w:pPr>
        <w:pStyle w:val="i-tit"/>
      </w:pPr>
      <w:r w:rsidRPr="0050705A">
        <w:t>Endringer i jordlova</w:t>
      </w:r>
      <w:bookmarkStart w:id="0" w:name="_GoBack"/>
      <w:bookmarkEnd w:id="0"/>
      <w:r w:rsidRPr="0050705A">
        <w:t xml:space="preserve"> mv. </w:t>
      </w:r>
      <w:r w:rsidRPr="0050705A">
        <w:br/>
        <w:t>(klimahensyn ved nydyrking)</w:t>
      </w:r>
    </w:p>
    <w:p w:rsidR="00000000" w:rsidRDefault="00556C84" w:rsidP="0050705A">
      <w:pPr>
        <w:pStyle w:val="i-statsrdato"/>
      </w:pPr>
      <w:r>
        <w:t xml:space="preserve">Tilråding fra Landbruks- og matdepartementet 14. desember 2018, </w:t>
      </w:r>
      <w:r>
        <w:br/>
        <w:t xml:space="preserve">godkjent i statsråd samme dag. </w:t>
      </w:r>
      <w:r>
        <w:br/>
        <w:t>(Regjeringen Solberg)</w:t>
      </w:r>
    </w:p>
    <w:p w:rsidR="00000000" w:rsidRDefault="00556C84" w:rsidP="0050705A">
      <w:pPr>
        <w:pStyle w:val="Overskrift1"/>
      </w:pPr>
      <w:r>
        <w:t>Hovedinnholdet i proposisjonen</w:t>
      </w:r>
    </w:p>
    <w:p w:rsidR="00000000" w:rsidRDefault="00556C84" w:rsidP="0050705A">
      <w:r>
        <w:t xml:space="preserve">Landbruks- og matdepartementet foreslår i denne proposisjonen en endring i lov 12. mai 1995 nr. 23 om jord (jordlova) § 11 andre ledd om nydyrking. Forslaget er en utvidelse av hjemmelsgrunnlaget, slik at det kan fastsettes regler om nydyrking i forskrift </w:t>
      </w:r>
      <w:r>
        <w:t xml:space="preserve">som er begrunnet ut fra behovet for redusert utslipp av klimagasser. </w:t>
      </w:r>
    </w:p>
    <w:p w:rsidR="00000000" w:rsidRDefault="00556C84" w:rsidP="0050705A">
      <w:r>
        <w:t>Lovforslaget er en oppfølging av Stortingets vedtak, se punkt 2.1, hvor det bes om at regjeringen fremmer forslag om et forbud mot nydyrking av myr. Lovforslaget gjør det mulig å innarbe</w:t>
      </w:r>
      <w:r>
        <w:t xml:space="preserve">ide et forbud i gjeldende forskrift om nydyrking (FOR-1997-05-02-423). Forskriften omtales i det videre som nydyrkingsforskriften. </w:t>
      </w:r>
    </w:p>
    <w:p w:rsidR="00000000" w:rsidRDefault="00556C84" w:rsidP="0050705A">
      <w:r>
        <w:t>Denne proposisjonen omhandler forslaget til lovendring. I tillegg inneholder proposisjonen en orientering om hovedtrekkene i</w:t>
      </w:r>
      <w:r>
        <w:t xml:space="preserve"> høringsuttalelsene om forslaget til forskriftsendringer og departementets vurderinger av disse. Endringene er nærmere omtalt i punkt 2 til 7. </w:t>
      </w:r>
    </w:p>
    <w:p w:rsidR="00000000" w:rsidRDefault="00556C84" w:rsidP="0050705A">
      <w:r>
        <w:t>Proposisjonen inneholder også forslag til opprettinger i lovverk under Landbruks- og matdepartementet sitt ansva</w:t>
      </w:r>
      <w:r>
        <w:t>rsområde. Forslagene</w:t>
      </w:r>
      <w:r>
        <w:t xml:space="preserve"> reparerer feil i lovverket som har oppstått som en følge av organisasjonsendringer og </w:t>
      </w:r>
      <w:r>
        <w:lastRenderedPageBreak/>
        <w:t xml:space="preserve">endringer i annet regelverk. Forslagene har ikke vært på høring, fordi de er av redaksjonell karakter. Disse forslagene blir kun omtalt i merknadene </w:t>
      </w:r>
      <w:r>
        <w:t xml:space="preserve">til de enkelte bestemmelsene, jf. punkt 8.2. </w:t>
      </w:r>
    </w:p>
    <w:p w:rsidR="00000000" w:rsidRDefault="00556C84" w:rsidP="0050705A">
      <w:pPr>
        <w:pStyle w:val="Overskrift1"/>
      </w:pPr>
      <w:r>
        <w:t>Bakgrunnen for lovforslaget</w:t>
      </w:r>
    </w:p>
    <w:p w:rsidR="00000000" w:rsidRDefault="00556C84" w:rsidP="0050705A">
      <w:pPr>
        <w:pStyle w:val="Overskrift2"/>
      </w:pPr>
      <w:r>
        <w:t>Vedtak i Stortinget</w:t>
      </w:r>
    </w:p>
    <w:p w:rsidR="00000000" w:rsidRDefault="00556C84" w:rsidP="0050705A">
      <w:r>
        <w:t xml:space="preserve">Det følger av klimaforliket i Stortinget fra 2012 (se Stortingets votering over </w:t>
      </w:r>
      <w:proofErr w:type="spellStart"/>
      <w:r>
        <w:t>Innst</w:t>
      </w:r>
      <w:proofErr w:type="spellEnd"/>
      <w:r>
        <w:t>. 390 S (2011–2012) fra energi- og miljøkomiteen) at nydyrkin</w:t>
      </w:r>
      <w:r>
        <w:t>gsforskriften skal revideres slik at også hensynet til klima blir gjenspeilet i regelverket. Stortinget har videre gjennom budsjettforhandlingene for 2017 bedt regjeringen fremme et forslag om forbud mot nydyrking av myr. Dette følger av Stortingets vedtak</w:t>
      </w:r>
      <w:r>
        <w:t xml:space="preserve"> nr. 108 pkt. 17 av 5. desember 2016. I innstillingen til budsjettet, </w:t>
      </w:r>
      <w:proofErr w:type="spellStart"/>
      <w:r>
        <w:t>Innst</w:t>
      </w:r>
      <w:proofErr w:type="spellEnd"/>
      <w:r>
        <w:t>. 9 S (2016–2017) s. 86, foreslo et flertall i næringskomiteen at regjeringen fremmer forslag om forbud mot nydyrking av myr i løpet av 2017. Departementet legger til grunn at vedta</w:t>
      </w:r>
      <w:r>
        <w:t>kene i Stortinget må ses i sammenheng, og at budsjettvedtaket må ses på som en nærmere presisering av hvordan hensynet til klima skal gjenspeiles i regelverket.</w:t>
      </w:r>
    </w:p>
    <w:p w:rsidR="00000000" w:rsidRDefault="00556C84" w:rsidP="0050705A">
      <w:pPr>
        <w:pStyle w:val="Overskrift2"/>
      </w:pPr>
      <w:r>
        <w:t>Norges internasjonale klimaforpliktelser</w:t>
      </w:r>
    </w:p>
    <w:p w:rsidR="00000000" w:rsidRDefault="00556C84" w:rsidP="0050705A">
      <w:r>
        <w:t>FNs klimakonvensjon (UNFCCC) utgjør</w:t>
      </w:r>
      <w:r>
        <w:t xml:space="preserve"> rammeverket for internasjonalt klimasamarbeid. Norge som partsland skal etter dette overholde utslippsmål, og rapportere om nasjonale klimagassutslipp. Utslipp av lystgass etter kultivering av myr er omfattet av utslippsmål etter blant annet Kyotoprotokol</w:t>
      </w:r>
      <w:r>
        <w:t>len. Utslipp og opptak av CO</w:t>
      </w:r>
      <w:r>
        <w:rPr>
          <w:rStyle w:val="skrift-senket"/>
          <w:sz w:val="21"/>
          <w:szCs w:val="21"/>
        </w:rPr>
        <w:t>2</w:t>
      </w:r>
      <w:r>
        <w:t xml:space="preserve"> som beregnes for myr og mineraljord inngår i utslippsregnskapet under sektoren for arealbruk, arealbruksendringer og skog (LULUCF– Land </w:t>
      </w:r>
      <w:proofErr w:type="spellStart"/>
      <w:r>
        <w:t>Use</w:t>
      </w:r>
      <w:proofErr w:type="spellEnd"/>
      <w:r>
        <w:t xml:space="preserve">, Land </w:t>
      </w:r>
      <w:proofErr w:type="spellStart"/>
      <w:r>
        <w:t>Use</w:t>
      </w:r>
      <w:proofErr w:type="spellEnd"/>
      <w:r>
        <w:t xml:space="preserve"> </w:t>
      </w:r>
      <w:proofErr w:type="spellStart"/>
      <w:r>
        <w:t>Change</w:t>
      </w:r>
      <w:proofErr w:type="spellEnd"/>
      <w:r>
        <w:t xml:space="preserve"> and </w:t>
      </w:r>
      <w:proofErr w:type="spellStart"/>
      <w:r>
        <w:t>Forestry</w:t>
      </w:r>
      <w:proofErr w:type="spellEnd"/>
      <w:r>
        <w:t xml:space="preserve">). </w:t>
      </w:r>
    </w:p>
    <w:p w:rsidR="00000000" w:rsidRDefault="00556C84" w:rsidP="0050705A">
      <w:r>
        <w:t>Stortinget sluttet seg i mars 2015 til regjeringens f</w:t>
      </w:r>
      <w:r>
        <w:t xml:space="preserve">orslag om at Norge skal påta seg en betinget forpliktelse om minst 40 % utslippsreduksjoner i 2030 sammenlignet med 1990, jf. Meld. St. 13 (2014–2015) </w:t>
      </w:r>
      <w:r>
        <w:rPr>
          <w:rStyle w:val="kursiv"/>
          <w:sz w:val="21"/>
          <w:szCs w:val="21"/>
        </w:rPr>
        <w:t>Ny utslippsforpliktelse for 2030 – en felles løsning med EU</w:t>
      </w:r>
      <w:r>
        <w:t>. Norge samarbeider allerede i dag med EU om u</w:t>
      </w:r>
      <w:r>
        <w:t>tslippene i kvotepliktig sektor. Med felles oppfyllelse av klimaforpliktelsen vil Norge også samarbeide om utslippene i ikke-kvotepliktig sektor, og Norge vil få et mål for slike utslipp. De viktigste ikke-kvotepliktige sektorene er transport, jordbruk, by</w:t>
      </w:r>
      <w:r>
        <w:t>gg og avfall. Utslipp fra jordbruket utgjør 1/6 av utslippene i ikke-kvotepliktig sektor. Lystgass (N</w:t>
      </w:r>
      <w:r>
        <w:rPr>
          <w:rStyle w:val="skrift-senket"/>
          <w:sz w:val="21"/>
          <w:szCs w:val="21"/>
        </w:rPr>
        <w:t>2</w:t>
      </w:r>
      <w:r>
        <w:t xml:space="preserve">O) etter kultivering av myr inngår blant disse utslippene. </w:t>
      </w:r>
    </w:p>
    <w:p w:rsidR="00000000" w:rsidRDefault="00556C84" w:rsidP="0050705A">
      <w:r>
        <w:t>I tillegg vil Norge bli omfattet av regler for LULUCF. Reglene handler om hvordan opptak og ut</w:t>
      </w:r>
      <w:r>
        <w:t>slipp fra arealene vi bruker skal bokføres, og gir landene en forpliktelse om å holde også disse utslippene nede. Utslipp av CO</w:t>
      </w:r>
      <w:r>
        <w:rPr>
          <w:rStyle w:val="skrift-senket"/>
          <w:sz w:val="21"/>
          <w:szCs w:val="21"/>
        </w:rPr>
        <w:t>2</w:t>
      </w:r>
      <w:r>
        <w:t xml:space="preserve"> etter dyrking av myr inngår blant disse utslippene.</w:t>
      </w:r>
    </w:p>
    <w:p w:rsidR="00000000" w:rsidRDefault="00556C84" w:rsidP="0050705A">
      <w:r>
        <w:t xml:space="preserve">I Meld. St. 11 (2016–2017) </w:t>
      </w:r>
      <w:r>
        <w:rPr>
          <w:rStyle w:val="kursiv"/>
          <w:sz w:val="21"/>
          <w:szCs w:val="21"/>
        </w:rPr>
        <w:t>Endring og utvikling – En fremtidsrettet jordbru</w:t>
      </w:r>
      <w:r>
        <w:rPr>
          <w:rStyle w:val="kursiv"/>
          <w:sz w:val="21"/>
          <w:szCs w:val="21"/>
        </w:rPr>
        <w:t>ksproduksjon</w:t>
      </w:r>
      <w:r>
        <w:t xml:space="preserve"> kapittel 12.2.9 går det fram at jordbrukspolitikken gradvis må legges om i en mer klimavennlig retning for å redusere klimagassutslippene fra jordbrukssektoren og samlet bidra til å oppnå norske utslippsforpliktelser. </w:t>
      </w:r>
    </w:p>
    <w:p w:rsidR="00000000" w:rsidRDefault="00556C84" w:rsidP="0050705A">
      <w:pPr>
        <w:pStyle w:val="Overskrift2"/>
      </w:pPr>
      <w:r>
        <w:t>Klimagassutslipp</w:t>
      </w:r>
      <w:r>
        <w:t xml:space="preserve"> ved nydyrking av myr</w:t>
      </w:r>
    </w:p>
    <w:p w:rsidR="00000000" w:rsidRDefault="00556C84" w:rsidP="0050705A">
      <w:r>
        <w:t>Karbon og organisk materiale i jorda er grunnlag for matjord og fungerende økosystemer i jord. Når myr (organisk jord) dyrkes, brytes karbon- og nitrogenholdig materiale gradvis ned og gir utslipp av hhv. CO</w:t>
      </w:r>
      <w:r>
        <w:rPr>
          <w:rStyle w:val="skrift-senket"/>
          <w:sz w:val="21"/>
          <w:szCs w:val="21"/>
        </w:rPr>
        <w:t>2</w:t>
      </w:r>
      <w:r>
        <w:t xml:space="preserve"> og N</w:t>
      </w:r>
      <w:r>
        <w:rPr>
          <w:rStyle w:val="skrift-senket"/>
          <w:sz w:val="21"/>
          <w:szCs w:val="21"/>
        </w:rPr>
        <w:t>2</w:t>
      </w:r>
      <w:r>
        <w:t>O. Etter hvert som t</w:t>
      </w:r>
      <w:r>
        <w:t xml:space="preserve">orva blir nedbrutt kan det innstille seg en ny likevekt der karbontapene reduseres og etterhvert kan stagnere. Dagens utslippstall er i stor grad resultat av betydelig oppdyrking i tidligere tiår. </w:t>
      </w:r>
    </w:p>
    <w:p w:rsidR="00000000" w:rsidRDefault="00556C84" w:rsidP="0050705A">
      <w:r>
        <w:t>Utslipp av CO</w:t>
      </w:r>
      <w:r>
        <w:rPr>
          <w:rStyle w:val="skrift-senket"/>
          <w:sz w:val="21"/>
          <w:szCs w:val="21"/>
        </w:rPr>
        <w:t>2</w:t>
      </w:r>
      <w:r>
        <w:t xml:space="preserve"> ved nydyrking av myr rapporteres sammen med</w:t>
      </w:r>
      <w:r>
        <w:t xml:space="preserve"> øvrige endringer i skog og arealbruk, LULUCF-sektoren, i klimagassregnskapet. Utslipp av N</w:t>
      </w:r>
      <w:r>
        <w:rPr>
          <w:rStyle w:val="skrift-senket"/>
          <w:sz w:val="21"/>
          <w:szCs w:val="21"/>
        </w:rPr>
        <w:t>2</w:t>
      </w:r>
      <w:r>
        <w:t xml:space="preserve">O ved nydyrking av myr til jordbruksformål, bokføres i jordbrukssektoren. </w:t>
      </w:r>
    </w:p>
    <w:p w:rsidR="00000000" w:rsidRDefault="00556C84" w:rsidP="0050705A">
      <w:r>
        <w:lastRenderedPageBreak/>
        <w:t>I følge arealdata benyttet i utslippsregnskapet utgjør jordbruksarealer med organisk jord</w:t>
      </w:r>
      <w:r>
        <w:t xml:space="preserve"> om lag 600 000 dekar. Det er jord som stammer fra oppdyrking av myr, og utgjør ca. 6–7 % av samlede jordbruksarealer i drift. Utslipp av CO</w:t>
      </w:r>
      <w:r>
        <w:rPr>
          <w:rStyle w:val="skrift-senket"/>
          <w:sz w:val="21"/>
          <w:szCs w:val="21"/>
        </w:rPr>
        <w:t>2</w:t>
      </w:r>
      <w:r>
        <w:t xml:space="preserve"> fra dyrking av myr og organisk jord var </w:t>
      </w:r>
      <w:proofErr w:type="spellStart"/>
      <w:r>
        <w:t>i følge</w:t>
      </w:r>
      <w:proofErr w:type="spellEnd"/>
      <w:r>
        <w:t xml:space="preserve"> SSB på 1,9 mill. tonn CO</w:t>
      </w:r>
      <w:r>
        <w:rPr>
          <w:rStyle w:val="skrift-senket"/>
          <w:sz w:val="21"/>
          <w:szCs w:val="21"/>
        </w:rPr>
        <w:t>2</w:t>
      </w:r>
      <w:r>
        <w:t xml:space="preserve"> i 2015. </w:t>
      </w:r>
    </w:p>
    <w:p w:rsidR="00000000" w:rsidRDefault="00556C84" w:rsidP="0050705A">
      <w:r>
        <w:t>I tillegg til utslipp av CO</w:t>
      </w:r>
      <w:r>
        <w:rPr>
          <w:rStyle w:val="skrift-senket"/>
          <w:sz w:val="21"/>
          <w:szCs w:val="21"/>
        </w:rPr>
        <w:t>2</w:t>
      </w:r>
      <w:r>
        <w:t>, e</w:t>
      </w:r>
      <w:r>
        <w:t>r dyrket myr også en vesentlig kilde til utslipp av lystgass (N</w:t>
      </w:r>
      <w:r>
        <w:rPr>
          <w:rStyle w:val="skrift-senket"/>
          <w:sz w:val="21"/>
          <w:szCs w:val="21"/>
        </w:rPr>
        <w:t>2</w:t>
      </w:r>
      <w:r>
        <w:t>O), spesielt ved drenering av næringsrike myrer, grunnet mineralisering av næringsrikt materiale. Lystgass er en sterk klimagass med et oppvarmingspotensial som er 298 ganger større enn CO</w:t>
      </w:r>
      <w:r>
        <w:rPr>
          <w:rStyle w:val="skrift-senket"/>
          <w:sz w:val="21"/>
          <w:szCs w:val="21"/>
        </w:rPr>
        <w:t>2</w:t>
      </w:r>
      <w:r>
        <w:t>. N</w:t>
      </w:r>
      <w:r>
        <w:rPr>
          <w:rStyle w:val="skrift-senket"/>
          <w:sz w:val="21"/>
          <w:szCs w:val="21"/>
        </w:rPr>
        <w:t>2</w:t>
      </w:r>
      <w:r>
        <w:t>O-utslippene beregnes ut fra de samme arealtallene som benyttes for CO</w:t>
      </w:r>
      <w:r>
        <w:rPr>
          <w:rStyle w:val="skrift-senket"/>
          <w:sz w:val="21"/>
          <w:szCs w:val="21"/>
        </w:rPr>
        <w:t xml:space="preserve">2, </w:t>
      </w:r>
      <w:r>
        <w:t>og ble i 2015 beregnet til 1 344 tonn. Dette tilsvarer i overkant av 400 000 tonn CO</w:t>
      </w:r>
      <w:r>
        <w:rPr>
          <w:rStyle w:val="skrift-senket"/>
          <w:sz w:val="21"/>
          <w:szCs w:val="21"/>
        </w:rPr>
        <w:t>2</w:t>
      </w:r>
      <w:r>
        <w:t>-ekvivalenter. I følge SSB står dyrket myr for om lag 21 % av de samlede utslippene av N</w:t>
      </w:r>
      <w:r>
        <w:rPr>
          <w:rStyle w:val="skrift-senket"/>
          <w:sz w:val="21"/>
          <w:szCs w:val="21"/>
        </w:rPr>
        <w:t>2</w:t>
      </w:r>
      <w:r>
        <w:t>O fra jo</w:t>
      </w:r>
      <w:r>
        <w:t>rdbruket. Utslippstallene for N</w:t>
      </w:r>
      <w:r>
        <w:rPr>
          <w:rStyle w:val="skrift-senket"/>
          <w:sz w:val="21"/>
          <w:szCs w:val="21"/>
        </w:rPr>
        <w:t>2</w:t>
      </w:r>
      <w:r>
        <w:t xml:space="preserve">O er imidlertid svært usikre. </w:t>
      </w:r>
    </w:p>
    <w:p w:rsidR="00000000" w:rsidRDefault="00556C84" w:rsidP="0050705A">
      <w:r>
        <w:t>Samtidig som drenering og oppdyrking av myr medfører utslipp av CO</w:t>
      </w:r>
      <w:r>
        <w:rPr>
          <w:rStyle w:val="skrift-senket"/>
          <w:sz w:val="21"/>
          <w:szCs w:val="21"/>
        </w:rPr>
        <w:t>2</w:t>
      </w:r>
      <w:r>
        <w:t xml:space="preserve"> og N</w:t>
      </w:r>
      <w:r>
        <w:rPr>
          <w:rStyle w:val="skrift-senket"/>
          <w:sz w:val="21"/>
          <w:szCs w:val="21"/>
        </w:rPr>
        <w:t>2</w:t>
      </w:r>
      <w:r>
        <w:t xml:space="preserve">O, bidrar det også til reduserte utslipp av metan fra myr. Myr i naturlig tilstand er en kilde til utslipp av </w:t>
      </w:r>
      <w:proofErr w:type="spellStart"/>
      <w:r>
        <w:t>ikke ubety</w:t>
      </w:r>
      <w:r>
        <w:t>delige</w:t>
      </w:r>
      <w:proofErr w:type="spellEnd"/>
      <w:r>
        <w:t xml:space="preserve"> mengder metan. Etter drenering blir det fortsatt dannet metan i undergrunnen, men det blir i større grad nedbrutt i øvre jordlag før det slippes ut i atmosfæren, på samme måte som i naturlig drenert jord. Størrelsen på metanutslippene før og etter d</w:t>
      </w:r>
      <w:r>
        <w:t xml:space="preserve">renering av myr på våre breddegrader, er det lite kunnskap om. Utslipp av metan fra myr i naturlig tilstand er ikke menneskeskapte og regnes derfor ikke inn i klimaregnskapet til FNs klimakonvensjon. Norsk institutt for </w:t>
      </w:r>
      <w:proofErr w:type="spellStart"/>
      <w:r>
        <w:t>bioøkonomi</w:t>
      </w:r>
      <w:proofErr w:type="spellEnd"/>
      <w:r>
        <w:t xml:space="preserve"> (NIBO) legger til grunn a</w:t>
      </w:r>
      <w:r>
        <w:t>t dyrking av myr medfører nedbryting av torva og endret klimagassbalanse. Naturlig myr har en negativ (det vil si opptak av CO</w:t>
      </w:r>
      <w:r>
        <w:rPr>
          <w:rStyle w:val="skrift-senket"/>
          <w:sz w:val="21"/>
          <w:szCs w:val="21"/>
        </w:rPr>
        <w:t>2</w:t>
      </w:r>
      <w:r>
        <w:t>) eller nøytral karbonbalanse, mens dyrket myr resulterer i betydelige utslipp.</w:t>
      </w:r>
    </w:p>
    <w:p w:rsidR="00000000" w:rsidRDefault="00556C84" w:rsidP="0050705A">
      <w:r>
        <w:t>SSB har beregnet de samlede norske klimagassutsli</w:t>
      </w:r>
      <w:r>
        <w:t>ppene for 2016 til 53,3 mill. tonn CO</w:t>
      </w:r>
      <w:r>
        <w:rPr>
          <w:rStyle w:val="skrift-senket"/>
          <w:sz w:val="21"/>
          <w:szCs w:val="21"/>
        </w:rPr>
        <w:t>2</w:t>
      </w:r>
      <w:r>
        <w:t>-ekvivalenter. Av dette blir om lag 8,4 % (4,5 mill. tonn CO</w:t>
      </w:r>
      <w:r>
        <w:rPr>
          <w:rStyle w:val="skrift-senket"/>
          <w:sz w:val="21"/>
          <w:szCs w:val="21"/>
        </w:rPr>
        <w:t>2</w:t>
      </w:r>
      <w:r>
        <w:t>-ekvivalenter) bokført som utslipp fra jordbrukssektoren i klimagassregnskapet. Utslipp av CO</w:t>
      </w:r>
      <w:r>
        <w:rPr>
          <w:rStyle w:val="skrift-senket"/>
          <w:sz w:val="21"/>
          <w:szCs w:val="21"/>
        </w:rPr>
        <w:t xml:space="preserve">2 </w:t>
      </w:r>
      <w:r>
        <w:t>fra dyrking av myr og organisk jord på 1,9 mill. tonn CO</w:t>
      </w:r>
      <w:r>
        <w:rPr>
          <w:rStyle w:val="skrift-senket"/>
          <w:sz w:val="21"/>
          <w:szCs w:val="21"/>
        </w:rPr>
        <w:t xml:space="preserve">2 </w:t>
      </w:r>
      <w:r>
        <w:t>(som nevnt ovenfor) kommer i tillegg, da dette bokføres under LULUCF-sektoren (skog og andre arealendringer). Det er knyttet usikkerhet til tallfestingen av klimagassutslipp fra jordbruket. Det henger sammen med at klimagassutslippene er dominert av lystga</w:t>
      </w:r>
      <w:r>
        <w:t>ss og metan fra biologiske prosesser der variasjonen i utslippene kan være svært stor. Det jobbes kontinuerlig med å begrense usikkerheten og bedre kunnskapen og beregningsmetodene for klimagassutslipp fra jordbruket, for eksempel gjennom teknisk beregning</w:t>
      </w:r>
      <w:r>
        <w:t xml:space="preserve">sutvalg for jordbruket (TBU). </w:t>
      </w:r>
    </w:p>
    <w:p w:rsidR="00000000" w:rsidRDefault="00556C84" w:rsidP="0050705A">
      <w:pPr>
        <w:pStyle w:val="Overskrift2"/>
      </w:pPr>
      <w:r>
        <w:t>Behovet for nydyrking</w:t>
      </w:r>
    </w:p>
    <w:p w:rsidR="00000000" w:rsidRDefault="00556C84" w:rsidP="0050705A">
      <w:r>
        <w:t>Tilgang til egnet nydyrkingsareal er begrenset. I Norge er det om lag 12 millioner dekar dyrkbar jord. Dette tilsvarer ca. 3,7 % av landarealet. Det tar lang tid å</w:t>
      </w:r>
      <w:r>
        <w:t xml:space="preserve"> omdanne dyrkbar jord til produktivt areal, og store deler av de potensielle nydyrkingsarealene vil ha lav produksjonsevne ved oppdyrking. Om lag 35 % av det samlede dyrkbare arealet består av myr, og rundt 73 % er i klimasoner som ikke er egnet for kornpr</w:t>
      </w:r>
      <w:r>
        <w:t xml:space="preserve">oduksjon. </w:t>
      </w:r>
    </w:p>
    <w:p w:rsidR="00000000" w:rsidRDefault="00556C84" w:rsidP="0050705A">
      <w:r>
        <w:t>Siden starten av 2000-tallet har det vært en nedgang i jordbruksareal i drift. Tall fra SSB viser at det samlede jordbruksarealet i drift i 2001 var på om lag 10,47 millioner dekar, mens det i 2016 var på om lag 9,84 millioner dekar. Omtrent hal</w:t>
      </w:r>
      <w:r>
        <w:t>vparten av endringen kan imidlertid tilskrives mer nøyaktig og ajourført kartlegging etter innføring av nytt digitalt kartverk i perioden.</w:t>
      </w:r>
    </w:p>
    <w:p w:rsidR="00000000" w:rsidRDefault="00556C84" w:rsidP="0050705A">
      <w:r>
        <w:t>Hvert år skjer det omdisponering av jordbruksarealer til andre formål, jf. figur 2.1. Omdisponering skjer ved at komm</w:t>
      </w:r>
      <w:r>
        <w:t xml:space="preserve">unen vedtar planer om at arealer skal brukes til annet enn landbruk. For mindre arealer kan omdisponering også skje ved at enkeltpersoner søker om å bruke arealer til noe annet enn landbruksproduksjon. </w:t>
      </w:r>
    </w:p>
    <w:p w:rsidR="00000000" w:rsidRDefault="00556C84" w:rsidP="0050705A">
      <w:r>
        <w:t>I tillegg til arealer som omdisponeres, er det jordbr</w:t>
      </w:r>
      <w:r>
        <w:t>uksarealer som av ulike årsaker går ut av drift eller som gror igjen. Nydyrking bidrar til å kompensere for at jordbruksarealer omdisponeres eller går ut av drift.</w:t>
      </w:r>
    </w:p>
    <w:p w:rsidR="00000000" w:rsidRDefault="0050705A" w:rsidP="0050705A">
      <w:pPr>
        <w:pStyle w:val="Figur"/>
      </w:pPr>
      <w:proofErr w:type="gramStart"/>
      <w:r>
        <w:lastRenderedPageBreak/>
        <w:t>[:figur</w:t>
      </w:r>
      <w:proofErr w:type="gramEnd"/>
      <w:r>
        <w:t>:fig2-1.jpg]</w:t>
      </w:r>
    </w:p>
    <w:p w:rsidR="00000000" w:rsidRDefault="00556C84" w:rsidP="0050705A">
      <w:pPr>
        <w:pStyle w:val="figur-tittel"/>
      </w:pPr>
      <w:r>
        <w:t>Omdisponert areal fordelt på dyrka o</w:t>
      </w:r>
      <w:r>
        <w:t xml:space="preserve">g dyrkbar jord. Tallene rapporteres inn til SSB av kommunene (KOSTRA-rapportering). </w:t>
      </w:r>
    </w:p>
    <w:p w:rsidR="00000000" w:rsidRDefault="00556C84" w:rsidP="0050705A">
      <w:pPr>
        <w:pStyle w:val="Kilde"/>
        <w:rPr>
          <w:rFonts w:cs="Times New Roman"/>
          <w:lang w:val="en-GB"/>
        </w:rPr>
      </w:pPr>
      <w:r>
        <w:t>SSB/Landbruksdirektoratet</w:t>
      </w:r>
    </w:p>
    <w:p w:rsidR="00000000" w:rsidRDefault="00556C84" w:rsidP="0050705A">
      <w:pPr>
        <w:pStyle w:val="Overskrift2"/>
      </w:pPr>
      <w:r>
        <w:t>Omfanget av nydyrking</w:t>
      </w:r>
    </w:p>
    <w:p w:rsidR="00000000" w:rsidRDefault="00556C84" w:rsidP="0050705A">
      <w:r>
        <w:t>Det er nydyrket betydelige arealer med myr i Norge. Fram til 1992 ble det gitt tilskudd til oppdyrking av mellom 1,7 og 1,9 millioner dekar myr. Dette tallet kan imidlertid omfatte fornyet grøfting av areal som har vært dyrket tidligere. Arealet inkluderer</w:t>
      </w:r>
      <w:r>
        <w:t xml:space="preserve"> også dyrket mark som ikke lenger er i drift eller som etter hvert har blitt omdannet til mineraljord. Av dyrka mark i bruk i dag er drøyt 600 000 dekar registrert som organisk jord. Enkelte kommuner har fortsatt egne tilskuddsordninger til nydyrking. </w:t>
      </w:r>
    </w:p>
    <w:p w:rsidR="00000000" w:rsidRDefault="00556C84" w:rsidP="0050705A">
      <w:r>
        <w:t>Årl</w:t>
      </w:r>
      <w:r>
        <w:t>ig areal godkjent for nydyrking rapporteres i dag i KOSTRA (Kommune-Stat-Rapportering). Rapporteringen gir oversikt over hvilke arealer som er godkjent for nydyrking, men rapporteringen gir ikke oversikt over hvilke arealer som faktisk blir nydyrket. I KOS</w:t>
      </w:r>
      <w:r>
        <w:t xml:space="preserve">TRA-rapporteringen skilles det heller ikke mellom myr og annen jord. </w:t>
      </w:r>
    </w:p>
    <w:p w:rsidR="00000000" w:rsidRDefault="00556C84" w:rsidP="0050705A">
      <w:r>
        <w:t xml:space="preserve">Både antall søknader og areal godkjent for nydyrking varierer fra år til år. I følge tall fra SSB var det i 2011 registrert 632 søknader på landsbasis, mens det i 2017 hadde økt til 958 </w:t>
      </w:r>
      <w:r>
        <w:t xml:space="preserve">søknader. I 2002 ble det godkjent i overkant av 7 200 dekar, mens det i 2017 ble godkjent nærmere 23 000 dekar. </w:t>
      </w:r>
    </w:p>
    <w:p w:rsidR="00000000" w:rsidRDefault="00556C84" w:rsidP="0050705A">
      <w:r>
        <w:t xml:space="preserve">Tabell 2.1 og figur 2.2 viser antall dekar godkjent til nydyrking på landsbasis årlig for perioden 1997–2017. Det er stor variasjon fra år til </w:t>
      </w:r>
      <w:r>
        <w:t xml:space="preserve">år, men det har vært en viss økning de senere årene i omsøkt nydyrkingsareal som er godkjent. </w:t>
      </w:r>
    </w:p>
    <w:p w:rsidR="0050705A" w:rsidRDefault="0050705A" w:rsidP="0050705A">
      <w:pPr>
        <w:pStyle w:val="tabell-tittel"/>
      </w:pPr>
      <w:r>
        <w:t>Antall dekar godkjent for nydyrking per år. Hele landet.</w:t>
      </w:r>
    </w:p>
    <w:p w:rsidR="00000000" w:rsidRDefault="00556C84" w:rsidP="0050705A">
      <w:pPr>
        <w:pStyle w:val="Tabellnavn"/>
      </w:pPr>
      <w:r>
        <w:t>02J1xt1</w:t>
      </w:r>
    </w:p>
    <w:tbl>
      <w:tblPr>
        <w:tblStyle w:val="StandardTabell"/>
        <w:tblW w:w="9200" w:type="dxa"/>
        <w:tblInd w:w="108" w:type="dxa"/>
        <w:tblLayout w:type="fixed"/>
        <w:tblLook w:val="04A0" w:firstRow="1" w:lastRow="0" w:firstColumn="1" w:lastColumn="0" w:noHBand="0" w:noVBand="1"/>
      </w:tblPr>
      <w:tblGrid>
        <w:gridCol w:w="1560"/>
        <w:gridCol w:w="7640"/>
      </w:tblGrid>
      <w:tr w:rsidR="00000000" w:rsidTr="0050705A">
        <w:trPr>
          <w:trHeight w:val="360"/>
        </w:trPr>
        <w:tc>
          <w:tcPr>
            <w:tcW w:w="1560" w:type="dxa"/>
            <w:shd w:val="clear" w:color="auto" w:fill="FFFFFF"/>
          </w:tcPr>
          <w:p w:rsidR="00000000" w:rsidRDefault="00556C84" w:rsidP="0050705A">
            <w:r>
              <w:t>År</w:t>
            </w:r>
          </w:p>
        </w:tc>
        <w:tc>
          <w:tcPr>
            <w:tcW w:w="7640" w:type="dxa"/>
          </w:tcPr>
          <w:p w:rsidR="00000000" w:rsidRDefault="00556C84" w:rsidP="0050705A">
            <w:pPr>
              <w:jc w:val="right"/>
            </w:pPr>
            <w:r>
              <w:t>Antall dekar godkjent for nydyrking</w:t>
            </w:r>
          </w:p>
        </w:tc>
      </w:tr>
      <w:tr w:rsidR="00000000" w:rsidTr="0050705A">
        <w:trPr>
          <w:trHeight w:val="380"/>
        </w:trPr>
        <w:tc>
          <w:tcPr>
            <w:tcW w:w="1560" w:type="dxa"/>
          </w:tcPr>
          <w:p w:rsidR="00000000" w:rsidRDefault="00556C84" w:rsidP="0050705A">
            <w:r>
              <w:t>1997</w:t>
            </w:r>
          </w:p>
        </w:tc>
        <w:tc>
          <w:tcPr>
            <w:tcW w:w="7640" w:type="dxa"/>
          </w:tcPr>
          <w:p w:rsidR="00000000" w:rsidRDefault="00556C84" w:rsidP="0050705A">
            <w:pPr>
              <w:jc w:val="right"/>
            </w:pPr>
            <w:r>
              <w:t>12 582</w:t>
            </w:r>
          </w:p>
        </w:tc>
      </w:tr>
      <w:tr w:rsidR="00000000" w:rsidTr="0050705A">
        <w:trPr>
          <w:trHeight w:val="380"/>
        </w:trPr>
        <w:tc>
          <w:tcPr>
            <w:tcW w:w="1560" w:type="dxa"/>
          </w:tcPr>
          <w:p w:rsidR="00000000" w:rsidRDefault="00556C84" w:rsidP="0050705A">
            <w:r>
              <w:lastRenderedPageBreak/>
              <w:t>1998</w:t>
            </w:r>
          </w:p>
        </w:tc>
        <w:tc>
          <w:tcPr>
            <w:tcW w:w="7640" w:type="dxa"/>
          </w:tcPr>
          <w:p w:rsidR="00000000" w:rsidRDefault="00556C84" w:rsidP="0050705A">
            <w:pPr>
              <w:jc w:val="right"/>
            </w:pPr>
            <w:r>
              <w:t>20 882</w:t>
            </w:r>
          </w:p>
        </w:tc>
      </w:tr>
      <w:tr w:rsidR="00000000" w:rsidTr="0050705A">
        <w:trPr>
          <w:trHeight w:val="380"/>
        </w:trPr>
        <w:tc>
          <w:tcPr>
            <w:tcW w:w="1560" w:type="dxa"/>
          </w:tcPr>
          <w:p w:rsidR="00000000" w:rsidRDefault="00556C84" w:rsidP="0050705A">
            <w:r>
              <w:t>1999</w:t>
            </w:r>
          </w:p>
        </w:tc>
        <w:tc>
          <w:tcPr>
            <w:tcW w:w="7640" w:type="dxa"/>
          </w:tcPr>
          <w:p w:rsidR="00000000" w:rsidRDefault="00556C84" w:rsidP="0050705A">
            <w:pPr>
              <w:jc w:val="right"/>
            </w:pPr>
            <w:r>
              <w:t>17 247</w:t>
            </w:r>
          </w:p>
        </w:tc>
      </w:tr>
      <w:tr w:rsidR="00000000" w:rsidTr="0050705A">
        <w:trPr>
          <w:trHeight w:val="380"/>
        </w:trPr>
        <w:tc>
          <w:tcPr>
            <w:tcW w:w="1560" w:type="dxa"/>
          </w:tcPr>
          <w:p w:rsidR="00000000" w:rsidRDefault="00556C84" w:rsidP="0050705A">
            <w:r>
              <w:t>2000</w:t>
            </w:r>
          </w:p>
        </w:tc>
        <w:tc>
          <w:tcPr>
            <w:tcW w:w="7640" w:type="dxa"/>
          </w:tcPr>
          <w:p w:rsidR="00000000" w:rsidRDefault="00556C84" w:rsidP="0050705A">
            <w:pPr>
              <w:jc w:val="right"/>
            </w:pPr>
            <w:r>
              <w:t>9 252</w:t>
            </w:r>
          </w:p>
        </w:tc>
      </w:tr>
      <w:tr w:rsidR="00000000" w:rsidTr="0050705A">
        <w:trPr>
          <w:trHeight w:val="380"/>
        </w:trPr>
        <w:tc>
          <w:tcPr>
            <w:tcW w:w="1560" w:type="dxa"/>
          </w:tcPr>
          <w:p w:rsidR="00000000" w:rsidRDefault="00556C84" w:rsidP="0050705A">
            <w:r>
              <w:t>2001</w:t>
            </w:r>
          </w:p>
        </w:tc>
        <w:tc>
          <w:tcPr>
            <w:tcW w:w="7640" w:type="dxa"/>
          </w:tcPr>
          <w:p w:rsidR="00000000" w:rsidRDefault="00556C84" w:rsidP="0050705A">
            <w:pPr>
              <w:jc w:val="right"/>
            </w:pPr>
            <w:r>
              <w:t>7 492</w:t>
            </w:r>
          </w:p>
        </w:tc>
      </w:tr>
      <w:tr w:rsidR="00000000" w:rsidTr="0050705A">
        <w:trPr>
          <w:trHeight w:val="380"/>
        </w:trPr>
        <w:tc>
          <w:tcPr>
            <w:tcW w:w="1560" w:type="dxa"/>
          </w:tcPr>
          <w:p w:rsidR="00000000" w:rsidRDefault="00556C84" w:rsidP="0050705A">
            <w:r>
              <w:t>2002</w:t>
            </w:r>
          </w:p>
        </w:tc>
        <w:tc>
          <w:tcPr>
            <w:tcW w:w="7640" w:type="dxa"/>
          </w:tcPr>
          <w:p w:rsidR="00000000" w:rsidRDefault="00556C84" w:rsidP="0050705A">
            <w:pPr>
              <w:jc w:val="right"/>
            </w:pPr>
            <w:r>
              <w:t>7 269</w:t>
            </w:r>
          </w:p>
        </w:tc>
      </w:tr>
      <w:tr w:rsidR="00000000" w:rsidTr="0050705A">
        <w:trPr>
          <w:trHeight w:val="380"/>
        </w:trPr>
        <w:tc>
          <w:tcPr>
            <w:tcW w:w="1560" w:type="dxa"/>
          </w:tcPr>
          <w:p w:rsidR="00000000" w:rsidRDefault="00556C84" w:rsidP="0050705A">
            <w:r>
              <w:t>2003</w:t>
            </w:r>
          </w:p>
        </w:tc>
        <w:tc>
          <w:tcPr>
            <w:tcW w:w="7640" w:type="dxa"/>
          </w:tcPr>
          <w:p w:rsidR="00000000" w:rsidRDefault="00556C84" w:rsidP="0050705A">
            <w:pPr>
              <w:jc w:val="right"/>
            </w:pPr>
            <w:r>
              <w:t>7 485</w:t>
            </w:r>
          </w:p>
        </w:tc>
      </w:tr>
      <w:tr w:rsidR="00000000" w:rsidTr="0050705A">
        <w:trPr>
          <w:trHeight w:val="380"/>
        </w:trPr>
        <w:tc>
          <w:tcPr>
            <w:tcW w:w="1560" w:type="dxa"/>
          </w:tcPr>
          <w:p w:rsidR="00000000" w:rsidRDefault="00556C84" w:rsidP="0050705A">
            <w:r>
              <w:t>2004</w:t>
            </w:r>
          </w:p>
        </w:tc>
        <w:tc>
          <w:tcPr>
            <w:tcW w:w="7640" w:type="dxa"/>
          </w:tcPr>
          <w:p w:rsidR="00000000" w:rsidRDefault="00556C84" w:rsidP="0050705A">
            <w:pPr>
              <w:jc w:val="right"/>
            </w:pPr>
            <w:r>
              <w:t>7 961</w:t>
            </w:r>
          </w:p>
        </w:tc>
      </w:tr>
      <w:tr w:rsidR="00000000" w:rsidTr="0050705A">
        <w:trPr>
          <w:trHeight w:val="380"/>
        </w:trPr>
        <w:tc>
          <w:tcPr>
            <w:tcW w:w="1560" w:type="dxa"/>
          </w:tcPr>
          <w:p w:rsidR="00000000" w:rsidRDefault="00556C84" w:rsidP="0050705A">
            <w:r>
              <w:t>2005</w:t>
            </w:r>
          </w:p>
        </w:tc>
        <w:tc>
          <w:tcPr>
            <w:tcW w:w="7640" w:type="dxa"/>
          </w:tcPr>
          <w:p w:rsidR="00000000" w:rsidRDefault="00556C84" w:rsidP="0050705A">
            <w:pPr>
              <w:jc w:val="right"/>
            </w:pPr>
            <w:r>
              <w:t>10 693</w:t>
            </w:r>
          </w:p>
        </w:tc>
      </w:tr>
      <w:tr w:rsidR="00000000" w:rsidTr="0050705A">
        <w:trPr>
          <w:trHeight w:val="380"/>
        </w:trPr>
        <w:tc>
          <w:tcPr>
            <w:tcW w:w="1560" w:type="dxa"/>
          </w:tcPr>
          <w:p w:rsidR="00000000" w:rsidRDefault="00556C84" w:rsidP="0050705A">
            <w:r>
              <w:t>2006</w:t>
            </w:r>
          </w:p>
        </w:tc>
        <w:tc>
          <w:tcPr>
            <w:tcW w:w="7640" w:type="dxa"/>
          </w:tcPr>
          <w:p w:rsidR="00000000" w:rsidRDefault="00556C84" w:rsidP="0050705A">
            <w:pPr>
              <w:jc w:val="right"/>
            </w:pPr>
            <w:r>
              <w:t>11 606</w:t>
            </w:r>
          </w:p>
        </w:tc>
      </w:tr>
      <w:tr w:rsidR="00000000" w:rsidTr="0050705A">
        <w:trPr>
          <w:trHeight w:val="380"/>
        </w:trPr>
        <w:tc>
          <w:tcPr>
            <w:tcW w:w="1560" w:type="dxa"/>
          </w:tcPr>
          <w:p w:rsidR="00000000" w:rsidRDefault="00556C84" w:rsidP="0050705A">
            <w:r>
              <w:t>2007</w:t>
            </w:r>
          </w:p>
        </w:tc>
        <w:tc>
          <w:tcPr>
            <w:tcW w:w="7640" w:type="dxa"/>
          </w:tcPr>
          <w:p w:rsidR="00000000" w:rsidRDefault="00556C84" w:rsidP="0050705A">
            <w:pPr>
              <w:jc w:val="right"/>
            </w:pPr>
            <w:r>
              <w:t>13 119</w:t>
            </w:r>
          </w:p>
        </w:tc>
      </w:tr>
      <w:tr w:rsidR="00000000" w:rsidTr="0050705A">
        <w:trPr>
          <w:trHeight w:val="380"/>
        </w:trPr>
        <w:tc>
          <w:tcPr>
            <w:tcW w:w="1560" w:type="dxa"/>
          </w:tcPr>
          <w:p w:rsidR="00000000" w:rsidRDefault="00556C84" w:rsidP="0050705A">
            <w:r>
              <w:t>2008</w:t>
            </w:r>
          </w:p>
        </w:tc>
        <w:tc>
          <w:tcPr>
            <w:tcW w:w="7640" w:type="dxa"/>
          </w:tcPr>
          <w:p w:rsidR="00000000" w:rsidRDefault="00556C84" w:rsidP="0050705A">
            <w:pPr>
              <w:jc w:val="right"/>
            </w:pPr>
            <w:r>
              <w:t>14 157</w:t>
            </w:r>
          </w:p>
        </w:tc>
      </w:tr>
      <w:tr w:rsidR="00000000" w:rsidTr="0050705A">
        <w:trPr>
          <w:trHeight w:val="380"/>
        </w:trPr>
        <w:tc>
          <w:tcPr>
            <w:tcW w:w="1560" w:type="dxa"/>
          </w:tcPr>
          <w:p w:rsidR="00000000" w:rsidRDefault="00556C84" w:rsidP="0050705A">
            <w:r>
              <w:t>2009</w:t>
            </w:r>
          </w:p>
        </w:tc>
        <w:tc>
          <w:tcPr>
            <w:tcW w:w="7640" w:type="dxa"/>
          </w:tcPr>
          <w:p w:rsidR="00000000" w:rsidRDefault="00556C84" w:rsidP="0050705A">
            <w:pPr>
              <w:jc w:val="right"/>
            </w:pPr>
            <w:r>
              <w:t>15 153</w:t>
            </w:r>
          </w:p>
        </w:tc>
      </w:tr>
      <w:tr w:rsidR="00000000" w:rsidTr="0050705A">
        <w:trPr>
          <w:trHeight w:val="380"/>
        </w:trPr>
        <w:tc>
          <w:tcPr>
            <w:tcW w:w="1560" w:type="dxa"/>
          </w:tcPr>
          <w:p w:rsidR="00000000" w:rsidRDefault="00556C84" w:rsidP="0050705A">
            <w:r>
              <w:t>2010</w:t>
            </w:r>
          </w:p>
        </w:tc>
        <w:tc>
          <w:tcPr>
            <w:tcW w:w="7640" w:type="dxa"/>
          </w:tcPr>
          <w:p w:rsidR="00000000" w:rsidRDefault="00556C84" w:rsidP="0050705A">
            <w:pPr>
              <w:jc w:val="right"/>
            </w:pPr>
            <w:r>
              <w:t>19 860</w:t>
            </w:r>
          </w:p>
        </w:tc>
      </w:tr>
      <w:tr w:rsidR="00000000" w:rsidTr="0050705A">
        <w:trPr>
          <w:trHeight w:val="380"/>
        </w:trPr>
        <w:tc>
          <w:tcPr>
            <w:tcW w:w="1560" w:type="dxa"/>
          </w:tcPr>
          <w:p w:rsidR="00000000" w:rsidRDefault="00556C84" w:rsidP="0050705A">
            <w:r>
              <w:t>2011</w:t>
            </w:r>
          </w:p>
        </w:tc>
        <w:tc>
          <w:tcPr>
            <w:tcW w:w="7640" w:type="dxa"/>
          </w:tcPr>
          <w:p w:rsidR="00000000" w:rsidRDefault="00556C84" w:rsidP="0050705A">
            <w:pPr>
              <w:jc w:val="right"/>
            </w:pPr>
            <w:r>
              <w:t>15 875</w:t>
            </w:r>
          </w:p>
        </w:tc>
      </w:tr>
      <w:tr w:rsidR="00000000" w:rsidTr="0050705A">
        <w:trPr>
          <w:trHeight w:val="380"/>
        </w:trPr>
        <w:tc>
          <w:tcPr>
            <w:tcW w:w="1560" w:type="dxa"/>
          </w:tcPr>
          <w:p w:rsidR="00000000" w:rsidRDefault="00556C84" w:rsidP="0050705A">
            <w:r>
              <w:t>2012</w:t>
            </w:r>
          </w:p>
        </w:tc>
        <w:tc>
          <w:tcPr>
            <w:tcW w:w="7640" w:type="dxa"/>
          </w:tcPr>
          <w:p w:rsidR="00000000" w:rsidRDefault="00556C84" w:rsidP="0050705A">
            <w:pPr>
              <w:jc w:val="right"/>
            </w:pPr>
            <w:r>
              <w:t>13 417</w:t>
            </w:r>
          </w:p>
        </w:tc>
      </w:tr>
      <w:tr w:rsidR="00000000" w:rsidTr="0050705A">
        <w:trPr>
          <w:trHeight w:val="380"/>
        </w:trPr>
        <w:tc>
          <w:tcPr>
            <w:tcW w:w="1560" w:type="dxa"/>
          </w:tcPr>
          <w:p w:rsidR="00000000" w:rsidRDefault="00556C84" w:rsidP="0050705A">
            <w:r>
              <w:t>2013</w:t>
            </w:r>
          </w:p>
        </w:tc>
        <w:tc>
          <w:tcPr>
            <w:tcW w:w="7640" w:type="dxa"/>
          </w:tcPr>
          <w:p w:rsidR="00000000" w:rsidRDefault="00556C84" w:rsidP="0050705A">
            <w:pPr>
              <w:jc w:val="right"/>
            </w:pPr>
            <w:r>
              <w:t>14 557</w:t>
            </w:r>
          </w:p>
        </w:tc>
      </w:tr>
      <w:tr w:rsidR="00000000" w:rsidTr="0050705A">
        <w:trPr>
          <w:trHeight w:val="380"/>
        </w:trPr>
        <w:tc>
          <w:tcPr>
            <w:tcW w:w="1560" w:type="dxa"/>
          </w:tcPr>
          <w:p w:rsidR="00000000" w:rsidRDefault="00556C84" w:rsidP="0050705A">
            <w:r>
              <w:t>2014</w:t>
            </w:r>
          </w:p>
        </w:tc>
        <w:tc>
          <w:tcPr>
            <w:tcW w:w="7640" w:type="dxa"/>
          </w:tcPr>
          <w:p w:rsidR="00000000" w:rsidRDefault="00556C84" w:rsidP="0050705A">
            <w:pPr>
              <w:jc w:val="right"/>
            </w:pPr>
            <w:r>
              <w:t>18 572</w:t>
            </w:r>
          </w:p>
        </w:tc>
      </w:tr>
      <w:tr w:rsidR="00000000" w:rsidTr="0050705A">
        <w:trPr>
          <w:trHeight w:val="380"/>
        </w:trPr>
        <w:tc>
          <w:tcPr>
            <w:tcW w:w="1560" w:type="dxa"/>
          </w:tcPr>
          <w:p w:rsidR="00000000" w:rsidRDefault="00556C84" w:rsidP="0050705A">
            <w:r>
              <w:t>2015</w:t>
            </w:r>
          </w:p>
        </w:tc>
        <w:tc>
          <w:tcPr>
            <w:tcW w:w="7640" w:type="dxa"/>
          </w:tcPr>
          <w:p w:rsidR="00000000" w:rsidRDefault="00556C84" w:rsidP="0050705A">
            <w:pPr>
              <w:jc w:val="right"/>
            </w:pPr>
            <w:r>
              <w:t>18 139</w:t>
            </w:r>
          </w:p>
        </w:tc>
      </w:tr>
      <w:tr w:rsidR="00000000" w:rsidTr="0050705A">
        <w:trPr>
          <w:trHeight w:val="380"/>
        </w:trPr>
        <w:tc>
          <w:tcPr>
            <w:tcW w:w="1560" w:type="dxa"/>
          </w:tcPr>
          <w:p w:rsidR="00000000" w:rsidRDefault="00556C84" w:rsidP="0050705A">
            <w:r>
              <w:t>2016</w:t>
            </w:r>
          </w:p>
        </w:tc>
        <w:tc>
          <w:tcPr>
            <w:tcW w:w="7640" w:type="dxa"/>
          </w:tcPr>
          <w:p w:rsidR="00000000" w:rsidRDefault="00556C84" w:rsidP="0050705A">
            <w:pPr>
              <w:jc w:val="right"/>
            </w:pPr>
            <w:r>
              <w:t>21 575</w:t>
            </w:r>
          </w:p>
        </w:tc>
      </w:tr>
      <w:tr w:rsidR="00000000" w:rsidTr="0050705A">
        <w:trPr>
          <w:trHeight w:val="380"/>
        </w:trPr>
        <w:tc>
          <w:tcPr>
            <w:tcW w:w="1560" w:type="dxa"/>
          </w:tcPr>
          <w:p w:rsidR="00000000" w:rsidRDefault="00556C84" w:rsidP="0050705A">
            <w:r>
              <w:t>2017</w:t>
            </w:r>
          </w:p>
        </w:tc>
        <w:tc>
          <w:tcPr>
            <w:tcW w:w="7640" w:type="dxa"/>
          </w:tcPr>
          <w:p w:rsidR="00000000" w:rsidRDefault="00556C84" w:rsidP="0050705A">
            <w:pPr>
              <w:jc w:val="right"/>
            </w:pPr>
            <w:r>
              <w:t>22 702</w:t>
            </w:r>
          </w:p>
        </w:tc>
      </w:tr>
    </w:tbl>
    <w:p w:rsidR="00000000" w:rsidRDefault="0050705A" w:rsidP="0050705A">
      <w:pPr>
        <w:pStyle w:val="Figur"/>
      </w:pPr>
      <w:proofErr w:type="gramStart"/>
      <w:r>
        <w:t>[:figur</w:t>
      </w:r>
      <w:proofErr w:type="gramEnd"/>
      <w:r>
        <w:t>:fig2-2.jpg]</w:t>
      </w:r>
    </w:p>
    <w:p w:rsidR="00000000" w:rsidRDefault="00556C84" w:rsidP="0050705A">
      <w:pPr>
        <w:pStyle w:val="figur-tittel"/>
      </w:pPr>
      <w:r>
        <w:t xml:space="preserve">Samlet nydyrkingsareal i godkjente søknader om nydyrking per år for perioden 1997–2017. I dekar. </w:t>
      </w:r>
    </w:p>
    <w:p w:rsidR="00000000" w:rsidRDefault="00556C84" w:rsidP="0050705A">
      <w:pPr>
        <w:pStyle w:val="Kilde"/>
        <w:rPr>
          <w:rFonts w:cs="Times New Roman"/>
          <w:sz w:val="24"/>
          <w:szCs w:val="24"/>
          <w:lang w:val="en-GB"/>
        </w:rPr>
      </w:pPr>
      <w:r>
        <w:t xml:space="preserve">SSB Landbrukseiendommer. </w:t>
      </w:r>
    </w:p>
    <w:p w:rsidR="00000000" w:rsidRDefault="00556C84" w:rsidP="0050705A">
      <w:r>
        <w:t xml:space="preserve">Figur 2.3 viser den fylkesvise fordelingen av samlet godkjent </w:t>
      </w:r>
      <w:r>
        <w:t xml:space="preserve">areal for nydyrking for perioden 2013–2017. Tabellen viser at godkjent areal for nydyrking er størst i fylkene Hedmark, Oppland, Nord-Trøndelag og Rogaland. </w:t>
      </w:r>
    </w:p>
    <w:p w:rsidR="00000000" w:rsidRDefault="0050705A" w:rsidP="0050705A">
      <w:pPr>
        <w:pStyle w:val="Figur"/>
      </w:pPr>
      <w:proofErr w:type="gramStart"/>
      <w:r>
        <w:t>[:figur</w:t>
      </w:r>
      <w:proofErr w:type="gramEnd"/>
      <w:r>
        <w:t>:fig2-3.jpg]</w:t>
      </w:r>
    </w:p>
    <w:p w:rsidR="00000000" w:rsidRDefault="00556C84" w:rsidP="0050705A">
      <w:pPr>
        <w:pStyle w:val="figur-tittel"/>
      </w:pPr>
      <w:r>
        <w:t>Fylkesvis fordeling av samlet godkjent are</w:t>
      </w:r>
      <w:r>
        <w:t xml:space="preserve">al for nydyrking for perioden 2013–2017. I dekar. </w:t>
      </w:r>
    </w:p>
    <w:p w:rsidR="00000000" w:rsidRDefault="00556C84" w:rsidP="0050705A">
      <w:pPr>
        <w:pStyle w:val="Kilde"/>
        <w:rPr>
          <w:sz w:val="21"/>
          <w:szCs w:val="21"/>
        </w:rPr>
      </w:pPr>
      <w:r>
        <w:t xml:space="preserve">SSB. </w:t>
      </w:r>
    </w:p>
    <w:p w:rsidR="00000000" w:rsidRDefault="00556C84" w:rsidP="0050705A">
      <w:pPr>
        <w:pStyle w:val="Overskrift1"/>
      </w:pPr>
      <w:r>
        <w:lastRenderedPageBreak/>
        <w:t>Utredning om nydyrking av myr</w:t>
      </w:r>
    </w:p>
    <w:p w:rsidR="00000000" w:rsidRDefault="00556C84" w:rsidP="0050705A">
      <w:pPr>
        <w:pStyle w:val="Overskrift2"/>
      </w:pPr>
      <w:r>
        <w:t>Utredningsoppdraget til NIBIO</w:t>
      </w:r>
    </w:p>
    <w:p w:rsidR="00000000" w:rsidRDefault="00556C84" w:rsidP="0050705A">
      <w:r>
        <w:t>NIBIO har etter oppdrag fra Landbruks- og matdepartementet og Klima- og miljød</w:t>
      </w:r>
      <w:r>
        <w:t>epartementet foretatt en sammenstilling av det eksisterende kunnskapsgrunnlaget knyttet til nydyrking av myr, og belyst ulike konsekvenser ved å legge restriksjoner på nydyrking – både de økonomiske konsekvensene og konsekvensene for klimagassutslipp. Kons</w:t>
      </w:r>
      <w:r>
        <w:t>ekvensene er vurdert ut fra tre reguleringsalternativ som alle vil innebære endringer i nydyrkingsforskriften:</w:t>
      </w:r>
    </w:p>
    <w:p w:rsidR="00000000" w:rsidRDefault="00556C84" w:rsidP="0050705A">
      <w:pPr>
        <w:pStyle w:val="Liste"/>
      </w:pPr>
      <w:r>
        <w:t>konsekvenser ved å innføre et generelt forbud mot nydyrking av myr.</w:t>
      </w:r>
    </w:p>
    <w:p w:rsidR="00000000" w:rsidRDefault="00556C84" w:rsidP="0050705A">
      <w:pPr>
        <w:pStyle w:val="Liste"/>
      </w:pPr>
      <w:r>
        <w:t>konsekvenser ved å innfør</w:t>
      </w:r>
      <w:r>
        <w:t xml:space="preserve">e forbud mot nydyrking av myr dersom myra/myrområdet har en gjennomsnittsdybde på mer enn 1 meter. </w:t>
      </w:r>
    </w:p>
    <w:p w:rsidR="00000000" w:rsidRDefault="00556C84" w:rsidP="0050705A">
      <w:pPr>
        <w:pStyle w:val="Liste"/>
      </w:pPr>
      <w:r>
        <w:t>konsekvenser ved kun å tillate nydyrking av myr ved bruk av bestemte nydyrkingsmetoder som bidrar til reduserte klimagassutslipp sammenliknet med tradis</w:t>
      </w:r>
      <w:r>
        <w:t xml:space="preserve">jonelle nydyrkingsmetoder. </w:t>
      </w:r>
    </w:p>
    <w:p w:rsidR="00000000" w:rsidRDefault="00556C84" w:rsidP="0050705A">
      <w:r>
        <w:t xml:space="preserve">Rapporten </w:t>
      </w:r>
      <w:r>
        <w:rPr>
          <w:rStyle w:val="kursiv"/>
          <w:sz w:val="21"/>
          <w:szCs w:val="21"/>
        </w:rPr>
        <w:t xml:space="preserve">«Kunnskapsgrunnlag om nydyrking av myr» </w:t>
      </w:r>
      <w:r>
        <w:t>ble overlevert departementene 1. mars 2016. NIBIO har i etterkant nedjustert enkelte av utslippsberegningene som går fram av rapporten. I notat av 29. mai 2017 skriver NIBIO at d</w:t>
      </w:r>
      <w:r>
        <w:t>et er grunn til å anta at omfanget av faktisk nydyrking av myr ligger på et lavere nivå enn det som ble lagt til grunn i tidligere rapporter, og at det vil virke inn på valg av referansebane (hvor store myrarealer som ville blitt dyrket per år uten restrik</w:t>
      </w:r>
      <w:r>
        <w:t>sjoner). Videre er anslagene for fordelingen mellom dyrking av grunn og dyp myr endret. Rapporten og notatet fulgte med som vedlegg til departementets høringsnotat.</w:t>
      </w:r>
    </w:p>
    <w:p w:rsidR="00000000" w:rsidRDefault="00556C84" w:rsidP="0050705A">
      <w:r>
        <w:t>NIBIO har også tatt del i et forskningsprosjekt (DRAINIMP – Dreneringsprosjekt på Vestlande</w:t>
      </w:r>
      <w:r>
        <w:t>t (2013–2017)) som viser at det er grunnlag for å nedjustere de tidligere utslippstallene for lystgass (N</w:t>
      </w:r>
      <w:r>
        <w:rPr>
          <w:rStyle w:val="skrift-senket"/>
          <w:sz w:val="21"/>
          <w:szCs w:val="21"/>
        </w:rPr>
        <w:t>2</w:t>
      </w:r>
      <w:r>
        <w:t>O). Forskergruppen som har deltatt i prosjektet mener at det alt vesentlige av emisjon av lystgass på myrjord har sammenheng med gjødselnitrogen og ik</w:t>
      </w:r>
      <w:r>
        <w:t>ke har sammenheng med mineralisering av nitrogen fra organisk materiale. I tillegg mener forskergruppen at det må skilles mellom næringsfattig myr og næringsrik myr når det gjelder nivået for utslipp av lystgass ved oppdyrking. Mye av det som er dyrket myr</w:t>
      </w:r>
      <w:r>
        <w:t xml:space="preserve"> i Norge er av kategorien «næringsfattig myr». En sluttrapport for forskningsprosjektet kan ventes mot slutten av 2018. </w:t>
      </w:r>
    </w:p>
    <w:p w:rsidR="00000000" w:rsidRDefault="00556C84" w:rsidP="0050705A">
      <w:pPr>
        <w:pStyle w:val="Overskrift2"/>
      </w:pPr>
      <w:proofErr w:type="spellStart"/>
      <w:r>
        <w:t>NIBIOs</w:t>
      </w:r>
      <w:proofErr w:type="spellEnd"/>
      <w:r>
        <w:t xml:space="preserve"> utredning </w:t>
      </w:r>
    </w:p>
    <w:p w:rsidR="00000000" w:rsidRDefault="00556C84" w:rsidP="0050705A">
      <w:pPr>
        <w:pStyle w:val="Overskrift3"/>
      </w:pPr>
      <w:r>
        <w:t>Oppsummering</w:t>
      </w:r>
    </w:p>
    <w:p w:rsidR="00000000" w:rsidRDefault="00556C84" w:rsidP="0050705A">
      <w:r>
        <w:t>NIBIO definerer myr som areal med myrvegetasjon og et minst 30 cm tykt torvlag som i</w:t>
      </w:r>
      <w:r>
        <w:t>nneholder minst 40 % organisk materiale. I rapporten viser NIBIO til at gjennomsnittlig areal godkjent for nydyrking i perioden 2010–2014 var på om lag 16 000 dekar. NIBIO estimerte i rapporten at 37 % av dette arealet er karakterisert som organisk jord (m</w:t>
      </w:r>
      <w:r>
        <w:t>yrarealer), noe som tilsvarer at om lag 6 000 dekar myr er godkjent for nydyrking årlig i denne perioden. Estimatet er basert på forutsetningen om at organisk jord utgjorde samme andel av nydyrket jord som av det totale arealet dyrkbar jord innen hver komm</w:t>
      </w:r>
      <w:r>
        <w:t xml:space="preserve">une. </w:t>
      </w:r>
    </w:p>
    <w:p w:rsidR="00000000" w:rsidRDefault="00556C84" w:rsidP="0050705A">
      <w:r>
        <w:t>I notat av 29. mai 2017 har NIBIO beregnet tall for hvor store myrarealer som faktisk har blitt dyrket årlig i perioden 2007–2015, og kommet til at det tilsvarer ca. 2 600 dekar. Estimatet bygger på en fordeling av de dyrkbare myrarealene der grunn m</w:t>
      </w:r>
      <w:r>
        <w:t xml:space="preserve">yr og dyp myr utgjør 50 % hver. Videre har NIBIO i notatet foretatt nærmere beregninger som viser at </w:t>
      </w:r>
      <w:proofErr w:type="gramStart"/>
      <w:r>
        <w:t>den fremtidig referansebanen</w:t>
      </w:r>
      <w:proofErr w:type="gramEnd"/>
      <w:r>
        <w:t xml:space="preserve"> for nydyrking av myr tilsvarer om lag 2 000 dekar pr. år. Det vil si hvor mye myr en antar vil bli dyrket opp i tiden framover</w:t>
      </w:r>
      <w:r>
        <w:t xml:space="preserve"> dersom det ikke innføres restriksjoner. Denne referansebanen tilsvarer den laveste av de tre alternative referansebanene som ble presentert i rapporten fra 2016. </w:t>
      </w:r>
    </w:p>
    <w:p w:rsidR="00000000" w:rsidRDefault="00556C84" w:rsidP="0050705A">
      <w:r>
        <w:t>Det er stor variasjon og usikkerhet i tallgrunnlaget for omfanget av nydyrking av myr. Det m</w:t>
      </w:r>
      <w:r>
        <w:t>å derfor tas høyde for at effekten av et forbud vil kunne bli justert basert på ny kunnskap.</w:t>
      </w:r>
    </w:p>
    <w:p w:rsidR="00000000" w:rsidRDefault="00556C84" w:rsidP="0050705A">
      <w:r>
        <w:t>I følge NIBIO brukes dyrket myr hovedsakelig til grasproduksjon, da arealene ikke er egnet til å</w:t>
      </w:r>
      <w:r>
        <w:t xml:space="preserve"> dyrke korn. Mindre arealer brukes til potet og rotvekster. Behovet for dyrking av myr er betinget av behovet for gras til </w:t>
      </w:r>
      <w:r>
        <w:lastRenderedPageBreak/>
        <w:t>høsting, som igjen er betinget av flere faktorer, blant annet forbruk av melk og kjøtt fra drøvtyggere og ytelse i melkeproduksjon. N</w:t>
      </w:r>
      <w:r>
        <w:t>IBIO legger til grunn at det ventes redusert forbruk av melk, økt ytelse og kraftfôrforbruk i melkeproduksjon, og at det er mindre behov for grasareal til melkeproduksjon i årene framover.</w:t>
      </w:r>
    </w:p>
    <w:p w:rsidR="00000000" w:rsidRDefault="00556C84" w:rsidP="0050705A">
      <w:r>
        <w:t>Videre mener NIBIO at restriksjoner for nydyrking av myr i liten gr</w:t>
      </w:r>
      <w:r>
        <w:t>ad vil begrense mulighetene for matproduksjon. Konsekvensene for jordbruket vil være av en lokal karakter, blant annet betinget av restriksjonens karakter eller omfang, nydyrkingsaktiviteten i området, samt tilgangen på dyrkbar myr og alternativ dyrkbar mi</w:t>
      </w:r>
      <w:r>
        <w:t>neraljord i det berørte området.</w:t>
      </w:r>
    </w:p>
    <w:p w:rsidR="00000000" w:rsidRDefault="00556C84" w:rsidP="0050705A">
      <w:proofErr w:type="spellStart"/>
      <w:r>
        <w:t>NIBIOs</w:t>
      </w:r>
      <w:proofErr w:type="spellEnd"/>
      <w:r>
        <w:t xml:space="preserve"> rapport viser at næringsdrivende i et fåtall kommuner vil bli berørt av eventuelle restriksjoner. Denne vurderingen tar utgangspunkt i følgende tre kumulative vilkår: omfanget av nydyrking i området, areal med dyrkba</w:t>
      </w:r>
      <w:r>
        <w:t>r mineraljord og arealet med dyrkbar snau myr (snau myr har preg av myr på overflaten, men oppfyller ikke kravet til skog). Næringsdrivende i 12 kommuner antas å kunne bli berørt av et generelt forbud mot nydyrking av myr, mens næringsdrivende i 9 kommuner</w:t>
      </w:r>
      <w:r>
        <w:t xml:space="preserve"> antas å kunne bli berørt dersom det innføres forbud mot nydyrking av myr dypere enn 1 meter (dyp myr). </w:t>
      </w:r>
    </w:p>
    <w:p w:rsidR="00000000" w:rsidRDefault="00556C84" w:rsidP="0050705A">
      <w:pPr>
        <w:pStyle w:val="Overskrift3"/>
      </w:pPr>
      <w:r>
        <w:t>Konsekvenser ved ulike reguleringsalternativer</w:t>
      </w:r>
    </w:p>
    <w:p w:rsidR="00000000" w:rsidRDefault="00556C84" w:rsidP="0050705A">
      <w:r>
        <w:t>De ulike reguleringsalternativene som belyses av NIBIO, vil alle bidra til reduksjon av klim</w:t>
      </w:r>
      <w:r>
        <w:t>agassutslipp. Hvor stor reduksjonen kan bli, vil imidlertid avhenge av reguleringens karakter og hvor store myrarealer som en antar ville blitt dyrket uten reguleringen. Utslippene etter dyrking av myr foregår gradvis over mange år og nedbrytningen stopper</w:t>
      </w:r>
      <w:r>
        <w:t xml:space="preserve"> først når det innstiller seg en ny vannstand eller når myra er omdannet til mineraljord. Basert på The </w:t>
      </w:r>
      <w:proofErr w:type="spellStart"/>
      <w:r>
        <w:t>Intergovernmental</w:t>
      </w:r>
      <w:proofErr w:type="spellEnd"/>
      <w:r>
        <w:t xml:space="preserve"> Panel </w:t>
      </w:r>
      <w:proofErr w:type="spellStart"/>
      <w:r>
        <w:t>on</w:t>
      </w:r>
      <w:proofErr w:type="spellEnd"/>
      <w:r>
        <w:t xml:space="preserve"> </w:t>
      </w:r>
      <w:proofErr w:type="spellStart"/>
      <w:r>
        <w:t>Climate</w:t>
      </w:r>
      <w:proofErr w:type="spellEnd"/>
      <w:r>
        <w:t xml:space="preserve"> </w:t>
      </w:r>
      <w:proofErr w:type="spellStart"/>
      <w:r>
        <w:t>Change</w:t>
      </w:r>
      <w:proofErr w:type="spellEnd"/>
      <w:r>
        <w:t xml:space="preserve"> (IPCC) sin utslippsfaktor på 0,79 tonn CO</w:t>
      </w:r>
      <w:r>
        <w:rPr>
          <w:rStyle w:val="skrift-senket"/>
          <w:sz w:val="21"/>
          <w:szCs w:val="21"/>
        </w:rPr>
        <w:t>2</w:t>
      </w:r>
      <w:r>
        <w:t>-C per dekar dyrket myr per år, beregner NIBIO at dyrket myr svinner</w:t>
      </w:r>
      <w:r>
        <w:t xml:space="preserve"> med 16 mm årlig. Dyrket myr med opprinnelig tykkelse på 1 meter vil derfor bruke 43 år før den har krympet til 30 cm, som er nivået hvor jordsmonnet går over til å regnes som mineraljord. Det er verdt å merke seg at dersom nedbrytningen går saktere enn an</w:t>
      </w:r>
      <w:r>
        <w:t>slått, vil summen av de faktiske utslippene likevel være den samme. Imidlertid kan det oppstå en dobbelt regnefeil ved at vi bokfører for høye tall over utslipp per år, samtidig som større areal vil forbli bokført som dyrket myr lenger inn i framtiden. Git</w:t>
      </w:r>
      <w:r>
        <w:t xml:space="preserve">t </w:t>
      </w:r>
      <w:proofErr w:type="spellStart"/>
      <w:r>
        <w:t>NIBIOs</w:t>
      </w:r>
      <w:proofErr w:type="spellEnd"/>
      <w:r>
        <w:t xml:space="preserve"> beregning må all dyp myr (&gt;1 meter) som dyrkes i årene framover uansett påregnes å forbli myr til 2050. I følge NIBIO er det høyst usikkert om nydyrking i framtida vil fortsette i samme omfang som nydyrkingen de siste årene. NIBIO har lagt til gru</w:t>
      </w:r>
      <w:r>
        <w:t xml:space="preserve">nn en referansebane på om lag 2 000 dekar for å beregne estimater for fremtidige klimagassreduksjoner. I de offisielle beregningene lagt frem i forbindelse med </w:t>
      </w:r>
      <w:proofErr w:type="spellStart"/>
      <w:r>
        <w:t>klimalovrapporteringen</w:t>
      </w:r>
      <w:proofErr w:type="spellEnd"/>
      <w:r>
        <w:t xml:space="preserve"> i </w:t>
      </w:r>
      <w:proofErr w:type="spellStart"/>
      <w:r>
        <w:t>Prop</w:t>
      </w:r>
      <w:proofErr w:type="spellEnd"/>
      <w:r>
        <w:t xml:space="preserve">. 1 S for 2019 er det i </w:t>
      </w:r>
      <w:proofErr w:type="spellStart"/>
      <w:r>
        <w:t>fremskrivningen</w:t>
      </w:r>
      <w:proofErr w:type="spellEnd"/>
      <w:r>
        <w:t xml:space="preserve"> av areal dyrket myr brukt a</w:t>
      </w:r>
      <w:r>
        <w:t xml:space="preserve">ntakelsen at det er 4 000 dekar nydyrking per år og 1,2 % nedgang i tidligere dyrket areal på grunn av overgang til mineraljord og myr tatt ut av drift. Samme antakelse for nydyrking og myr tatt ut av drift blir brukt i gjeldende </w:t>
      </w:r>
      <w:proofErr w:type="spellStart"/>
      <w:r>
        <w:t>fremskrivning</w:t>
      </w:r>
      <w:proofErr w:type="spellEnd"/>
      <w:r>
        <w:t xml:space="preserve"> i Nasjonalbu</w:t>
      </w:r>
      <w:r>
        <w:t xml:space="preserve">dsjettet 2019 som i forrige </w:t>
      </w:r>
      <w:proofErr w:type="spellStart"/>
      <w:r>
        <w:t>fremskrivning</w:t>
      </w:r>
      <w:proofErr w:type="spellEnd"/>
      <w:r>
        <w:t xml:space="preserve"> (Perspektivmeldingen 2017). Med disse to utgangspunktene viser beregningene følgende:</w:t>
      </w:r>
    </w:p>
    <w:p w:rsidR="00000000" w:rsidRDefault="00556C84" w:rsidP="0050705A">
      <w:r>
        <w:t>Ved et generelt forbud mot dyrking av myr vil utslippsreduksjonen basert på 2 000 dekar for enkeltåret 2050 være snaut 200 000 t</w:t>
      </w:r>
      <w:r>
        <w:t>onn CO</w:t>
      </w:r>
      <w:r>
        <w:rPr>
          <w:rStyle w:val="skrift-senket"/>
          <w:sz w:val="21"/>
          <w:szCs w:val="21"/>
        </w:rPr>
        <w:t>2</w:t>
      </w:r>
      <w:r>
        <w:t>-ekvivalenter og for 4 000 dekar være snaut 400 000 tonn CO</w:t>
      </w:r>
      <w:r>
        <w:rPr>
          <w:rStyle w:val="skrift-senket"/>
          <w:sz w:val="21"/>
          <w:szCs w:val="21"/>
        </w:rPr>
        <w:t>2</w:t>
      </w:r>
      <w:r>
        <w:t>-ekvivalenter. For perioden 2021–2030 vil akkumulert utslippsreduksjon basert på 2 000 dekar være ca. 450 000 tonn CO</w:t>
      </w:r>
      <w:r>
        <w:rPr>
          <w:rStyle w:val="skrift-senket"/>
          <w:sz w:val="21"/>
          <w:szCs w:val="21"/>
        </w:rPr>
        <w:t>2</w:t>
      </w:r>
      <w:r>
        <w:t>-ekvivalenter og for 4 000 dekar være ca. 900 000 CO</w:t>
      </w:r>
      <w:r>
        <w:rPr>
          <w:rStyle w:val="skrift-senket"/>
          <w:sz w:val="21"/>
          <w:szCs w:val="21"/>
        </w:rPr>
        <w:t>2</w:t>
      </w:r>
      <w:r>
        <w:t xml:space="preserve">-ekvivalenter. </w:t>
      </w:r>
    </w:p>
    <w:p w:rsidR="00000000" w:rsidRDefault="00556C84" w:rsidP="0050705A">
      <w:r>
        <w:t>Ve</w:t>
      </w:r>
      <w:r>
        <w:t>d et forbud som kun gjelder dyrking av dyp myr beregnes utslippsreduksjonen til ca. 43 000 tonn CO</w:t>
      </w:r>
      <w:r>
        <w:rPr>
          <w:rStyle w:val="skrift-senket"/>
          <w:sz w:val="21"/>
          <w:szCs w:val="21"/>
        </w:rPr>
        <w:t>2</w:t>
      </w:r>
      <w:r>
        <w:t>-ekvivalenter for enkeltåret 2050. I dette tallet er det antatt at den dype myra erstattes med dyrking av grunn myr, noe som til sammen tilsvarer utslippet f</w:t>
      </w:r>
      <w:r>
        <w:t xml:space="preserve">ra dyrking av 2 000 dekar grunn myr. </w:t>
      </w:r>
    </w:p>
    <w:p w:rsidR="00000000" w:rsidRDefault="00556C84" w:rsidP="0050705A">
      <w:r>
        <w:t>Ved et forbud mot dyrking av dyp myr, med forutsetningen om at forbudet ikke vil øke andelen dyrking av grunn myr, har NIBIO beregnet en utslippsreduksjon på ca. 116 000 tonn CO</w:t>
      </w:r>
      <w:r>
        <w:rPr>
          <w:rStyle w:val="skrift-senket"/>
          <w:sz w:val="21"/>
          <w:szCs w:val="21"/>
        </w:rPr>
        <w:t>2</w:t>
      </w:r>
      <w:r>
        <w:t>-ekvivalenter for enkeltåret 2050. Talle</w:t>
      </w:r>
      <w:r>
        <w:t>t tilsvarer differansen mellom utslippsreduksjonen ved et generelt forbud minus utslippet fra dyrking av 1 000 dekar grunn myr.</w:t>
      </w:r>
    </w:p>
    <w:p w:rsidR="00000000" w:rsidRDefault="00556C84" w:rsidP="0050705A">
      <w:r>
        <w:lastRenderedPageBreak/>
        <w:t>NIBIO understreker at det fortsatt er usikkerhet knyttet til tallfesting av både klimagassbesparelser, samt de bedriftsøkonomisk</w:t>
      </w:r>
      <w:r>
        <w:t>e og samfunnsøkonomiske konsekvensene ved innføring av et forbud. NIBIO konkluderer med at et forbud i liten grad vil begrense mulighetene for matproduksjon, men kan føre til reduserte muligheter for nydyrking i områder med små arealer med alternativ dyrkb</w:t>
      </w:r>
      <w:r>
        <w:t>ar jord. Videre vil næringsdrivende i relativt få kommuner bli berørt. NIBIO peker på at et forbud mot nydyrking av myr er et klimapolitisk tiltak som vil virke sammen med landbrukspolitiske tiltak, og at et forbud vil gi en klar positiv klimavirkning, men</w:t>
      </w:r>
      <w:r>
        <w:t xml:space="preserve">s andre målsettinger som matforsyningssikkerhet og landbruk i hele landet kan bli svekket. </w:t>
      </w:r>
    </w:p>
    <w:p w:rsidR="00000000" w:rsidRDefault="00556C84" w:rsidP="0050705A">
      <w:r>
        <w:t xml:space="preserve">Hovedelementet i de samfunnsøkonomiske konsekvensene av et forbud mot nydyrking av myr, ligger i klimavirkningen av at myr ikke vil bli dyrket. Dette har motposter </w:t>
      </w:r>
      <w:r>
        <w:t xml:space="preserve">i landbruket som tallfestes i hovedsak ved hjelp av beregnede bedriftsøkonomiske tap. For enkelte bruk kan et forbud, </w:t>
      </w:r>
      <w:proofErr w:type="spellStart"/>
      <w:r>
        <w:t>i følge</w:t>
      </w:r>
      <w:proofErr w:type="spellEnd"/>
      <w:r>
        <w:t xml:space="preserve"> NIBIO, føre til inntektstap dersom det ikke gis dispensasjoner. Med utgangspunkt i perspektivmeldingen fra 2017, og karbonprisene </w:t>
      </w:r>
      <w:r>
        <w:t>som der legges til grunn, mener NIBIO at det synes å være liten tvil om den samfunnsøkonomiske lønnsomheten av et forbud mot dyrking av myr.</w:t>
      </w:r>
    </w:p>
    <w:p w:rsidR="00000000" w:rsidRDefault="00556C84" w:rsidP="0050705A">
      <w:pPr>
        <w:pStyle w:val="Overskrift1"/>
      </w:pPr>
      <w:r>
        <w:t>Høringen</w:t>
      </w:r>
    </w:p>
    <w:p w:rsidR="00000000" w:rsidRDefault="00556C84" w:rsidP="0050705A">
      <w:pPr>
        <w:pStyle w:val="Overskrift2"/>
      </w:pPr>
      <w:r>
        <w:t>Høringsnotatet</w:t>
      </w:r>
    </w:p>
    <w:p w:rsidR="00000000" w:rsidRDefault="00556C84" w:rsidP="0050705A">
      <w:r>
        <w:t>Departementets forslag til endringer i reglene om nydyrking ble sendt på hø</w:t>
      </w:r>
      <w:r>
        <w:t>ring 11. juli 2017. Høringsnotatet omfattet forslag til endring av jordloven § 11 andre ledd. Forslaget innebar at hjemmelsgrunnlaget for å kunne gi forskrift om nydyrking ble utvidet fra å «unngå skade på natur- og kulturlandskap» til også å omfatte hensy</w:t>
      </w:r>
      <w:r>
        <w:t>net til klima. Forslaget om endring i nydyrkingsforskriften gikk i hovedsak ut på å innføre et forbud mot nydyrking av myr, men med mulighet for dispensasjon i særlige tilfeller. Departementet ba høringsinstansene om innspill når det gjaldt hvilke kriterie</w:t>
      </w:r>
      <w:r>
        <w:t>r som bør ligge til grunn for dispensasjon.</w:t>
      </w:r>
    </w:p>
    <w:p w:rsidR="00000000" w:rsidRDefault="00556C84" w:rsidP="0050705A">
      <w:r>
        <w:t>Følgende underlagsdokumenter fulgte som vedlegg til høringsnotatet:</w:t>
      </w:r>
    </w:p>
    <w:p w:rsidR="00000000" w:rsidRDefault="00556C84" w:rsidP="0050705A">
      <w:pPr>
        <w:pStyle w:val="opplisting"/>
      </w:pPr>
      <w:r>
        <w:t xml:space="preserve">NIBIO-rapport vol.: 2, nr.: 43, 2016 – </w:t>
      </w:r>
      <w:r>
        <w:rPr>
          <w:rStyle w:val="kursiv"/>
          <w:sz w:val="21"/>
          <w:szCs w:val="21"/>
        </w:rPr>
        <w:t xml:space="preserve">Kunnskapsgrunnlag om nydyrking av myr </w:t>
      </w:r>
    </w:p>
    <w:p w:rsidR="00000000" w:rsidRDefault="00556C84" w:rsidP="0050705A">
      <w:pPr>
        <w:pStyle w:val="opplisting"/>
      </w:pPr>
      <w:r>
        <w:t xml:space="preserve">NIBIO-notat av 29. mai 2017 – </w:t>
      </w:r>
      <w:r>
        <w:rPr>
          <w:rStyle w:val="kursiv"/>
          <w:sz w:val="21"/>
          <w:szCs w:val="21"/>
        </w:rPr>
        <w:t>Tilleggsutredning knyttet til kostna</w:t>
      </w:r>
      <w:r>
        <w:rPr>
          <w:rStyle w:val="kursiv"/>
          <w:sz w:val="21"/>
          <w:szCs w:val="21"/>
        </w:rPr>
        <w:t xml:space="preserve">dseffektivitet og klimaeffekter av forbud mot nydyrking av myr </w:t>
      </w:r>
    </w:p>
    <w:p w:rsidR="00000000" w:rsidRDefault="00556C84" w:rsidP="0050705A">
      <w:r>
        <w:t>Høringsforslaget ble sendt til følgende instanser:</w:t>
      </w:r>
    </w:p>
    <w:p w:rsidR="00000000" w:rsidRDefault="00556C84" w:rsidP="0050705A">
      <w:pPr>
        <w:pStyle w:val="opplisting"/>
      </w:pPr>
      <w:r>
        <w:t>Departementene</w:t>
      </w:r>
    </w:p>
    <w:p w:rsidR="00000000" w:rsidRDefault="00556C84" w:rsidP="0050705A">
      <w:r>
        <w:t xml:space="preserve">   </w:t>
      </w:r>
    </w:p>
    <w:p w:rsidR="00000000" w:rsidRDefault="00556C84" w:rsidP="0050705A">
      <w:pPr>
        <w:pStyle w:val="opplisting"/>
      </w:pPr>
      <w:r>
        <w:t>Fylkesmennene</w:t>
      </w:r>
    </w:p>
    <w:p w:rsidR="00000000" w:rsidRDefault="00556C84" w:rsidP="0050705A">
      <w:pPr>
        <w:pStyle w:val="opplisting"/>
      </w:pPr>
      <w:r>
        <w:t>Landbruksdirektoratet</w:t>
      </w:r>
    </w:p>
    <w:p w:rsidR="00000000" w:rsidRDefault="00556C84" w:rsidP="0050705A">
      <w:pPr>
        <w:pStyle w:val="opplisting"/>
      </w:pPr>
      <w:r>
        <w:t>Miljødirektoratet</w:t>
      </w:r>
    </w:p>
    <w:p w:rsidR="00000000" w:rsidRDefault="00556C84" w:rsidP="0050705A">
      <w:pPr>
        <w:pStyle w:val="opplisting"/>
      </w:pPr>
      <w:r>
        <w:t>Regelrådet</w:t>
      </w:r>
    </w:p>
    <w:p w:rsidR="00000000" w:rsidRDefault="00556C84" w:rsidP="0050705A">
      <w:pPr>
        <w:pStyle w:val="opplisting"/>
      </w:pPr>
      <w:r>
        <w:t>Sametinget</w:t>
      </w:r>
    </w:p>
    <w:p w:rsidR="00000000" w:rsidRDefault="00556C84" w:rsidP="0050705A">
      <w:r>
        <w:t xml:space="preserve">   </w:t>
      </w:r>
    </w:p>
    <w:p w:rsidR="00000000" w:rsidRDefault="00556C84" w:rsidP="0050705A">
      <w:pPr>
        <w:pStyle w:val="opplisting"/>
      </w:pPr>
      <w:r>
        <w:t>Fylkeskommunene</w:t>
      </w:r>
    </w:p>
    <w:p w:rsidR="00000000" w:rsidRDefault="00556C84" w:rsidP="0050705A">
      <w:pPr>
        <w:pStyle w:val="opplisting"/>
      </w:pPr>
      <w:r>
        <w:t>Kommunene</w:t>
      </w:r>
    </w:p>
    <w:p w:rsidR="00000000" w:rsidRDefault="00556C84" w:rsidP="0050705A">
      <w:pPr>
        <w:pStyle w:val="opplisting"/>
      </w:pPr>
      <w:r>
        <w:t>Kommunesektorens</w:t>
      </w:r>
      <w:r>
        <w:t xml:space="preserve"> interesse- og arbeidsgiverorganisasjon (KS) </w:t>
      </w:r>
    </w:p>
    <w:p w:rsidR="00000000" w:rsidRDefault="00556C84" w:rsidP="0050705A">
      <w:r>
        <w:t xml:space="preserve">   </w:t>
      </w:r>
    </w:p>
    <w:p w:rsidR="00000000" w:rsidRDefault="00556C84" w:rsidP="0050705A">
      <w:pPr>
        <w:pStyle w:val="opplisting"/>
      </w:pPr>
      <w:r>
        <w:t>Den Norske Advokatforening</w:t>
      </w:r>
    </w:p>
    <w:p w:rsidR="00000000" w:rsidRDefault="00556C84" w:rsidP="0050705A">
      <w:pPr>
        <w:pStyle w:val="opplisting"/>
      </w:pPr>
      <w:r>
        <w:t>Den Norske Turistforening</w:t>
      </w:r>
    </w:p>
    <w:p w:rsidR="00000000" w:rsidRDefault="00556C84" w:rsidP="0050705A">
      <w:pPr>
        <w:pStyle w:val="opplisting"/>
      </w:pPr>
      <w:r>
        <w:t>Friluftsrådenes Landsforbund</w:t>
      </w:r>
    </w:p>
    <w:p w:rsidR="00000000" w:rsidRDefault="00556C84" w:rsidP="0050705A">
      <w:pPr>
        <w:pStyle w:val="opplisting"/>
      </w:pPr>
      <w:r>
        <w:t>Norges Bondelag</w:t>
      </w:r>
    </w:p>
    <w:p w:rsidR="00000000" w:rsidRDefault="00556C84" w:rsidP="0050705A">
      <w:pPr>
        <w:pStyle w:val="opplisting"/>
      </w:pPr>
      <w:r>
        <w:t>Norges Naturvernforbund</w:t>
      </w:r>
    </w:p>
    <w:p w:rsidR="00000000" w:rsidRDefault="00556C84" w:rsidP="0050705A">
      <w:pPr>
        <w:pStyle w:val="opplisting"/>
      </w:pPr>
      <w:r>
        <w:lastRenderedPageBreak/>
        <w:t>Norges Skogeierforbund</w:t>
      </w:r>
    </w:p>
    <w:p w:rsidR="00000000" w:rsidRDefault="00556C84" w:rsidP="0050705A">
      <w:pPr>
        <w:pStyle w:val="opplisting"/>
      </w:pPr>
      <w:r>
        <w:t xml:space="preserve">Norsk Bonde- og Småbrukarlag </w:t>
      </w:r>
    </w:p>
    <w:p w:rsidR="00000000" w:rsidRDefault="00556C84" w:rsidP="0050705A">
      <w:pPr>
        <w:pStyle w:val="opplisting"/>
      </w:pPr>
      <w:r>
        <w:t>NORSKOG</w:t>
      </w:r>
    </w:p>
    <w:p w:rsidR="00000000" w:rsidRDefault="00556C84" w:rsidP="0050705A">
      <w:pPr>
        <w:pStyle w:val="opplisting"/>
      </w:pPr>
      <w:r>
        <w:t>SABIMA</w:t>
      </w:r>
    </w:p>
    <w:p w:rsidR="00000000" w:rsidRDefault="00556C84" w:rsidP="0050705A">
      <w:r>
        <w:t>Hør</w:t>
      </w:r>
      <w:r>
        <w:t xml:space="preserve">ingsforslaget ble også publisert elektronisk på regjeringen.no. </w:t>
      </w:r>
    </w:p>
    <w:p w:rsidR="00000000" w:rsidRDefault="00556C84" w:rsidP="0050705A">
      <w:pPr>
        <w:pStyle w:val="Overskrift2"/>
      </w:pPr>
      <w:r>
        <w:t>Uttalelser fra høringsinstansene</w:t>
      </w:r>
    </w:p>
    <w:p w:rsidR="00000000" w:rsidRDefault="00556C84" w:rsidP="0050705A">
      <w:r>
        <w:t>Høringsfristen utløp 11. oktober 2017. Departementet har imidlertid tatt hensyn til uttalelser mottatt fram til 20. oktober 2017. Kun et fåtall av hør</w:t>
      </w:r>
      <w:r>
        <w:t xml:space="preserve">ingsinstansene har uttalt seg om lovforslaget. Merknadene fra høringsinstansene er i all hovedsak knyttet til forslaget til endringer i nydyrkingsforskriften. </w:t>
      </w:r>
    </w:p>
    <w:p w:rsidR="00000000" w:rsidRDefault="00556C84" w:rsidP="0050705A">
      <w:r>
        <w:t>Totalt har departementet mottatt 163 høringsuttalelser. Om lag 50 høringsinstanser støtter depar</w:t>
      </w:r>
      <w:r>
        <w:t xml:space="preserve">tementets forslag, mens om lag 90 høringsuttalelser går imot. Resten av høringsuttalelsene er av mer nøytral karakter eller uten merknader. </w:t>
      </w:r>
    </w:p>
    <w:p w:rsidR="00000000" w:rsidRDefault="00556C84" w:rsidP="0050705A">
      <w:r>
        <w:t>Følgende instanser har avgitt uttalelse:</w:t>
      </w:r>
    </w:p>
    <w:p w:rsidR="00000000" w:rsidRDefault="00556C84" w:rsidP="0050705A">
      <w:pPr>
        <w:pStyle w:val="opplisting"/>
      </w:pPr>
      <w:r>
        <w:t>Landbruksdirektoratet</w:t>
      </w:r>
    </w:p>
    <w:p w:rsidR="00000000" w:rsidRDefault="00556C84" w:rsidP="0050705A">
      <w:pPr>
        <w:pStyle w:val="opplisting"/>
      </w:pPr>
      <w:r>
        <w:t>Miljødirektoratet</w:t>
      </w:r>
    </w:p>
    <w:p w:rsidR="00000000" w:rsidRDefault="00556C84" w:rsidP="0050705A">
      <w:pPr>
        <w:pStyle w:val="opplisting"/>
      </w:pPr>
      <w:r>
        <w:t>Regelrådet</w:t>
      </w:r>
    </w:p>
    <w:p w:rsidR="00000000" w:rsidRDefault="00556C84" w:rsidP="0050705A">
      <w:r>
        <w:t xml:space="preserve">   </w:t>
      </w:r>
    </w:p>
    <w:p w:rsidR="00000000" w:rsidRDefault="00556C84" w:rsidP="0050705A">
      <w:pPr>
        <w:pStyle w:val="opplisting"/>
      </w:pPr>
      <w:r>
        <w:t>Fylkesmannen i Aust</w:t>
      </w:r>
      <w:r>
        <w:t>- og Vest-Agder</w:t>
      </w:r>
    </w:p>
    <w:p w:rsidR="00000000" w:rsidRDefault="00556C84" w:rsidP="0050705A">
      <w:pPr>
        <w:pStyle w:val="opplisting"/>
      </w:pPr>
      <w:r>
        <w:t>Fylkesmannen i Finnmark</w:t>
      </w:r>
    </w:p>
    <w:p w:rsidR="00000000" w:rsidRDefault="00556C84" w:rsidP="0050705A">
      <w:pPr>
        <w:pStyle w:val="opplisting"/>
      </w:pPr>
      <w:r>
        <w:t>Fylkesmannen i Hedmark</w:t>
      </w:r>
    </w:p>
    <w:p w:rsidR="00000000" w:rsidRDefault="00556C84" w:rsidP="0050705A">
      <w:pPr>
        <w:pStyle w:val="opplisting"/>
      </w:pPr>
      <w:r>
        <w:t>Fylkesmannen i Hordaland</w:t>
      </w:r>
    </w:p>
    <w:p w:rsidR="00000000" w:rsidRDefault="00556C84" w:rsidP="0050705A">
      <w:pPr>
        <w:pStyle w:val="opplisting"/>
      </w:pPr>
      <w:r>
        <w:t>Fylkesmannen i Møre og Romsdal</w:t>
      </w:r>
    </w:p>
    <w:p w:rsidR="00000000" w:rsidRDefault="00556C84" w:rsidP="0050705A">
      <w:pPr>
        <w:pStyle w:val="opplisting"/>
      </w:pPr>
      <w:r>
        <w:t>Fylkesmannen i Nordland</w:t>
      </w:r>
    </w:p>
    <w:p w:rsidR="00000000" w:rsidRDefault="00556C84" w:rsidP="0050705A">
      <w:pPr>
        <w:pStyle w:val="opplisting"/>
      </w:pPr>
      <w:r>
        <w:t>Fylkesmannen i Nord-Trøndelag</w:t>
      </w:r>
    </w:p>
    <w:p w:rsidR="00000000" w:rsidRDefault="00556C84" w:rsidP="0050705A">
      <w:pPr>
        <w:pStyle w:val="opplisting"/>
      </w:pPr>
      <w:r>
        <w:t>Fylkesmannen i Oppland</w:t>
      </w:r>
    </w:p>
    <w:p w:rsidR="00000000" w:rsidRDefault="00556C84" w:rsidP="0050705A">
      <w:pPr>
        <w:pStyle w:val="opplisting"/>
      </w:pPr>
      <w:r>
        <w:t>Fylkesmannen i Oslo og Akershus</w:t>
      </w:r>
    </w:p>
    <w:p w:rsidR="00000000" w:rsidRDefault="00556C84" w:rsidP="0050705A">
      <w:pPr>
        <w:pStyle w:val="opplisting"/>
      </w:pPr>
      <w:r>
        <w:t>Fylkesmannen i Rogaland</w:t>
      </w:r>
    </w:p>
    <w:p w:rsidR="00000000" w:rsidRDefault="00556C84" w:rsidP="0050705A">
      <w:pPr>
        <w:pStyle w:val="opplisting"/>
      </w:pPr>
      <w:r>
        <w:t>Fylkesmannen i Sogn og Fjordane</w:t>
      </w:r>
    </w:p>
    <w:p w:rsidR="00000000" w:rsidRDefault="00556C84" w:rsidP="0050705A">
      <w:pPr>
        <w:pStyle w:val="opplisting"/>
      </w:pPr>
      <w:r>
        <w:t>Fylkesmannen i Sør-Trøndelag</w:t>
      </w:r>
    </w:p>
    <w:p w:rsidR="00000000" w:rsidRDefault="00556C84" w:rsidP="0050705A">
      <w:pPr>
        <w:pStyle w:val="opplisting"/>
      </w:pPr>
      <w:r>
        <w:t>Fylkesmannen i Telemark</w:t>
      </w:r>
    </w:p>
    <w:p w:rsidR="00000000" w:rsidRDefault="00556C84" w:rsidP="0050705A">
      <w:pPr>
        <w:pStyle w:val="opplisting"/>
      </w:pPr>
      <w:r>
        <w:t>Fylkesmannen i Vestfold</w:t>
      </w:r>
    </w:p>
    <w:p w:rsidR="00000000" w:rsidRDefault="00556C84" w:rsidP="0050705A">
      <w:r>
        <w:t xml:space="preserve">   </w:t>
      </w:r>
    </w:p>
    <w:p w:rsidR="00000000" w:rsidRDefault="00556C84" w:rsidP="0050705A">
      <w:pPr>
        <w:pStyle w:val="opplisting"/>
      </w:pPr>
      <w:r>
        <w:t>Finnmark fylkeskommune</w:t>
      </w:r>
    </w:p>
    <w:p w:rsidR="00000000" w:rsidRDefault="00556C84" w:rsidP="0050705A">
      <w:pPr>
        <w:pStyle w:val="opplisting"/>
      </w:pPr>
      <w:r>
        <w:t>Hordaland fylkeskommune</w:t>
      </w:r>
    </w:p>
    <w:p w:rsidR="00000000" w:rsidRDefault="00556C84" w:rsidP="0050705A">
      <w:pPr>
        <w:pStyle w:val="opplisting"/>
      </w:pPr>
      <w:r>
        <w:t>Nordland fylkeskommune</w:t>
      </w:r>
    </w:p>
    <w:p w:rsidR="00000000" w:rsidRDefault="00556C84" w:rsidP="0050705A">
      <w:pPr>
        <w:pStyle w:val="opplisting"/>
      </w:pPr>
      <w:r>
        <w:t>Trøndelag fylkeskommune</w:t>
      </w:r>
    </w:p>
    <w:p w:rsidR="00000000" w:rsidRDefault="00556C84" w:rsidP="0050705A">
      <w:pPr>
        <w:pStyle w:val="opplisting"/>
      </w:pPr>
      <w:r>
        <w:t>Østfold fylkeskommune</w:t>
      </w:r>
    </w:p>
    <w:p w:rsidR="00000000" w:rsidRDefault="00556C84" w:rsidP="0050705A">
      <w:pPr>
        <w:pStyle w:val="opplisting"/>
      </w:pPr>
      <w:r>
        <w:t>Alstahaug kommune</w:t>
      </w:r>
    </w:p>
    <w:p w:rsidR="00000000" w:rsidRDefault="00556C84" w:rsidP="0050705A">
      <w:pPr>
        <w:pStyle w:val="opplisting"/>
      </w:pPr>
      <w:r>
        <w:t>Andøy kom</w:t>
      </w:r>
      <w:r>
        <w:t>mune</w:t>
      </w:r>
    </w:p>
    <w:p w:rsidR="00000000" w:rsidRDefault="00556C84" w:rsidP="0050705A">
      <w:pPr>
        <w:pStyle w:val="opplisting"/>
      </w:pPr>
      <w:r>
        <w:t>Askvoll kommune</w:t>
      </w:r>
    </w:p>
    <w:p w:rsidR="00000000" w:rsidRDefault="00556C84" w:rsidP="0050705A">
      <w:pPr>
        <w:pStyle w:val="opplisting"/>
      </w:pPr>
      <w:r>
        <w:t>Ballangen kommune</w:t>
      </w:r>
    </w:p>
    <w:p w:rsidR="00000000" w:rsidRDefault="00556C84" w:rsidP="0050705A">
      <w:pPr>
        <w:pStyle w:val="opplisting"/>
      </w:pPr>
      <w:r>
        <w:t>Birkenes kommune</w:t>
      </w:r>
    </w:p>
    <w:p w:rsidR="00000000" w:rsidRDefault="00556C84" w:rsidP="0050705A">
      <w:pPr>
        <w:pStyle w:val="opplisting"/>
      </w:pPr>
      <w:r>
        <w:t>Bjerkreim kommune</w:t>
      </w:r>
    </w:p>
    <w:p w:rsidR="00000000" w:rsidRDefault="00556C84" w:rsidP="0050705A">
      <w:pPr>
        <w:pStyle w:val="opplisting"/>
      </w:pPr>
      <w:r>
        <w:t>Bærum kommune</w:t>
      </w:r>
    </w:p>
    <w:p w:rsidR="00000000" w:rsidRDefault="00556C84" w:rsidP="0050705A">
      <w:pPr>
        <w:pStyle w:val="opplisting"/>
      </w:pPr>
      <w:r>
        <w:t>Bø kommune (Nordland)</w:t>
      </w:r>
    </w:p>
    <w:p w:rsidR="00000000" w:rsidRDefault="00556C84" w:rsidP="0050705A">
      <w:pPr>
        <w:pStyle w:val="opplisting"/>
      </w:pPr>
      <w:r>
        <w:lastRenderedPageBreak/>
        <w:t>Eid kommune</w:t>
      </w:r>
    </w:p>
    <w:p w:rsidR="00000000" w:rsidRDefault="00556C84" w:rsidP="0050705A">
      <w:pPr>
        <w:pStyle w:val="opplisting"/>
      </w:pPr>
      <w:r>
        <w:t>Eidsvoll kommune</w:t>
      </w:r>
    </w:p>
    <w:p w:rsidR="00000000" w:rsidRDefault="00556C84" w:rsidP="0050705A">
      <w:pPr>
        <w:pStyle w:val="opplisting"/>
      </w:pPr>
      <w:r>
        <w:t>Engerdal kommune</w:t>
      </w:r>
    </w:p>
    <w:p w:rsidR="00000000" w:rsidRDefault="00556C84" w:rsidP="0050705A">
      <w:pPr>
        <w:pStyle w:val="opplisting"/>
      </w:pPr>
      <w:r>
        <w:t>Farsund kommune</w:t>
      </w:r>
    </w:p>
    <w:p w:rsidR="00000000" w:rsidRDefault="00556C84" w:rsidP="0050705A">
      <w:pPr>
        <w:pStyle w:val="opplisting"/>
      </w:pPr>
      <w:r>
        <w:t>Finnøy kommune</w:t>
      </w:r>
    </w:p>
    <w:p w:rsidR="00000000" w:rsidRDefault="00556C84" w:rsidP="0050705A">
      <w:pPr>
        <w:pStyle w:val="opplisting"/>
      </w:pPr>
      <w:r>
        <w:t>Fjaler kommune</w:t>
      </w:r>
    </w:p>
    <w:p w:rsidR="00000000" w:rsidRDefault="00556C84" w:rsidP="0050705A">
      <w:pPr>
        <w:pStyle w:val="opplisting"/>
      </w:pPr>
      <w:r>
        <w:t>Flekkefjord kommune</w:t>
      </w:r>
    </w:p>
    <w:p w:rsidR="00000000" w:rsidRDefault="00556C84" w:rsidP="0050705A">
      <w:pPr>
        <w:pStyle w:val="opplisting"/>
      </w:pPr>
      <w:r>
        <w:t>Fredrikstad kommune</w:t>
      </w:r>
    </w:p>
    <w:p w:rsidR="00000000" w:rsidRDefault="00556C84" w:rsidP="0050705A">
      <w:pPr>
        <w:pStyle w:val="opplisting"/>
      </w:pPr>
      <w:r>
        <w:t>Førde kommune</w:t>
      </w:r>
    </w:p>
    <w:p w:rsidR="00000000" w:rsidRDefault="00556C84" w:rsidP="0050705A">
      <w:pPr>
        <w:pStyle w:val="opplisting"/>
      </w:pPr>
      <w:r>
        <w:t>Gaular kommune</w:t>
      </w:r>
    </w:p>
    <w:p w:rsidR="00000000" w:rsidRDefault="00556C84" w:rsidP="0050705A">
      <w:pPr>
        <w:pStyle w:val="opplisting"/>
      </w:pPr>
      <w:r>
        <w:t>Gloppen kommune</w:t>
      </w:r>
    </w:p>
    <w:p w:rsidR="00000000" w:rsidRDefault="00556C84" w:rsidP="0050705A">
      <w:pPr>
        <w:pStyle w:val="opplisting"/>
      </w:pPr>
      <w:r>
        <w:t>Gol kommune</w:t>
      </w:r>
    </w:p>
    <w:p w:rsidR="00000000" w:rsidRDefault="00556C84" w:rsidP="0050705A">
      <w:pPr>
        <w:pStyle w:val="opplisting"/>
      </w:pPr>
      <w:r>
        <w:t>Hadsel kommune</w:t>
      </w:r>
    </w:p>
    <w:p w:rsidR="00000000" w:rsidRDefault="00556C84" w:rsidP="0050705A">
      <w:pPr>
        <w:pStyle w:val="opplisting"/>
      </w:pPr>
      <w:r>
        <w:t>Halsa kommune</w:t>
      </w:r>
    </w:p>
    <w:p w:rsidR="00000000" w:rsidRDefault="00556C84" w:rsidP="0050705A">
      <w:pPr>
        <w:pStyle w:val="opplisting"/>
      </w:pPr>
      <w:r>
        <w:t>Hattfjelldal kommune</w:t>
      </w:r>
    </w:p>
    <w:p w:rsidR="00000000" w:rsidRDefault="00556C84" w:rsidP="0050705A">
      <w:pPr>
        <w:pStyle w:val="opplisting"/>
      </w:pPr>
      <w:r>
        <w:t>Hemnes kommune</w:t>
      </w:r>
    </w:p>
    <w:p w:rsidR="00000000" w:rsidRDefault="00556C84" w:rsidP="0050705A">
      <w:pPr>
        <w:pStyle w:val="opplisting"/>
      </w:pPr>
      <w:r>
        <w:t>Hemsedal kommune</w:t>
      </w:r>
    </w:p>
    <w:p w:rsidR="00000000" w:rsidRDefault="00556C84" w:rsidP="0050705A">
      <w:pPr>
        <w:pStyle w:val="opplisting"/>
      </w:pPr>
      <w:r>
        <w:t>Hjelmeland kommune</w:t>
      </w:r>
    </w:p>
    <w:p w:rsidR="00000000" w:rsidRDefault="00556C84" w:rsidP="0050705A">
      <w:pPr>
        <w:pStyle w:val="opplisting"/>
      </w:pPr>
      <w:r>
        <w:t>Hol kommune</w:t>
      </w:r>
    </w:p>
    <w:p w:rsidR="00000000" w:rsidRDefault="00556C84" w:rsidP="0050705A">
      <w:pPr>
        <w:pStyle w:val="opplisting"/>
      </w:pPr>
      <w:r>
        <w:t>Hornindal kommune</w:t>
      </w:r>
    </w:p>
    <w:p w:rsidR="00000000" w:rsidRDefault="00556C84" w:rsidP="0050705A">
      <w:pPr>
        <w:pStyle w:val="opplisting"/>
      </w:pPr>
      <w:r>
        <w:t>Horten kommune</w:t>
      </w:r>
    </w:p>
    <w:p w:rsidR="00000000" w:rsidRDefault="00556C84" w:rsidP="0050705A">
      <w:pPr>
        <w:pStyle w:val="opplisting"/>
      </w:pPr>
      <w:r>
        <w:t>Hå kommune</w:t>
      </w:r>
    </w:p>
    <w:p w:rsidR="00000000" w:rsidRDefault="00556C84" w:rsidP="0050705A">
      <w:pPr>
        <w:pStyle w:val="opplisting"/>
      </w:pPr>
      <w:r>
        <w:t>Innherred samkommune (Levanger kommune og Verdal kommune</w:t>
      </w:r>
      <w:r>
        <w:t>)</w:t>
      </w:r>
    </w:p>
    <w:p w:rsidR="00000000" w:rsidRDefault="00556C84" w:rsidP="0050705A">
      <w:pPr>
        <w:pStyle w:val="opplisting"/>
      </w:pPr>
      <w:r>
        <w:t>Jølster kommune</w:t>
      </w:r>
    </w:p>
    <w:p w:rsidR="00000000" w:rsidRDefault="00556C84" w:rsidP="0050705A">
      <w:pPr>
        <w:pStyle w:val="opplisting"/>
      </w:pPr>
      <w:r>
        <w:t>Kvinesdal kommune</w:t>
      </w:r>
    </w:p>
    <w:p w:rsidR="00000000" w:rsidRDefault="00556C84" w:rsidP="0050705A">
      <w:pPr>
        <w:pStyle w:val="opplisting"/>
      </w:pPr>
      <w:r>
        <w:t>Landbruksforvaltningen ALMA (Audnedal kommune, Lindesnes kommune, Mandal kommune, Marnardal kommune)</w:t>
      </w:r>
    </w:p>
    <w:p w:rsidR="00000000" w:rsidRDefault="00556C84" w:rsidP="0050705A">
      <w:pPr>
        <w:pStyle w:val="opplisting"/>
      </w:pPr>
      <w:r>
        <w:t>Landbrukskontoret for Sel kommune og Vågå kommune</w:t>
      </w:r>
    </w:p>
    <w:p w:rsidR="00000000" w:rsidRDefault="00556C84" w:rsidP="0050705A">
      <w:pPr>
        <w:pStyle w:val="opplisting"/>
      </w:pPr>
      <w:r>
        <w:t>Landbrukskontoret Ørland kommune og Bjugn kommune</w:t>
      </w:r>
    </w:p>
    <w:p w:rsidR="00000000" w:rsidRDefault="00556C84" w:rsidP="0050705A">
      <w:pPr>
        <w:pStyle w:val="opplisting"/>
      </w:pPr>
      <w:r>
        <w:t>Leirfjord kommune</w:t>
      </w:r>
    </w:p>
    <w:p w:rsidR="00000000" w:rsidRDefault="00556C84" w:rsidP="0050705A">
      <w:pPr>
        <w:pStyle w:val="opplisting"/>
      </w:pPr>
      <w:r>
        <w:t>L</w:t>
      </w:r>
      <w:r>
        <w:t>ierne kommune</w:t>
      </w:r>
    </w:p>
    <w:p w:rsidR="00000000" w:rsidRDefault="00556C84" w:rsidP="0050705A">
      <w:pPr>
        <w:pStyle w:val="opplisting"/>
      </w:pPr>
      <w:r>
        <w:t>Lund kommune</w:t>
      </w:r>
    </w:p>
    <w:p w:rsidR="00000000" w:rsidRDefault="00556C84" w:rsidP="0050705A">
      <w:pPr>
        <w:pStyle w:val="opplisting"/>
      </w:pPr>
      <w:r>
        <w:t>Lurøy kommune</w:t>
      </w:r>
    </w:p>
    <w:p w:rsidR="00000000" w:rsidRDefault="00556C84" w:rsidP="0050705A">
      <w:pPr>
        <w:pStyle w:val="opplisting"/>
      </w:pPr>
      <w:r>
        <w:t>Lørenskog kommune</w:t>
      </w:r>
    </w:p>
    <w:p w:rsidR="00000000" w:rsidRDefault="00556C84" w:rsidP="0050705A">
      <w:pPr>
        <w:pStyle w:val="opplisting"/>
      </w:pPr>
      <w:r>
        <w:t>Malvik kommune</w:t>
      </w:r>
    </w:p>
    <w:p w:rsidR="00000000" w:rsidRDefault="00556C84" w:rsidP="0050705A">
      <w:pPr>
        <w:pStyle w:val="opplisting"/>
      </w:pPr>
      <w:r>
        <w:t>Midtre Namdal samkommune (Namsos kommune, Overhalla kommune, Namdalseid kommune og Fosnes kommune)</w:t>
      </w:r>
    </w:p>
    <w:p w:rsidR="00000000" w:rsidRDefault="00556C84" w:rsidP="0050705A">
      <w:pPr>
        <w:pStyle w:val="opplisting"/>
      </w:pPr>
      <w:r>
        <w:t>Midsund kommune</w:t>
      </w:r>
    </w:p>
    <w:p w:rsidR="00000000" w:rsidRDefault="00556C84" w:rsidP="0050705A">
      <w:pPr>
        <w:pStyle w:val="opplisting"/>
      </w:pPr>
      <w:r>
        <w:t>Nes kommune (Akershus)</w:t>
      </w:r>
    </w:p>
    <w:p w:rsidR="00000000" w:rsidRDefault="00556C84" w:rsidP="0050705A">
      <w:pPr>
        <w:pStyle w:val="opplisting"/>
      </w:pPr>
      <w:r>
        <w:t>Nittedal kommune</w:t>
      </w:r>
    </w:p>
    <w:p w:rsidR="00000000" w:rsidRDefault="00556C84" w:rsidP="0050705A">
      <w:pPr>
        <w:pStyle w:val="opplisting"/>
      </w:pPr>
      <w:r>
        <w:t>Nord-Fron kommune</w:t>
      </w:r>
    </w:p>
    <w:p w:rsidR="00000000" w:rsidRDefault="00556C84" w:rsidP="0050705A">
      <w:pPr>
        <w:pStyle w:val="opplisting"/>
      </w:pPr>
      <w:r>
        <w:t>Kommunene i Nordhordland (Austrheim kommune, Fedje kommune, Lindås kommune, Meland kommune og Radøy kommune)</w:t>
      </w:r>
    </w:p>
    <w:p w:rsidR="00000000" w:rsidRDefault="00556C84" w:rsidP="0050705A">
      <w:pPr>
        <w:pStyle w:val="opplisting"/>
      </w:pPr>
      <w:r>
        <w:t>Nore og Uvdal kommune</w:t>
      </w:r>
    </w:p>
    <w:p w:rsidR="00000000" w:rsidRDefault="00556C84" w:rsidP="0050705A">
      <w:pPr>
        <w:pStyle w:val="opplisting"/>
      </w:pPr>
      <w:r>
        <w:t>Nærøy kommune</w:t>
      </w:r>
    </w:p>
    <w:p w:rsidR="00000000" w:rsidRDefault="00556C84" w:rsidP="0050705A">
      <w:pPr>
        <w:pStyle w:val="opplisting"/>
      </w:pPr>
      <w:r>
        <w:t>Osen kommune</w:t>
      </w:r>
    </w:p>
    <w:p w:rsidR="00000000" w:rsidRDefault="00556C84" w:rsidP="0050705A">
      <w:pPr>
        <w:pStyle w:val="opplisting"/>
      </w:pPr>
      <w:r>
        <w:t>Oslo kommune</w:t>
      </w:r>
    </w:p>
    <w:p w:rsidR="00000000" w:rsidRDefault="00556C84" w:rsidP="0050705A">
      <w:pPr>
        <w:pStyle w:val="opplisting"/>
      </w:pPr>
      <w:r>
        <w:t>Radøy kommune</w:t>
      </w:r>
    </w:p>
    <w:p w:rsidR="00000000" w:rsidRDefault="00556C84" w:rsidP="0050705A">
      <w:pPr>
        <w:pStyle w:val="opplisting"/>
      </w:pPr>
      <w:r>
        <w:t>Rana kommune</w:t>
      </w:r>
    </w:p>
    <w:p w:rsidR="00000000" w:rsidRDefault="00556C84" w:rsidP="0050705A">
      <w:pPr>
        <w:pStyle w:val="opplisting"/>
      </w:pPr>
      <w:r>
        <w:t>Ringebu kommune</w:t>
      </w:r>
    </w:p>
    <w:p w:rsidR="00000000" w:rsidRDefault="00556C84" w:rsidP="0050705A">
      <w:pPr>
        <w:pStyle w:val="opplisting"/>
      </w:pPr>
      <w:r>
        <w:lastRenderedPageBreak/>
        <w:t>Rissa kommune</w:t>
      </w:r>
    </w:p>
    <w:p w:rsidR="00000000" w:rsidRDefault="00556C84" w:rsidP="0050705A">
      <w:pPr>
        <w:pStyle w:val="opplisting"/>
      </w:pPr>
      <w:r>
        <w:t>Rælingen kommune</w:t>
      </w:r>
    </w:p>
    <w:p w:rsidR="00000000" w:rsidRDefault="00556C84" w:rsidP="0050705A">
      <w:pPr>
        <w:pStyle w:val="opplisting"/>
      </w:pPr>
      <w:r>
        <w:t>Sande kommu</w:t>
      </w:r>
      <w:r>
        <w:t>ne</w:t>
      </w:r>
    </w:p>
    <w:p w:rsidR="00000000" w:rsidRDefault="00556C84" w:rsidP="0050705A">
      <w:pPr>
        <w:pStyle w:val="opplisting"/>
      </w:pPr>
      <w:r>
        <w:t>Ski kommune</w:t>
      </w:r>
    </w:p>
    <w:p w:rsidR="00000000" w:rsidRDefault="00556C84" w:rsidP="0050705A">
      <w:pPr>
        <w:pStyle w:val="opplisting"/>
      </w:pPr>
      <w:r>
        <w:t>Smøla kommune</w:t>
      </w:r>
    </w:p>
    <w:p w:rsidR="00000000" w:rsidRDefault="00556C84" w:rsidP="0050705A">
      <w:pPr>
        <w:pStyle w:val="opplisting"/>
      </w:pPr>
      <w:r>
        <w:t>Snillfjord kommune</w:t>
      </w:r>
    </w:p>
    <w:p w:rsidR="00000000" w:rsidRDefault="00556C84" w:rsidP="0050705A">
      <w:pPr>
        <w:pStyle w:val="opplisting"/>
      </w:pPr>
      <w:r>
        <w:t>Sortland kommune</w:t>
      </w:r>
    </w:p>
    <w:p w:rsidR="00000000" w:rsidRDefault="00556C84" w:rsidP="0050705A">
      <w:pPr>
        <w:pStyle w:val="opplisting"/>
      </w:pPr>
      <w:r>
        <w:t>Steinkjer kommune</w:t>
      </w:r>
    </w:p>
    <w:p w:rsidR="00000000" w:rsidRDefault="00556C84" w:rsidP="0050705A">
      <w:pPr>
        <w:pStyle w:val="opplisting"/>
      </w:pPr>
      <w:r>
        <w:t>Sveio kommune</w:t>
      </w:r>
    </w:p>
    <w:p w:rsidR="00000000" w:rsidRDefault="00556C84" w:rsidP="0050705A">
      <w:pPr>
        <w:pStyle w:val="opplisting"/>
      </w:pPr>
      <w:r>
        <w:t>Sømna kommune</w:t>
      </w:r>
    </w:p>
    <w:p w:rsidR="00000000" w:rsidRDefault="00556C84" w:rsidP="0050705A">
      <w:pPr>
        <w:pStyle w:val="opplisting"/>
      </w:pPr>
      <w:r>
        <w:t>Søre Sunnmøre landbrukskontor (Herøy kommune, Ulstein kommune og Hareid kommune)</w:t>
      </w:r>
    </w:p>
    <w:p w:rsidR="00000000" w:rsidRDefault="00556C84" w:rsidP="0050705A">
      <w:pPr>
        <w:pStyle w:val="opplisting"/>
      </w:pPr>
      <w:r>
        <w:t>Sør-Fron kommune</w:t>
      </w:r>
    </w:p>
    <w:p w:rsidR="00000000" w:rsidRDefault="00556C84" w:rsidP="0050705A">
      <w:pPr>
        <w:pStyle w:val="opplisting"/>
      </w:pPr>
      <w:r>
        <w:t>Time kommune</w:t>
      </w:r>
    </w:p>
    <w:p w:rsidR="00000000" w:rsidRDefault="00556C84" w:rsidP="0050705A">
      <w:pPr>
        <w:pStyle w:val="opplisting"/>
      </w:pPr>
      <w:r>
        <w:t>Trondheim kommune</w:t>
      </w:r>
    </w:p>
    <w:p w:rsidR="00000000" w:rsidRDefault="00556C84" w:rsidP="0050705A">
      <w:pPr>
        <w:pStyle w:val="opplisting"/>
      </w:pPr>
      <w:r>
        <w:t>Tønsberg kommune</w:t>
      </w:r>
    </w:p>
    <w:p w:rsidR="00000000" w:rsidRDefault="00556C84" w:rsidP="0050705A">
      <w:pPr>
        <w:pStyle w:val="opplisting"/>
      </w:pPr>
      <w:r>
        <w:t>Vefsn kommune</w:t>
      </w:r>
    </w:p>
    <w:p w:rsidR="00000000" w:rsidRDefault="00556C84" w:rsidP="0050705A">
      <w:pPr>
        <w:pStyle w:val="opplisting"/>
      </w:pPr>
      <w:r>
        <w:t>Vestnes kommune</w:t>
      </w:r>
    </w:p>
    <w:p w:rsidR="00000000" w:rsidRDefault="00556C84" w:rsidP="0050705A">
      <w:pPr>
        <w:pStyle w:val="opplisting"/>
      </w:pPr>
      <w:r>
        <w:t>Vestvågøy kommune</w:t>
      </w:r>
    </w:p>
    <w:p w:rsidR="00000000" w:rsidRDefault="00556C84" w:rsidP="0050705A">
      <w:pPr>
        <w:pStyle w:val="opplisting"/>
      </w:pPr>
      <w:r>
        <w:t>Vevelstad kommune</w:t>
      </w:r>
    </w:p>
    <w:p w:rsidR="00000000" w:rsidRDefault="00556C84" w:rsidP="0050705A">
      <w:pPr>
        <w:pStyle w:val="opplisting"/>
      </w:pPr>
      <w:r>
        <w:t>Vinje kommune</w:t>
      </w:r>
    </w:p>
    <w:p w:rsidR="00000000" w:rsidRDefault="00556C84" w:rsidP="0050705A">
      <w:pPr>
        <w:pStyle w:val="opplisting"/>
      </w:pPr>
      <w:r>
        <w:t>Volda kommune</w:t>
      </w:r>
    </w:p>
    <w:p w:rsidR="00000000" w:rsidRDefault="00556C84" w:rsidP="0050705A">
      <w:pPr>
        <w:pStyle w:val="opplisting"/>
      </w:pPr>
      <w:r>
        <w:t>Vågan kommune</w:t>
      </w:r>
    </w:p>
    <w:p w:rsidR="00000000" w:rsidRDefault="00556C84" w:rsidP="0050705A">
      <w:pPr>
        <w:pStyle w:val="opplisting"/>
      </w:pPr>
      <w:r>
        <w:t>Våler kommune</w:t>
      </w:r>
    </w:p>
    <w:p w:rsidR="00000000" w:rsidRDefault="00556C84" w:rsidP="0050705A">
      <w:pPr>
        <w:pStyle w:val="opplisting"/>
      </w:pPr>
      <w:r>
        <w:t>Øksnes kommune</w:t>
      </w:r>
    </w:p>
    <w:p w:rsidR="00000000" w:rsidRDefault="00556C84" w:rsidP="0050705A">
      <w:pPr>
        <w:pStyle w:val="opplisting"/>
      </w:pPr>
      <w:r>
        <w:t>Ørsta kommune</w:t>
      </w:r>
    </w:p>
    <w:p w:rsidR="00000000" w:rsidRDefault="00556C84" w:rsidP="0050705A">
      <w:pPr>
        <w:pStyle w:val="opplisting"/>
      </w:pPr>
      <w:r>
        <w:t>Ål kommune</w:t>
      </w:r>
    </w:p>
    <w:p w:rsidR="00000000" w:rsidRDefault="00556C84" w:rsidP="0050705A">
      <w:pPr>
        <w:pStyle w:val="opplisting"/>
      </w:pPr>
      <w:r>
        <w:t>Åmli kommune</w:t>
      </w:r>
    </w:p>
    <w:p w:rsidR="00000000" w:rsidRDefault="00556C84" w:rsidP="0050705A">
      <w:pPr>
        <w:pStyle w:val="opplisting"/>
      </w:pPr>
      <w:r>
        <w:t>Åsnes kommune</w:t>
      </w:r>
    </w:p>
    <w:p w:rsidR="00000000" w:rsidRDefault="00556C84" w:rsidP="0050705A">
      <w:r>
        <w:t xml:space="preserve">   </w:t>
      </w:r>
    </w:p>
    <w:p w:rsidR="00000000" w:rsidRDefault="00556C84" w:rsidP="0050705A">
      <w:pPr>
        <w:pStyle w:val="opplisting"/>
      </w:pPr>
      <w:r>
        <w:t>Advokatforeningen</w:t>
      </w:r>
    </w:p>
    <w:p w:rsidR="00000000" w:rsidRDefault="00556C84" w:rsidP="0050705A">
      <w:pPr>
        <w:pStyle w:val="opplisting"/>
      </w:pPr>
      <w:r>
        <w:t>Besteforeldrenes klimaaksjon</w:t>
      </w:r>
    </w:p>
    <w:p w:rsidR="00000000" w:rsidRDefault="00556C84" w:rsidP="0050705A">
      <w:pPr>
        <w:pStyle w:val="opplisting"/>
      </w:pPr>
      <w:r>
        <w:t>Bjerkreim Bondelag</w:t>
      </w:r>
    </w:p>
    <w:p w:rsidR="00000000" w:rsidRDefault="00556C84" w:rsidP="0050705A">
      <w:pPr>
        <w:pStyle w:val="opplisting"/>
      </w:pPr>
      <w:r>
        <w:t>Bjugn Bondelag</w:t>
      </w:r>
    </w:p>
    <w:p w:rsidR="00000000" w:rsidRDefault="00556C84" w:rsidP="0050705A">
      <w:pPr>
        <w:pStyle w:val="opplisting"/>
      </w:pPr>
      <w:r>
        <w:t>Fosen naturvernforening</w:t>
      </w:r>
    </w:p>
    <w:p w:rsidR="00000000" w:rsidRDefault="00556C84" w:rsidP="0050705A">
      <w:pPr>
        <w:pStyle w:val="opplisting"/>
      </w:pPr>
      <w:r>
        <w:t>Framtiden i våre hender</w:t>
      </w:r>
    </w:p>
    <w:p w:rsidR="00000000" w:rsidRDefault="00556C84" w:rsidP="0050705A">
      <w:pPr>
        <w:pStyle w:val="opplisting"/>
      </w:pPr>
      <w:r>
        <w:t>Glommen Skog</w:t>
      </w:r>
    </w:p>
    <w:p w:rsidR="00000000" w:rsidRDefault="00556C84" w:rsidP="0050705A">
      <w:pPr>
        <w:pStyle w:val="opplisting"/>
      </w:pPr>
      <w:r>
        <w:t>Hustad Bondelag</w:t>
      </w:r>
    </w:p>
    <w:p w:rsidR="00000000" w:rsidRDefault="00556C84" w:rsidP="0050705A">
      <w:pPr>
        <w:pStyle w:val="opplisting"/>
      </w:pPr>
      <w:r>
        <w:t>Indre Helgeland regionråd</w:t>
      </w:r>
    </w:p>
    <w:p w:rsidR="00000000" w:rsidRDefault="00556C84" w:rsidP="0050705A">
      <w:pPr>
        <w:pStyle w:val="opplisting"/>
      </w:pPr>
      <w:r>
        <w:t>KS</w:t>
      </w:r>
    </w:p>
    <w:p w:rsidR="00000000" w:rsidRDefault="00556C84" w:rsidP="0050705A">
      <w:pPr>
        <w:pStyle w:val="opplisting"/>
      </w:pPr>
      <w:r>
        <w:t>Lurøy Bondelag</w:t>
      </w:r>
    </w:p>
    <w:p w:rsidR="00000000" w:rsidRDefault="00556C84" w:rsidP="0050705A">
      <w:pPr>
        <w:pStyle w:val="opplisting"/>
      </w:pPr>
      <w:r>
        <w:t>Møre og Romsdal Bondelag</w:t>
      </w:r>
    </w:p>
    <w:p w:rsidR="00000000" w:rsidRDefault="00556C84" w:rsidP="0050705A">
      <w:pPr>
        <w:pStyle w:val="opplisting"/>
      </w:pPr>
      <w:r>
        <w:t>Natur og Ungdom</w:t>
      </w:r>
    </w:p>
    <w:p w:rsidR="00000000" w:rsidRDefault="00556C84" w:rsidP="0050705A">
      <w:pPr>
        <w:pStyle w:val="opplisting"/>
      </w:pPr>
      <w:r>
        <w:t>Naturvernforbundet</w:t>
      </w:r>
    </w:p>
    <w:p w:rsidR="00000000" w:rsidRDefault="00556C84" w:rsidP="0050705A">
      <w:pPr>
        <w:pStyle w:val="opplisting"/>
      </w:pPr>
      <w:r>
        <w:t>NIBIO</w:t>
      </w:r>
    </w:p>
    <w:p w:rsidR="00000000" w:rsidRDefault="00556C84" w:rsidP="0050705A">
      <w:pPr>
        <w:pStyle w:val="opplisting"/>
      </w:pPr>
      <w:r>
        <w:t xml:space="preserve">Nordisk </w:t>
      </w:r>
      <w:proofErr w:type="spellStart"/>
      <w:r>
        <w:t>kulturlandskapforum</w:t>
      </w:r>
      <w:proofErr w:type="spellEnd"/>
    </w:p>
    <w:p w:rsidR="00000000" w:rsidRDefault="00556C84" w:rsidP="0050705A">
      <w:pPr>
        <w:pStyle w:val="opplisting"/>
      </w:pPr>
      <w:r>
        <w:t xml:space="preserve">Norges </w:t>
      </w:r>
      <w:r>
        <w:t>Bondelag</w:t>
      </w:r>
    </w:p>
    <w:p w:rsidR="00000000" w:rsidRDefault="00556C84" w:rsidP="0050705A">
      <w:pPr>
        <w:pStyle w:val="opplisting"/>
      </w:pPr>
      <w:r>
        <w:t>Norges Bygdeungdomslag</w:t>
      </w:r>
    </w:p>
    <w:p w:rsidR="00000000" w:rsidRDefault="00556C84" w:rsidP="0050705A">
      <w:pPr>
        <w:pStyle w:val="opplisting"/>
      </w:pPr>
      <w:r>
        <w:t>Norsk Bonde- og Småbrukarlag</w:t>
      </w:r>
    </w:p>
    <w:p w:rsidR="00000000" w:rsidRDefault="00556C84" w:rsidP="0050705A">
      <w:pPr>
        <w:pStyle w:val="opplisting"/>
      </w:pPr>
      <w:r>
        <w:t>Norsk Gartnerforbund</w:t>
      </w:r>
    </w:p>
    <w:p w:rsidR="00000000" w:rsidRDefault="00556C84" w:rsidP="0050705A">
      <w:pPr>
        <w:pStyle w:val="opplisting"/>
      </w:pPr>
      <w:r>
        <w:t>Norsk Landbruksrådgivning</w:t>
      </w:r>
    </w:p>
    <w:p w:rsidR="00000000" w:rsidRDefault="00556C84" w:rsidP="0050705A">
      <w:pPr>
        <w:pStyle w:val="opplisting"/>
      </w:pPr>
      <w:r>
        <w:lastRenderedPageBreak/>
        <w:t xml:space="preserve">NORSKOG </w:t>
      </w:r>
    </w:p>
    <w:p w:rsidR="00000000" w:rsidRDefault="00556C84" w:rsidP="0050705A">
      <w:pPr>
        <w:pStyle w:val="opplisting"/>
      </w:pPr>
      <w:r>
        <w:t>Norsk Ornitologisk Forening</w:t>
      </w:r>
    </w:p>
    <w:p w:rsidR="00000000" w:rsidRDefault="00556C84" w:rsidP="0050705A">
      <w:pPr>
        <w:pStyle w:val="opplisting"/>
      </w:pPr>
      <w:r>
        <w:t>NTNU Vitenskapsmuseet</w:t>
      </w:r>
    </w:p>
    <w:p w:rsidR="00000000" w:rsidRDefault="00556C84" w:rsidP="0050705A">
      <w:pPr>
        <w:pStyle w:val="opplisting"/>
      </w:pPr>
      <w:r>
        <w:t>Rissa Bondelag</w:t>
      </w:r>
    </w:p>
    <w:p w:rsidR="00000000" w:rsidRDefault="00556C84" w:rsidP="0050705A">
      <w:pPr>
        <w:pStyle w:val="opplisting"/>
      </w:pPr>
      <w:r>
        <w:t>SABIMA</w:t>
      </w:r>
    </w:p>
    <w:p w:rsidR="00000000" w:rsidRDefault="00556C84" w:rsidP="0050705A">
      <w:pPr>
        <w:pStyle w:val="opplisting"/>
      </w:pPr>
      <w:r>
        <w:t>Spire</w:t>
      </w:r>
    </w:p>
    <w:p w:rsidR="00000000" w:rsidRDefault="00556C84" w:rsidP="0050705A">
      <w:pPr>
        <w:pStyle w:val="opplisting"/>
      </w:pPr>
      <w:r>
        <w:t>WWF</w:t>
      </w:r>
    </w:p>
    <w:p w:rsidR="00000000" w:rsidRDefault="00556C84" w:rsidP="0050705A">
      <w:pPr>
        <w:pStyle w:val="opplisting"/>
      </w:pPr>
      <w:r>
        <w:t>Ørland Bondelag</w:t>
      </w:r>
    </w:p>
    <w:p w:rsidR="00000000" w:rsidRDefault="00556C84" w:rsidP="0050705A">
      <w:r>
        <w:t>Departementet har i tillegg mottatt uttalelser og innspill fra flere privatpersoner.</w:t>
      </w:r>
    </w:p>
    <w:p w:rsidR="00000000" w:rsidRDefault="00556C84" w:rsidP="0050705A">
      <w:r>
        <w:t>Følgende høringsinstanser hadde ingen merknader til forslaget:</w:t>
      </w:r>
    </w:p>
    <w:p w:rsidR="00000000" w:rsidRDefault="00556C84" w:rsidP="0050705A">
      <w:pPr>
        <w:pStyle w:val="opplisting"/>
      </w:pPr>
      <w:r>
        <w:t>Arbeids- og sosialdepartementet</w:t>
      </w:r>
    </w:p>
    <w:p w:rsidR="00000000" w:rsidRDefault="00556C84" w:rsidP="0050705A">
      <w:pPr>
        <w:pStyle w:val="opplisting"/>
      </w:pPr>
      <w:r>
        <w:t>Forsvarsdepartementet</w:t>
      </w:r>
    </w:p>
    <w:p w:rsidR="00000000" w:rsidRDefault="00556C84" w:rsidP="0050705A">
      <w:pPr>
        <w:pStyle w:val="opplisting"/>
      </w:pPr>
      <w:r>
        <w:t>Helse- og omsorgsdepartementet</w:t>
      </w:r>
    </w:p>
    <w:p w:rsidR="00000000" w:rsidRDefault="00556C84" w:rsidP="0050705A">
      <w:pPr>
        <w:pStyle w:val="opplisting"/>
      </w:pPr>
      <w:r>
        <w:t>Kunnskapsdepartementet</w:t>
      </w:r>
    </w:p>
    <w:p w:rsidR="00000000" w:rsidRDefault="00556C84" w:rsidP="0050705A">
      <w:pPr>
        <w:pStyle w:val="opplisting"/>
      </w:pPr>
      <w:r>
        <w:t>Samferdselsdepartementet</w:t>
      </w:r>
    </w:p>
    <w:p w:rsidR="00000000" w:rsidRDefault="00556C84" w:rsidP="0050705A">
      <w:pPr>
        <w:pStyle w:val="opplisting"/>
      </w:pPr>
      <w:r>
        <w:t xml:space="preserve">Utenriksdepartementet </w:t>
      </w:r>
    </w:p>
    <w:p w:rsidR="00000000" w:rsidRDefault="00556C84" w:rsidP="0050705A">
      <w:r>
        <w:t xml:space="preserve">   </w:t>
      </w:r>
    </w:p>
    <w:p w:rsidR="00000000" w:rsidRDefault="00556C84" w:rsidP="0050705A">
      <w:pPr>
        <w:pStyle w:val="opplisting"/>
      </w:pPr>
      <w:r>
        <w:t xml:space="preserve">Norges vassdrags- og energidirektorat (NVE) </w:t>
      </w:r>
    </w:p>
    <w:p w:rsidR="00000000" w:rsidRDefault="00556C84" w:rsidP="0050705A">
      <w:pPr>
        <w:pStyle w:val="Overskrift2"/>
      </w:pPr>
      <w:r>
        <w:t xml:space="preserve">Uttalelser til forslaget om endring av jordloven § 11 </w:t>
      </w:r>
    </w:p>
    <w:p w:rsidR="00000000" w:rsidRDefault="00556C84" w:rsidP="0050705A">
      <w:r>
        <w:t>Det er få høringsins</w:t>
      </w:r>
      <w:r>
        <w:t>tanser som har uttalt seg om departementets forslag til endring av jordloven § 11 andre ledd. Endringen innebærer at regler om nydyrking, begrunnet ut fra behovet for redusert utslipp av klimagasser, kan fastsettes i forskrift. Når det gjelder forslaget om</w:t>
      </w:r>
      <w:r>
        <w:t xml:space="preserve"> å utvide hjemmelsgrunnlaget i jordloven, støtter </w:t>
      </w:r>
      <w:r>
        <w:rPr>
          <w:rStyle w:val="kursiv"/>
          <w:spacing w:val="-2"/>
          <w:sz w:val="21"/>
          <w:szCs w:val="21"/>
        </w:rPr>
        <w:t>Sande kommune</w:t>
      </w:r>
      <w:r>
        <w:t xml:space="preserve"> og </w:t>
      </w:r>
      <w:r>
        <w:rPr>
          <w:rStyle w:val="kursiv"/>
          <w:spacing w:val="-2"/>
          <w:sz w:val="21"/>
          <w:szCs w:val="21"/>
        </w:rPr>
        <w:t>Fredrikstad kommune</w:t>
      </w:r>
      <w:r>
        <w:t xml:space="preserve"> forslaget. </w:t>
      </w:r>
      <w:r>
        <w:rPr>
          <w:rStyle w:val="kursiv"/>
          <w:spacing w:val="-2"/>
          <w:sz w:val="21"/>
          <w:szCs w:val="21"/>
        </w:rPr>
        <w:t>Hjelmeland kommune, Nordland fylkeskommune</w:t>
      </w:r>
      <w:r>
        <w:t xml:space="preserve"> og </w:t>
      </w:r>
      <w:r>
        <w:rPr>
          <w:rStyle w:val="kursiv"/>
          <w:spacing w:val="-2"/>
          <w:sz w:val="21"/>
          <w:szCs w:val="21"/>
        </w:rPr>
        <w:t>Norsk Landbruksrådgivning</w:t>
      </w:r>
      <w:r>
        <w:t xml:space="preserve"> mener det ikke er behov for endring i jordloven. Det er for øvrig ingen hør</w:t>
      </w:r>
      <w:r>
        <w:t xml:space="preserve">ingsinstanser som går imot at klimahensynet tas inn i bestemmelsen. </w:t>
      </w:r>
    </w:p>
    <w:p w:rsidR="00000000" w:rsidRDefault="00556C84" w:rsidP="0050705A">
      <w:pPr>
        <w:pStyle w:val="Overskrift2"/>
      </w:pPr>
      <w:r>
        <w:t xml:space="preserve">Orientering om uttalelser til endringsforslagene i nydyrkingsforskriften </w:t>
      </w:r>
    </w:p>
    <w:p w:rsidR="00000000" w:rsidRDefault="00556C84" w:rsidP="0050705A">
      <w:pPr>
        <w:pStyle w:val="Overskrift3"/>
      </w:pPr>
      <w:r>
        <w:t>Innledning</w:t>
      </w:r>
    </w:p>
    <w:p w:rsidR="00000000" w:rsidRDefault="00556C84" w:rsidP="0050705A">
      <w:r>
        <w:t>Lovforslaget gjelder endring av jordloven § 11, samt forslag om redaksjonelle endr</w:t>
      </w:r>
      <w:r>
        <w:t>inger som omtalt i punkt 8.2. Forslaget til endring av jordloven må imidlertid ses i sammenheng med forslaget til endringer i nydyrkingsforskriften. Det var også bakgrunnen for at forslaget til regelendringer ble sendt i samme høringsbrev. Departementet vi</w:t>
      </w:r>
      <w:r>
        <w:t xml:space="preserve">l derfor kort redegjøre for høringsinstansenes merknader til endringsforslagene i nydyrkingsforskriften. </w:t>
      </w:r>
    </w:p>
    <w:p w:rsidR="00000000" w:rsidRDefault="00556C84" w:rsidP="0050705A">
      <w:pPr>
        <w:pStyle w:val="Overskrift3"/>
      </w:pPr>
      <w:r>
        <w:t>Et forbud mot nydyrking av myr</w:t>
      </w:r>
    </w:p>
    <w:p w:rsidR="00000000" w:rsidRDefault="00556C84" w:rsidP="0050705A">
      <w:r>
        <w:t>En gjennomgående merknad fra de høringsinstansene som er imot forslaget er at det er for dår</w:t>
      </w:r>
      <w:r>
        <w:t xml:space="preserve">lig utredet, herunder at det er for stor usikkerhet knyttet til forslaget. Det gjelder både beregningene rundt klimagassutslipp fra nydyrking av myr, og klimagassreduksjonene som et forbud anslås å kunne gi. </w:t>
      </w:r>
    </w:p>
    <w:p w:rsidR="00000000" w:rsidRDefault="00556C84" w:rsidP="0050705A">
      <w:r>
        <w:t>Flere høringsinstanser peker på at det fortsatt</w:t>
      </w:r>
      <w:r>
        <w:t xml:space="preserve"> er behov for å styrke kunnskapsgrunnlaget, blant annet knyttet til </w:t>
      </w:r>
      <w:proofErr w:type="spellStart"/>
      <w:r>
        <w:t>omgraving</w:t>
      </w:r>
      <w:proofErr w:type="spellEnd"/>
      <w:r>
        <w:t xml:space="preserve">, og at et forbud ikke bør iverksettes før en vet med sikkerhet om denne metoden kan gi redusert utslipp. Blant annet mener </w:t>
      </w:r>
      <w:r>
        <w:rPr>
          <w:rStyle w:val="kursiv"/>
          <w:sz w:val="21"/>
          <w:szCs w:val="21"/>
        </w:rPr>
        <w:t>Møre og Romsdal Bondelag</w:t>
      </w:r>
      <w:r>
        <w:t xml:space="preserve"> at et eventuelt forbud bør uts</w:t>
      </w:r>
      <w:r>
        <w:t xml:space="preserve">ettes, fordi kunnskapsgrunnlaget er usikkert. </w:t>
      </w:r>
      <w:r>
        <w:rPr>
          <w:rStyle w:val="kursiv"/>
          <w:sz w:val="21"/>
          <w:szCs w:val="21"/>
        </w:rPr>
        <w:t>Åsnes kommune</w:t>
      </w:r>
      <w:r>
        <w:t xml:space="preserve"> er blant dem som mener det er behov for mer forskning rundt </w:t>
      </w:r>
      <w:proofErr w:type="spellStart"/>
      <w:r>
        <w:t>omgraving</w:t>
      </w:r>
      <w:proofErr w:type="spellEnd"/>
      <w:r>
        <w:t xml:space="preserve">. </w:t>
      </w:r>
      <w:r>
        <w:rPr>
          <w:rStyle w:val="kursiv"/>
          <w:sz w:val="21"/>
          <w:szCs w:val="21"/>
        </w:rPr>
        <w:t xml:space="preserve">Trøndelag fylkeskommune </w:t>
      </w:r>
      <w:r>
        <w:t>peker på at det i høringen også burde vært belyst hvilken effekt et forbud vil ha med tanke på klimag</w:t>
      </w:r>
      <w:r>
        <w:t xml:space="preserve">asseffekten ved oppdyrking av alternative arealer. </w:t>
      </w:r>
      <w:r>
        <w:rPr>
          <w:rStyle w:val="kursiv"/>
          <w:sz w:val="21"/>
          <w:szCs w:val="21"/>
        </w:rPr>
        <w:t>Fylkesmannen i Nord-Trøndelag</w:t>
      </w:r>
      <w:r>
        <w:t xml:space="preserve"> viser til at forbud mot nydyrking av myr vil føre til økt press på andre dyrkbare alternativer, spesielt dyrkbar skogsmark. Fylkesmannen mener det er en mangel at rapporten ik</w:t>
      </w:r>
      <w:r>
        <w:t>ke tar opp klima</w:t>
      </w:r>
      <w:r>
        <w:lastRenderedPageBreak/>
        <w:t xml:space="preserve">påvirkningen av at annet areal vil bli dyrket opp dersom et forbud innføres. </w:t>
      </w:r>
      <w:r>
        <w:rPr>
          <w:rStyle w:val="kursiv"/>
          <w:sz w:val="21"/>
          <w:szCs w:val="21"/>
        </w:rPr>
        <w:t>Landbruksdirektoratet</w:t>
      </w:r>
      <w:r>
        <w:t xml:space="preserve"> mener også at effekten av eventuelt økt nydyrking av andre arealer burde vært vurdert.</w:t>
      </w:r>
    </w:p>
    <w:p w:rsidR="00000000" w:rsidRDefault="00556C84" w:rsidP="0050705A">
      <w:pPr>
        <w:rPr>
          <w:rStyle w:val="kursiv"/>
          <w:sz w:val="21"/>
          <w:szCs w:val="21"/>
        </w:rPr>
      </w:pPr>
      <w:r>
        <w:rPr>
          <w:rStyle w:val="kursiv"/>
          <w:sz w:val="21"/>
          <w:szCs w:val="21"/>
        </w:rPr>
        <w:t>Regelrådet</w:t>
      </w:r>
      <w:r>
        <w:t xml:space="preserve"> har i sin uttalelse konkludert med at forsl</w:t>
      </w:r>
      <w:r>
        <w:t>aget er tilstrekkelig utredet sett i lys av utredningsinstruksen.</w:t>
      </w:r>
    </w:p>
    <w:p w:rsidR="00000000" w:rsidRDefault="00556C84" w:rsidP="0050705A">
      <w:pPr>
        <w:rPr>
          <w:rStyle w:val="kursiv"/>
          <w:sz w:val="21"/>
          <w:szCs w:val="21"/>
        </w:rPr>
      </w:pPr>
      <w:r>
        <w:rPr>
          <w:rStyle w:val="kursiv"/>
          <w:sz w:val="21"/>
          <w:szCs w:val="21"/>
        </w:rPr>
        <w:t>Fylkesmannen i Oslo og Akershus</w:t>
      </w:r>
      <w:r>
        <w:t xml:space="preserve"> viser til at myr er viktig som karbonlager, og at forslaget om et forbud derfor er et fornuftig klimapolitisk tiltak. </w:t>
      </w:r>
      <w:r>
        <w:rPr>
          <w:rStyle w:val="kursiv"/>
          <w:sz w:val="21"/>
          <w:szCs w:val="21"/>
        </w:rPr>
        <w:t>Hordaland fylkeskommune</w:t>
      </w:r>
      <w:r>
        <w:t xml:space="preserve"> er også positiv </w:t>
      </w:r>
      <w:r>
        <w:t>til et forbud mot nydyrking av dyp myr som et klimapolitisk tiltak, men mener at når det gjelder grunn myr skal tillatelse vurderes i hvert enkelt tilfelle. Mange av høringsinstansene peker på det biologiske mangfoldet som finnes i myrområder, og at det er</w:t>
      </w:r>
      <w:r>
        <w:t xml:space="preserve"> viktig å ta vare på disse områdene. Både </w:t>
      </w:r>
      <w:r>
        <w:rPr>
          <w:rStyle w:val="kursiv"/>
          <w:sz w:val="21"/>
          <w:szCs w:val="21"/>
        </w:rPr>
        <w:t>Ski kommune</w:t>
      </w:r>
      <w:r>
        <w:t xml:space="preserve"> og </w:t>
      </w:r>
      <w:r>
        <w:rPr>
          <w:rStyle w:val="kursiv"/>
          <w:sz w:val="21"/>
          <w:szCs w:val="21"/>
        </w:rPr>
        <w:t>NVE</w:t>
      </w:r>
      <w:r>
        <w:t xml:space="preserve"> peker på myras egenskaper i forbindelse med </w:t>
      </w:r>
      <w:proofErr w:type="spellStart"/>
      <w:r>
        <w:t>flomvern</w:t>
      </w:r>
      <w:proofErr w:type="spellEnd"/>
      <w:r>
        <w:t xml:space="preserve">. Enkelte, herunder </w:t>
      </w:r>
      <w:r>
        <w:rPr>
          <w:rStyle w:val="kursiv"/>
          <w:sz w:val="21"/>
          <w:szCs w:val="21"/>
        </w:rPr>
        <w:t>NTNU Vitenskapsmuseet</w:t>
      </w:r>
      <w:r>
        <w:t xml:space="preserve">, </w:t>
      </w:r>
      <w:r>
        <w:rPr>
          <w:rStyle w:val="kursiv"/>
          <w:sz w:val="21"/>
          <w:szCs w:val="21"/>
        </w:rPr>
        <w:t>Fylkesmannen i Oslo og Akershus</w:t>
      </w:r>
      <w:r>
        <w:t xml:space="preserve">, </w:t>
      </w:r>
      <w:r>
        <w:rPr>
          <w:rStyle w:val="kursiv"/>
          <w:sz w:val="21"/>
          <w:szCs w:val="21"/>
        </w:rPr>
        <w:t>Fylkesmannen i Telemark</w:t>
      </w:r>
      <w:r>
        <w:t xml:space="preserve"> og </w:t>
      </w:r>
      <w:r>
        <w:rPr>
          <w:rStyle w:val="kursiv"/>
          <w:sz w:val="21"/>
          <w:szCs w:val="21"/>
        </w:rPr>
        <w:t>Miljødirektoratet,</w:t>
      </w:r>
      <w:r>
        <w:t xml:space="preserve"> viser til at forslage</w:t>
      </w:r>
      <w:r>
        <w:t>t er et enkelt og kostnadseffektivt klimatiltak.</w:t>
      </w:r>
    </w:p>
    <w:p w:rsidR="00000000" w:rsidRDefault="00556C84" w:rsidP="0050705A">
      <w:r>
        <w:t xml:space="preserve">Flere høringsinstanser peker på at et forbud er et altfor inngripende tiltak. </w:t>
      </w:r>
      <w:r>
        <w:rPr>
          <w:rStyle w:val="kursiv"/>
          <w:sz w:val="21"/>
          <w:szCs w:val="21"/>
        </w:rPr>
        <w:t>Norges Bygdeungdomslag</w:t>
      </w:r>
      <w:r>
        <w:t xml:space="preserve"> og </w:t>
      </w:r>
      <w:r>
        <w:rPr>
          <w:rStyle w:val="kursiv"/>
          <w:sz w:val="21"/>
          <w:szCs w:val="21"/>
        </w:rPr>
        <w:t>Norges Bondelag</w:t>
      </w:r>
      <w:r>
        <w:t xml:space="preserve"> er blant høringsinstansene som mener et forbud vil vanskeliggjøre matproduksjonen, og s</w:t>
      </w:r>
      <w:r>
        <w:t xml:space="preserve">åledes er i strid med regjeringens mål om økt matproduksjon. </w:t>
      </w:r>
      <w:r>
        <w:rPr>
          <w:rStyle w:val="kursiv"/>
          <w:sz w:val="21"/>
          <w:szCs w:val="21"/>
        </w:rPr>
        <w:t>Kvinesdal kommune</w:t>
      </w:r>
      <w:r>
        <w:t xml:space="preserve"> mener et forbud mot dyrking av myr vil slå uforholdsmessig hardt ut mot kommunens landbruksressurser og framtidig selvforsyningsevne. </w:t>
      </w:r>
      <w:r>
        <w:rPr>
          <w:rStyle w:val="kursiv"/>
          <w:sz w:val="21"/>
          <w:szCs w:val="21"/>
        </w:rPr>
        <w:t>Alstahaug kommune</w:t>
      </w:r>
      <w:r>
        <w:t xml:space="preserve"> mener produksjon av mat h</w:t>
      </w:r>
      <w:r>
        <w:t xml:space="preserve">ar en egenverdi som vanskelig kan holdes opp mot fossile utslipp. </w:t>
      </w:r>
      <w:r>
        <w:rPr>
          <w:rStyle w:val="kursiv"/>
          <w:sz w:val="21"/>
          <w:szCs w:val="21"/>
        </w:rPr>
        <w:t>Hattfjelldal kommune</w:t>
      </w:r>
      <w:r>
        <w:t xml:space="preserve"> understreker at gårdsbruk med myr som dyrkingsreserver vil få redusert utviklingspotensial. </w:t>
      </w:r>
      <w:r>
        <w:rPr>
          <w:rStyle w:val="kursiv"/>
          <w:sz w:val="21"/>
          <w:szCs w:val="21"/>
        </w:rPr>
        <w:t>Sømna kommune</w:t>
      </w:r>
      <w:r>
        <w:t xml:space="preserve"> og </w:t>
      </w:r>
      <w:r>
        <w:rPr>
          <w:rStyle w:val="kursiv"/>
          <w:sz w:val="21"/>
          <w:szCs w:val="21"/>
        </w:rPr>
        <w:t>Midtre Namdal samkommune</w:t>
      </w:r>
      <w:r>
        <w:t xml:space="preserve"> peker på at forbudet kan ramme enke</w:t>
      </w:r>
      <w:r>
        <w:t>lte bruk hardt, med mindre det åpnes for dispensasjonsmuligheter som er praktisk innrettet.</w:t>
      </w:r>
    </w:p>
    <w:p w:rsidR="00000000" w:rsidRDefault="00556C84" w:rsidP="0050705A">
      <w:pPr>
        <w:rPr>
          <w:rStyle w:val="kursiv"/>
          <w:sz w:val="21"/>
          <w:szCs w:val="21"/>
        </w:rPr>
      </w:pPr>
      <w:r>
        <w:rPr>
          <w:rStyle w:val="kursiv"/>
          <w:sz w:val="21"/>
          <w:szCs w:val="21"/>
        </w:rPr>
        <w:t>Steinkjer kommune, Rissa Bondelag</w:t>
      </w:r>
      <w:r>
        <w:t xml:space="preserve"> og </w:t>
      </w:r>
      <w:r>
        <w:rPr>
          <w:rStyle w:val="kursiv"/>
          <w:sz w:val="21"/>
          <w:szCs w:val="21"/>
        </w:rPr>
        <w:t xml:space="preserve">Fylkesmannen i Rogaland </w:t>
      </w:r>
      <w:r>
        <w:t xml:space="preserve">peker på at et forbud mot nydyrking av myr må ses i sammenheng med nedbygging av myr til andre formål, </w:t>
      </w:r>
      <w:r>
        <w:t xml:space="preserve">for eksempel samferdsel- eller boligutbygging. </w:t>
      </w:r>
      <w:r>
        <w:rPr>
          <w:rStyle w:val="kursiv"/>
          <w:sz w:val="21"/>
          <w:szCs w:val="21"/>
        </w:rPr>
        <w:t>Rissa Bondelag</w:t>
      </w:r>
      <w:r>
        <w:t xml:space="preserve"> mener det er urimelig at regjeringens klimatiltak i hovedsak skal gå utover produksjonsarealer og muligheten til å produsere mat, og ikke annen form for nedbygging. </w:t>
      </w:r>
      <w:r>
        <w:rPr>
          <w:rStyle w:val="kursiv"/>
          <w:sz w:val="21"/>
          <w:szCs w:val="21"/>
        </w:rPr>
        <w:t>Hemsedal kommune</w:t>
      </w:r>
      <w:r>
        <w:t xml:space="preserve"> peker på</w:t>
      </w:r>
      <w:r>
        <w:t xml:space="preserve"> at klimaeffekten ved et forbud vil bli redusert dersom det ikke innføres tilsvarende forbud mot annen nedbygging av myr.</w:t>
      </w:r>
    </w:p>
    <w:p w:rsidR="00000000" w:rsidRDefault="00556C84" w:rsidP="0050705A">
      <w:r>
        <w:t>Dersom det skal innføres et forbud, mener mange av de som er imot forslaget subsidiært at et forbud bare skal gjelde såkalt dyp myr.</w:t>
      </w:r>
    </w:p>
    <w:p w:rsidR="00000000" w:rsidRDefault="00556C84" w:rsidP="0050705A">
      <w:r>
        <w:t>M</w:t>
      </w:r>
      <w:r>
        <w:t xml:space="preserve">ange av fylkesmennene er positive til forslaget, men mener at myndigheten knyttet til dispensasjoner bør ligge hos fylkesmannen for å sikre likebehandling av slike saker. </w:t>
      </w:r>
      <w:r>
        <w:rPr>
          <w:rStyle w:val="kursiv"/>
          <w:sz w:val="21"/>
          <w:szCs w:val="21"/>
        </w:rPr>
        <w:t>Besteforeldrenes klimaaksjon</w:t>
      </w:r>
      <w:r>
        <w:t xml:space="preserve"> mener dispensasjonsmyndigheten bør ligge hos Landbruksdi</w:t>
      </w:r>
      <w:r>
        <w:t>rektoratet.</w:t>
      </w:r>
    </w:p>
    <w:p w:rsidR="00000000" w:rsidRDefault="00556C84" w:rsidP="0050705A">
      <w:pPr>
        <w:pStyle w:val="Overskrift3"/>
      </w:pPr>
      <w:r>
        <w:t>Dispensasjonsadgang eller et absolutt forbud</w:t>
      </w:r>
    </w:p>
    <w:p w:rsidR="00000000" w:rsidRDefault="00556C84" w:rsidP="0050705A">
      <w:r>
        <w:t>Blant de høringsinstansene som er positive til et forbud, er det imidlertid varierende synspunkter rundt både adgangen til å dispensere fra et forbud og rammene for en dispensasjonsadgang</w:t>
      </w:r>
      <w:r>
        <w:t xml:space="preserve">. Miljøorganisasjonene, representert ved </w:t>
      </w:r>
      <w:r>
        <w:rPr>
          <w:rStyle w:val="kursiv"/>
          <w:sz w:val="21"/>
          <w:szCs w:val="21"/>
        </w:rPr>
        <w:t>Fremtiden i våre hender</w:t>
      </w:r>
      <w:r>
        <w:t xml:space="preserve">, </w:t>
      </w:r>
      <w:r>
        <w:rPr>
          <w:rStyle w:val="kursiv"/>
          <w:sz w:val="21"/>
          <w:szCs w:val="21"/>
        </w:rPr>
        <w:t>SABIMA</w:t>
      </w:r>
      <w:r>
        <w:t xml:space="preserve">, </w:t>
      </w:r>
      <w:r>
        <w:rPr>
          <w:rStyle w:val="kursiv"/>
          <w:sz w:val="21"/>
          <w:szCs w:val="21"/>
        </w:rPr>
        <w:t>WWF</w:t>
      </w:r>
      <w:r>
        <w:t xml:space="preserve">, </w:t>
      </w:r>
      <w:r>
        <w:rPr>
          <w:rStyle w:val="kursiv"/>
          <w:sz w:val="21"/>
          <w:szCs w:val="21"/>
        </w:rPr>
        <w:t>Fosen naturvernforening</w:t>
      </w:r>
      <w:r>
        <w:t xml:space="preserve">, </w:t>
      </w:r>
      <w:r>
        <w:rPr>
          <w:rStyle w:val="kursiv"/>
          <w:sz w:val="21"/>
          <w:szCs w:val="21"/>
        </w:rPr>
        <w:t>Natur og ungdom</w:t>
      </w:r>
      <w:r>
        <w:t xml:space="preserve"> og </w:t>
      </w:r>
      <w:r>
        <w:rPr>
          <w:rStyle w:val="kursiv"/>
          <w:sz w:val="21"/>
          <w:szCs w:val="21"/>
        </w:rPr>
        <w:t>Naturvernforbundet,</w:t>
      </w:r>
      <w:r>
        <w:t xml:space="preserve"> er positive til forslaget, men vil i utgangspunktet ikke ha dispensasjonsadgang fra forbudet. Enkelte av disse, i</w:t>
      </w:r>
      <w:r>
        <w:t xml:space="preserve">nkludert </w:t>
      </w:r>
      <w:r>
        <w:rPr>
          <w:rStyle w:val="kursiv"/>
          <w:sz w:val="21"/>
          <w:szCs w:val="21"/>
        </w:rPr>
        <w:t>NTNU Vitenskapsmuseet</w:t>
      </w:r>
      <w:r>
        <w:t xml:space="preserve">, ønsker også at forbudet bør gjelde all myr – også den som er grunnere enn 30 cm. Både </w:t>
      </w:r>
      <w:r>
        <w:rPr>
          <w:rStyle w:val="kursiv"/>
          <w:sz w:val="21"/>
          <w:szCs w:val="21"/>
        </w:rPr>
        <w:t>Norsk Ornitologisk Forening</w:t>
      </w:r>
      <w:r>
        <w:t xml:space="preserve"> og </w:t>
      </w:r>
      <w:r>
        <w:rPr>
          <w:rStyle w:val="kursiv"/>
          <w:sz w:val="21"/>
          <w:szCs w:val="21"/>
        </w:rPr>
        <w:t>Miljødirektoratet</w:t>
      </w:r>
      <w:r>
        <w:t xml:space="preserve"> støtter et forbud uten dispensasjonsadgang. </w:t>
      </w:r>
      <w:r>
        <w:rPr>
          <w:rStyle w:val="kursiv"/>
          <w:sz w:val="21"/>
          <w:szCs w:val="21"/>
        </w:rPr>
        <w:t>Ski kommune</w:t>
      </w:r>
      <w:r>
        <w:t xml:space="preserve"> støtter også forslaget, men mener</w:t>
      </w:r>
      <w:r>
        <w:t xml:space="preserve"> dispensasjon fra forbudet mot nydyrking av myr kan svekke jordvernet. Ski kommune viser til at den beste matjorda i Norge er under </w:t>
      </w:r>
      <w:proofErr w:type="gramStart"/>
      <w:r>
        <w:t>stort utbyggingspress</w:t>
      </w:r>
      <w:proofErr w:type="gramEnd"/>
      <w:r>
        <w:t>, og at en mulighet for nydyrking av myr som kompensasjon for nedbygging av matjord vil øke dette press</w:t>
      </w:r>
      <w:r>
        <w:t xml:space="preserve">et ytterligere. </w:t>
      </w:r>
    </w:p>
    <w:p w:rsidR="00000000" w:rsidRDefault="00556C84" w:rsidP="0050705A">
      <w:r>
        <w:t xml:space="preserve">De fleste av de andre som støtter forslaget poengterer imidlertid at det er viktig med en dispensasjonsadgang. </w:t>
      </w:r>
      <w:r>
        <w:rPr>
          <w:rStyle w:val="kursiv"/>
          <w:sz w:val="21"/>
          <w:szCs w:val="21"/>
        </w:rPr>
        <w:t>Fylkesmannen i Telemark</w:t>
      </w:r>
      <w:r>
        <w:t xml:space="preserve"> mener blant annet at adgangen til å søke og få innvilget dispensasjon fra forbudet i særlige tilfeller, </w:t>
      </w:r>
      <w:r>
        <w:t xml:space="preserve">vil gjøre at forskriften kan forvaltes på en hensiktsmessig måte. En rekke uttalelser tar til orde for en romslig og fleksibel dispensasjonsadgang. </w:t>
      </w:r>
      <w:r>
        <w:rPr>
          <w:rStyle w:val="kursiv"/>
          <w:sz w:val="21"/>
          <w:szCs w:val="21"/>
        </w:rPr>
        <w:t>Hordaland fylkeskommune</w:t>
      </w:r>
      <w:r>
        <w:t xml:space="preserve">, </w:t>
      </w:r>
      <w:r>
        <w:rPr>
          <w:rStyle w:val="kursiv"/>
          <w:sz w:val="21"/>
          <w:szCs w:val="21"/>
        </w:rPr>
        <w:t>Bærum kommu</w:t>
      </w:r>
      <w:r>
        <w:rPr>
          <w:rStyle w:val="kursiv"/>
          <w:sz w:val="21"/>
          <w:szCs w:val="21"/>
        </w:rPr>
        <w:lastRenderedPageBreak/>
        <w:t>ne</w:t>
      </w:r>
      <w:r>
        <w:t xml:space="preserve"> og </w:t>
      </w:r>
      <w:r>
        <w:rPr>
          <w:rStyle w:val="kursiv"/>
          <w:sz w:val="21"/>
          <w:szCs w:val="21"/>
        </w:rPr>
        <w:t>Fylkesmannen i Møre og Romsdal</w:t>
      </w:r>
      <w:r>
        <w:t xml:space="preserve"> er blant disse. Andre uttalelser, r</w:t>
      </w:r>
      <w:r>
        <w:t xml:space="preserve">epresentert ved </w:t>
      </w:r>
      <w:r>
        <w:rPr>
          <w:rStyle w:val="kursiv"/>
          <w:sz w:val="21"/>
          <w:szCs w:val="21"/>
        </w:rPr>
        <w:t>Horten kommune</w:t>
      </w:r>
      <w:r>
        <w:t xml:space="preserve">, </w:t>
      </w:r>
      <w:r>
        <w:rPr>
          <w:rStyle w:val="kursiv"/>
          <w:sz w:val="21"/>
          <w:szCs w:val="21"/>
        </w:rPr>
        <w:t>Time kommune</w:t>
      </w:r>
      <w:r>
        <w:t xml:space="preserve"> og </w:t>
      </w:r>
      <w:r>
        <w:rPr>
          <w:rStyle w:val="kursiv"/>
          <w:sz w:val="21"/>
          <w:szCs w:val="21"/>
        </w:rPr>
        <w:t>Advokatforeningen</w:t>
      </w:r>
      <w:r>
        <w:t xml:space="preserve"> går i motsatt retning. Disse mener at dispensasjonsadgangen bør være begrenset.</w:t>
      </w:r>
    </w:p>
    <w:p w:rsidR="00000000" w:rsidRDefault="00556C84" w:rsidP="0050705A">
      <w:pPr>
        <w:pStyle w:val="Overskrift3"/>
      </w:pPr>
      <w:r>
        <w:t>Dispensasjonskriterier</w:t>
      </w:r>
    </w:p>
    <w:p w:rsidR="00000000" w:rsidRDefault="00556C84" w:rsidP="0050705A">
      <w:r>
        <w:t>I høringsnotatet foreslo departementet en adgang i forskriften til å</w:t>
      </w:r>
      <w:r>
        <w:t xml:space="preserve"> kunne dispensere fra forbudet i «særskilte tilfeller». Mange høringsinstanser har kommet med forslag til kriterier for en slik vurdering. Kriteriene retter seg både mot myras egenskaper, dyrkingsmetoder, driftshensyn og økonomiske hensyn m.m. Både </w:t>
      </w:r>
      <w:r>
        <w:rPr>
          <w:rStyle w:val="kursiv"/>
          <w:sz w:val="21"/>
          <w:szCs w:val="21"/>
        </w:rPr>
        <w:t>Landbru</w:t>
      </w:r>
      <w:r>
        <w:rPr>
          <w:rStyle w:val="kursiv"/>
          <w:sz w:val="21"/>
          <w:szCs w:val="21"/>
        </w:rPr>
        <w:t>ksdirektoratet</w:t>
      </w:r>
      <w:r>
        <w:t xml:space="preserve"> og </w:t>
      </w:r>
      <w:r>
        <w:rPr>
          <w:rStyle w:val="kursiv"/>
          <w:sz w:val="21"/>
          <w:szCs w:val="21"/>
        </w:rPr>
        <w:t>Østfold fylkeskommune</w:t>
      </w:r>
      <w:r>
        <w:t xml:space="preserve"> har trukket frem behovet for enkle og tydelige kriterier. </w:t>
      </w:r>
    </w:p>
    <w:p w:rsidR="00000000" w:rsidRDefault="00556C84" w:rsidP="0050705A">
      <w:pPr>
        <w:rPr>
          <w:rStyle w:val="kursiv"/>
          <w:sz w:val="21"/>
          <w:szCs w:val="21"/>
        </w:rPr>
      </w:pPr>
      <w:r>
        <w:rPr>
          <w:rStyle w:val="kursiv"/>
          <w:sz w:val="21"/>
          <w:szCs w:val="21"/>
        </w:rPr>
        <w:t>Nordland fylkeskommune, Bjerkreim kommune</w:t>
      </w:r>
      <w:r>
        <w:t xml:space="preserve"> og </w:t>
      </w:r>
      <w:r>
        <w:rPr>
          <w:rStyle w:val="kursiv"/>
          <w:sz w:val="21"/>
          <w:szCs w:val="21"/>
        </w:rPr>
        <w:t>Hå kommune</w:t>
      </w:r>
      <w:r>
        <w:t xml:space="preserve"> foreslår en dispensasjonsløsning hvor kommunen kan gi tillatelse basert på ulike selvstendige grunnla</w:t>
      </w:r>
      <w:r>
        <w:t xml:space="preserve">g, mens </w:t>
      </w:r>
      <w:r>
        <w:rPr>
          <w:rStyle w:val="kursiv"/>
          <w:sz w:val="21"/>
          <w:szCs w:val="21"/>
        </w:rPr>
        <w:t>Tønsberg kommune</w:t>
      </w:r>
      <w:r>
        <w:t xml:space="preserve"> har fremmet forslag om kumulative kriterier, det vil si at alle kriteriene må være oppfylt for at en dispensasjon til å dyrke myr kan gis. Høringsinstanser som </w:t>
      </w:r>
      <w:r>
        <w:rPr>
          <w:rStyle w:val="kursiv"/>
          <w:sz w:val="21"/>
          <w:szCs w:val="21"/>
        </w:rPr>
        <w:t>Miljødirektoratet</w:t>
      </w:r>
      <w:r>
        <w:t xml:space="preserve">, </w:t>
      </w:r>
      <w:r>
        <w:rPr>
          <w:rStyle w:val="kursiv"/>
          <w:sz w:val="21"/>
          <w:szCs w:val="21"/>
        </w:rPr>
        <w:t>Fylkesmannen i Hedmark</w:t>
      </w:r>
      <w:r>
        <w:t xml:space="preserve">, </w:t>
      </w:r>
      <w:r>
        <w:rPr>
          <w:rStyle w:val="kursiv"/>
          <w:sz w:val="21"/>
          <w:szCs w:val="21"/>
        </w:rPr>
        <w:t>Nordland fylkeskommune, Nord</w:t>
      </w:r>
      <w:r>
        <w:rPr>
          <w:rStyle w:val="kursiv"/>
          <w:sz w:val="21"/>
          <w:szCs w:val="21"/>
        </w:rPr>
        <w:t>-Fron kommune og Finnøy kommune</w:t>
      </w:r>
      <w:r>
        <w:t xml:space="preserve"> mener kommunen må foreta en helhetlig vurdering basert på flere momenter.</w:t>
      </w:r>
    </w:p>
    <w:p w:rsidR="00000000" w:rsidRDefault="00556C84" w:rsidP="0050705A">
      <w:r>
        <w:t xml:space="preserve">En rekke høringsinstanser mener det bør være en forutsetning for å gi dispensasjon at omsøkt areal består av grunn myr, og at det derfor vil innebære </w:t>
      </w:r>
      <w:r>
        <w:t xml:space="preserve">en klar avgrensning i dispensasjonsadgangen. </w:t>
      </w:r>
      <w:r>
        <w:rPr>
          <w:rStyle w:val="kursiv"/>
          <w:sz w:val="21"/>
          <w:szCs w:val="21"/>
        </w:rPr>
        <w:t xml:space="preserve">Miljødirektoratet </w:t>
      </w:r>
      <w:r>
        <w:t>og</w:t>
      </w:r>
      <w:r>
        <w:rPr>
          <w:rStyle w:val="kursiv"/>
          <w:sz w:val="21"/>
          <w:szCs w:val="21"/>
        </w:rPr>
        <w:t xml:space="preserve"> Tønsberg kommune,</w:t>
      </w:r>
      <w:r>
        <w:t xml:space="preserve"> viser til at myras betydning for naturmangfoldet bør være et moment i en dispensasjonsvurdering. </w:t>
      </w:r>
      <w:r>
        <w:rPr>
          <w:rStyle w:val="kursiv"/>
          <w:sz w:val="21"/>
          <w:szCs w:val="21"/>
        </w:rPr>
        <w:t>Fylkesmannen i Aust- og Vest-Agder</w:t>
      </w:r>
      <w:r>
        <w:t xml:space="preserve">, </w:t>
      </w:r>
      <w:r>
        <w:rPr>
          <w:rStyle w:val="kursiv"/>
          <w:sz w:val="21"/>
          <w:szCs w:val="21"/>
        </w:rPr>
        <w:t>Fylkesmannen i Møre og Romsdal</w:t>
      </w:r>
      <w:r>
        <w:t xml:space="preserve">, </w:t>
      </w:r>
      <w:r>
        <w:rPr>
          <w:rStyle w:val="kursiv"/>
          <w:sz w:val="21"/>
          <w:szCs w:val="21"/>
        </w:rPr>
        <w:t>Fylkesm</w:t>
      </w:r>
      <w:r>
        <w:rPr>
          <w:rStyle w:val="kursiv"/>
          <w:sz w:val="21"/>
          <w:szCs w:val="21"/>
        </w:rPr>
        <w:t>annen i Sogn og Fjordane</w:t>
      </w:r>
      <w:r>
        <w:t xml:space="preserve"> og </w:t>
      </w:r>
      <w:r>
        <w:rPr>
          <w:rStyle w:val="kursiv"/>
          <w:sz w:val="21"/>
          <w:szCs w:val="21"/>
        </w:rPr>
        <w:t>Finnøy kommune</w:t>
      </w:r>
      <w:r>
        <w:t xml:space="preserve"> har vist til at myrtype også vil kunne være et moment, herunder at omdanningsgraden av myra og myras næringsinnhold bør være en del av vurderingen i forbindelse med en dispensasjonssøknad. </w:t>
      </w:r>
    </w:p>
    <w:p w:rsidR="00000000" w:rsidRDefault="00556C84" w:rsidP="0050705A">
      <w:pPr>
        <w:rPr>
          <w:rStyle w:val="kursiv"/>
          <w:sz w:val="21"/>
          <w:szCs w:val="21"/>
        </w:rPr>
      </w:pPr>
      <w:r>
        <w:rPr>
          <w:rStyle w:val="kursiv"/>
          <w:sz w:val="21"/>
          <w:szCs w:val="21"/>
        </w:rPr>
        <w:t>Fylkesmannen i Vestfold</w:t>
      </w:r>
      <w:r>
        <w:rPr>
          <w:rStyle w:val="kursiv"/>
          <w:sz w:val="21"/>
          <w:szCs w:val="21"/>
        </w:rPr>
        <w:t>, Nordland fylkeskommune, Førde kommune, Nærøy kommune, Eidsvoll kommune, Hadsel kommune, Malvik kommune</w:t>
      </w:r>
      <w:r>
        <w:t xml:space="preserve">, samt </w:t>
      </w:r>
      <w:r>
        <w:rPr>
          <w:rStyle w:val="kursiv"/>
          <w:sz w:val="21"/>
          <w:szCs w:val="21"/>
        </w:rPr>
        <w:t>Norsk Landbruksrådgivning</w:t>
      </w:r>
      <w:r>
        <w:t xml:space="preserve"> har pekt på fordeler ved </w:t>
      </w:r>
      <w:proofErr w:type="spellStart"/>
      <w:r>
        <w:t>omgraving</w:t>
      </w:r>
      <w:proofErr w:type="spellEnd"/>
      <w:r>
        <w:t xml:space="preserve"> som dyrkingsmetode, og mener at muligheten for bruk av denne metoden bør være et mom</w:t>
      </w:r>
      <w:r>
        <w:t>ent i en dispensasjonsvurdering.</w:t>
      </w:r>
      <w:r>
        <w:rPr>
          <w:rStyle w:val="kursiv"/>
          <w:sz w:val="21"/>
          <w:szCs w:val="21"/>
        </w:rPr>
        <w:t xml:space="preserve"> Fylkesmannen i Hedmark </w:t>
      </w:r>
      <w:r>
        <w:t xml:space="preserve">mener </w:t>
      </w:r>
      <w:proofErr w:type="spellStart"/>
      <w:r>
        <w:t>omgraving</w:t>
      </w:r>
      <w:proofErr w:type="spellEnd"/>
      <w:r>
        <w:t xml:space="preserve"> bør kunne stilles som vilkår i en tillatelse.</w:t>
      </w:r>
    </w:p>
    <w:p w:rsidR="00000000" w:rsidRDefault="00556C84" w:rsidP="0050705A">
      <w:pPr>
        <w:rPr>
          <w:rStyle w:val="kursiv"/>
          <w:sz w:val="21"/>
          <w:szCs w:val="21"/>
        </w:rPr>
      </w:pPr>
      <w:r>
        <w:rPr>
          <w:rStyle w:val="kursiv"/>
          <w:sz w:val="21"/>
          <w:szCs w:val="21"/>
        </w:rPr>
        <w:t>Hå kommune, Bjerkreim kommune, Fylkesmannen i Sogn- og Fjordane, Trøndelag fylkeskommune, Nord-Fron kommune, Hemnes kommune og Jølster kom</w:t>
      </w:r>
      <w:r>
        <w:rPr>
          <w:rStyle w:val="kursiv"/>
          <w:sz w:val="21"/>
          <w:szCs w:val="21"/>
        </w:rPr>
        <w:t>mune</w:t>
      </w:r>
      <w:r>
        <w:t xml:space="preserve"> har vist til at </w:t>
      </w:r>
      <w:proofErr w:type="spellStart"/>
      <w:r>
        <w:t>arronderingsmessige</w:t>
      </w:r>
      <w:proofErr w:type="spellEnd"/>
      <w:r>
        <w:t xml:space="preserve"> hensyn bør være et moment i en dispensasjonsvurdering. Det kan for eksempel være der myrarealene ligger innimellom dyrkbar eller dyrka jord, eller i randsonen til eksisterende dyrka mark. Både </w:t>
      </w:r>
      <w:r>
        <w:rPr>
          <w:rStyle w:val="kursiv"/>
          <w:sz w:val="21"/>
          <w:szCs w:val="21"/>
        </w:rPr>
        <w:t>Fylkesmannen i Hedmark</w:t>
      </w:r>
      <w:r>
        <w:t xml:space="preserve"> og </w:t>
      </w:r>
      <w:r>
        <w:rPr>
          <w:rStyle w:val="kursiv"/>
          <w:sz w:val="21"/>
          <w:szCs w:val="21"/>
        </w:rPr>
        <w:t>Fylkesmannen i Vestfold</w:t>
      </w:r>
      <w:r>
        <w:t xml:space="preserve"> mener det bør kunne gis dispensasjon til dyrking av små myrpartier innenfor et større nydyrkingsareal av </w:t>
      </w:r>
      <w:proofErr w:type="spellStart"/>
      <w:r>
        <w:t>arronderingsmessige</w:t>
      </w:r>
      <w:proofErr w:type="spellEnd"/>
      <w:r>
        <w:t xml:space="preserve"> hensyn. </w:t>
      </w:r>
      <w:r>
        <w:rPr>
          <w:rStyle w:val="kursiv"/>
          <w:sz w:val="21"/>
          <w:szCs w:val="21"/>
        </w:rPr>
        <w:t>Øksnes kommune</w:t>
      </w:r>
      <w:r>
        <w:t xml:space="preserve"> mener også det bør være adgang til å dyrke myr for å</w:t>
      </w:r>
      <w:r>
        <w:t xml:space="preserve"> utvide eksisterende dyrka mark når tiltaket medfører en mer rasjonell utforming.</w:t>
      </w:r>
    </w:p>
    <w:p w:rsidR="00000000" w:rsidRDefault="00556C84" w:rsidP="0050705A">
      <w:r>
        <w:t xml:space="preserve">Flere høringsinstanser har trukket frem tilgangen til alternative arealer og avstanden til slike arealer. </w:t>
      </w:r>
      <w:r>
        <w:rPr>
          <w:rStyle w:val="kursiv"/>
          <w:sz w:val="21"/>
          <w:szCs w:val="21"/>
        </w:rPr>
        <w:t>Fylkesmannen i Hedmark</w:t>
      </w:r>
      <w:r>
        <w:t xml:space="preserve"> mener at det bør være et dispensasjonskriteri</w:t>
      </w:r>
      <w:r>
        <w:t xml:space="preserve">um om nydyrkingen vil bidra til vesentlig kortere transportavstander internt på driftsenheten. </w:t>
      </w:r>
      <w:r>
        <w:rPr>
          <w:rStyle w:val="kursiv"/>
          <w:sz w:val="21"/>
          <w:szCs w:val="21"/>
        </w:rPr>
        <w:t>Midtre Namdal samkommune</w:t>
      </w:r>
      <w:r>
        <w:t xml:space="preserve"> mener mulighet for jordleie og transportavstand bør være kriterier for dispensasjon, basert på avstand til leieareal og egen dyrkbar fas</w:t>
      </w:r>
      <w:r>
        <w:t>tmark.</w:t>
      </w:r>
    </w:p>
    <w:p w:rsidR="00000000" w:rsidRDefault="00556C84" w:rsidP="0050705A">
      <w:r>
        <w:t xml:space="preserve">Flere av høringsinstansene viser til eiendommens driftsgrunnlag, og at dispensasjon bør kunne gis når nydyrking av myr er eneste mulighet for å opprettholde landbruksproduksjonen. </w:t>
      </w:r>
      <w:r>
        <w:rPr>
          <w:rStyle w:val="kursiv"/>
          <w:sz w:val="21"/>
          <w:szCs w:val="21"/>
        </w:rPr>
        <w:t>Tønsberg kommune</w:t>
      </w:r>
      <w:r>
        <w:t xml:space="preserve"> mener at ett av flere kriterier bør være om nydyrkin</w:t>
      </w:r>
      <w:r>
        <w:t xml:space="preserve">g av myr er eneste mulighet for å opprettholde landbruksproduksjonen i kommunen. </w:t>
      </w:r>
      <w:r>
        <w:rPr>
          <w:rStyle w:val="kursiv"/>
          <w:sz w:val="21"/>
          <w:szCs w:val="21"/>
        </w:rPr>
        <w:t>Oslo kommune</w:t>
      </w:r>
      <w:r>
        <w:t xml:space="preserve"> mener dispensasjon til nydyrking av myr kan være aktuelt der det blir bygget ned matjord, og det ikke finnes andre alternativer enn nydyrking av myr for å opprett</w:t>
      </w:r>
      <w:r>
        <w:t xml:space="preserve">holde produksjonsgrunnlaget. </w:t>
      </w:r>
      <w:r>
        <w:rPr>
          <w:rStyle w:val="kursiv"/>
          <w:sz w:val="21"/>
          <w:szCs w:val="21"/>
        </w:rPr>
        <w:t>Søre Sunnmøre landbrukskontor</w:t>
      </w:r>
      <w:r>
        <w:t xml:space="preserve"> understreker behovet for å opprettholde produksjonsarealene, og at muligheten til å dyrke myr er viktig for å kompensere for nedbygging av jordbruksareal. Organisasjonen </w:t>
      </w:r>
      <w:r>
        <w:rPr>
          <w:rStyle w:val="kursiv"/>
          <w:sz w:val="21"/>
          <w:szCs w:val="21"/>
        </w:rPr>
        <w:t>Spire</w:t>
      </w:r>
      <w:r>
        <w:t xml:space="preserve"> uttaler at dispensasj</w:t>
      </w:r>
      <w:r>
        <w:t xml:space="preserve">on for eksempel må kunne gis i tilfeller hvor nydyrking av myr er den </w:t>
      </w:r>
      <w:r>
        <w:lastRenderedPageBreak/>
        <w:t xml:space="preserve">eneste muligheten for å </w:t>
      </w:r>
      <w:proofErr w:type="spellStart"/>
      <w:r>
        <w:t>oppretteholde</w:t>
      </w:r>
      <w:proofErr w:type="spellEnd"/>
      <w:r>
        <w:t xml:space="preserve"> jordbruksproduksjonen i området, eller det ikke finnes alternativer til nydyrking av myr innen en angitt avstand fra gårdstunet.</w:t>
      </w:r>
    </w:p>
    <w:p w:rsidR="00000000" w:rsidRDefault="00556C84" w:rsidP="0050705A">
      <w:r>
        <w:t>En vurdering av bed</w:t>
      </w:r>
      <w:r>
        <w:t xml:space="preserve">riftsøkonomiske hensyn som grunnlag for dispensasjon er trukket frem av </w:t>
      </w:r>
      <w:r>
        <w:rPr>
          <w:rStyle w:val="kursiv"/>
          <w:sz w:val="21"/>
          <w:szCs w:val="21"/>
        </w:rPr>
        <w:t>Fylkesmannen i Møre og Romsdal</w:t>
      </w:r>
      <w:r>
        <w:t xml:space="preserve">, </w:t>
      </w:r>
      <w:r>
        <w:rPr>
          <w:rStyle w:val="kursiv"/>
          <w:sz w:val="21"/>
          <w:szCs w:val="21"/>
        </w:rPr>
        <w:t xml:space="preserve">Sortland kommune </w:t>
      </w:r>
      <w:r>
        <w:t xml:space="preserve">og </w:t>
      </w:r>
      <w:r>
        <w:rPr>
          <w:rStyle w:val="kursiv"/>
          <w:sz w:val="21"/>
          <w:szCs w:val="21"/>
        </w:rPr>
        <w:t xml:space="preserve">Øksnes kommune. </w:t>
      </w:r>
      <w:r>
        <w:t>Øksnes kommune mener at dersom en bruksutbygging er basert på nydyrking, eller at tilleggsjord er kjøpt med tanke på</w:t>
      </w:r>
      <w:r>
        <w:t xml:space="preserve"> nydyrking, og innføring av forbud mot myrdyrking vil få store drifts- eller økonomiske konsekvenser for foretaket, bør det være dispensasjonsadgang. Kommunen mener også at dersom foretak i forbindelse med bruksutbygging kan dokumentere en betydelig bedrif</w:t>
      </w:r>
      <w:r>
        <w:t xml:space="preserve">tsøkonomisk fordel ved å nydyrke areal nært driftssenteret, bør det være adgang til å gi dispensasjon til dyrking av myr med myrdybde på mindre enn en meter. </w:t>
      </w:r>
    </w:p>
    <w:p w:rsidR="00000000" w:rsidRPr="0050705A" w:rsidRDefault="00556C84" w:rsidP="0050705A">
      <w:r>
        <w:rPr>
          <w:rStyle w:val="kursiv"/>
          <w:sz w:val="21"/>
          <w:szCs w:val="21"/>
        </w:rPr>
        <w:t xml:space="preserve">Landbrukskontoret Ørland og Bjugn, Nordland fylkeskommune, Osen kommune </w:t>
      </w:r>
      <w:r>
        <w:t>og</w:t>
      </w:r>
      <w:r>
        <w:rPr>
          <w:rStyle w:val="kursiv"/>
          <w:sz w:val="21"/>
          <w:szCs w:val="21"/>
        </w:rPr>
        <w:t xml:space="preserve"> Midtre Namdal samkommu</w:t>
      </w:r>
      <w:r>
        <w:rPr>
          <w:rStyle w:val="kursiv"/>
          <w:sz w:val="21"/>
          <w:szCs w:val="21"/>
        </w:rPr>
        <w:t>ne</w:t>
      </w:r>
      <w:r>
        <w:t xml:space="preserve"> mener en dispensasjonsbestemmelse bør være geografisk differensiert. Det vil si at det bør være lettere å få dispensasjon i områder der det av ulike grunner er et dokumentert behov for nydyrking av myr. </w:t>
      </w:r>
      <w:r>
        <w:rPr>
          <w:rStyle w:val="kursiv"/>
          <w:sz w:val="21"/>
          <w:szCs w:val="21"/>
        </w:rPr>
        <w:t>Smøla kommune</w:t>
      </w:r>
      <w:r>
        <w:t xml:space="preserve"> og </w:t>
      </w:r>
      <w:r>
        <w:rPr>
          <w:rStyle w:val="kursiv"/>
          <w:sz w:val="21"/>
          <w:szCs w:val="21"/>
        </w:rPr>
        <w:t xml:space="preserve">Fylkesmannen i Møre og Romsdal </w:t>
      </w:r>
      <w:r>
        <w:t>ha</w:t>
      </w:r>
      <w:r>
        <w:t>r tatt til orde for et generelt unntak for Sm</w:t>
      </w:r>
      <w:r w:rsidRPr="0050705A">
        <w:t>øla.</w:t>
      </w:r>
    </w:p>
    <w:p w:rsidR="00000000" w:rsidRDefault="00556C84" w:rsidP="0050705A">
      <w:pPr>
        <w:pStyle w:val="Overskrift1"/>
      </w:pPr>
      <w:r>
        <w:t>Gjeldende rett</w:t>
      </w:r>
    </w:p>
    <w:p w:rsidR="00000000" w:rsidRDefault="00556C84" w:rsidP="0050705A">
      <w:r>
        <w:t>Jordloven § 11 gir hjemmel for departementet til å kunne gi forskrifter på ulike områder. Første ledd gir departementet adgang til å gi bestemmelser i forskrift som skal sikre miljøfo</w:t>
      </w:r>
      <w:r>
        <w:t>rsvarlig drift av jordbruksareal. Andre ledd åpner for at departementet kan gi nærmere regler om nydyrking gjennom forskrift, mens departementet etter tredje ledd kan gi nærmere regler om planlegging, godkjenning og bygging av landbruksveier.</w:t>
      </w:r>
    </w:p>
    <w:p w:rsidR="00000000" w:rsidRDefault="00556C84" w:rsidP="0050705A">
      <w:r>
        <w:t>Jordloven § 1</w:t>
      </w:r>
      <w:r>
        <w:t xml:space="preserve">1 andre ledd som omhandler nydyrking lyder: «For å unngå skade på natur- og kulturlandskap, kan departementet gi føresegner for nydyrking. I føresegnene kan det </w:t>
      </w:r>
      <w:proofErr w:type="spellStart"/>
      <w:r>
        <w:t>fastsetjast</w:t>
      </w:r>
      <w:proofErr w:type="spellEnd"/>
      <w:r>
        <w:t xml:space="preserve"> </w:t>
      </w:r>
      <w:proofErr w:type="spellStart"/>
      <w:r>
        <w:t>forbod</w:t>
      </w:r>
      <w:proofErr w:type="spellEnd"/>
      <w:r>
        <w:t xml:space="preserve"> mot nydyrking og at nydyrking </w:t>
      </w:r>
      <w:proofErr w:type="spellStart"/>
      <w:r>
        <w:t>berre</w:t>
      </w:r>
      <w:proofErr w:type="spellEnd"/>
      <w:r>
        <w:t xml:space="preserve"> kan skje i samsvar med plan </w:t>
      </w:r>
      <w:proofErr w:type="spellStart"/>
      <w:r>
        <w:t>godkjend</w:t>
      </w:r>
      <w:proofErr w:type="spellEnd"/>
      <w:r>
        <w:t xml:space="preserve"> av </w:t>
      </w:r>
      <w:r>
        <w:t xml:space="preserve">departementet.» </w:t>
      </w:r>
    </w:p>
    <w:p w:rsidR="00000000" w:rsidRDefault="00556C84" w:rsidP="0050705A">
      <w:r>
        <w:t xml:space="preserve">Lovhjemmelen åpner for at forskrifter kan gis for å unngå skade på natur- og kulturlandskap. I forarbeidene til jordloven (Ot.prp. nr. 72 (1993–94) </w:t>
      </w:r>
      <w:proofErr w:type="spellStart"/>
      <w:r>
        <w:t>kap</w:t>
      </w:r>
      <w:proofErr w:type="spellEnd"/>
      <w:r>
        <w:t>. 5.2.4) er det gitt eksempler på hva som ligger i «natur- og kulturlandskap». Eksemplen</w:t>
      </w:r>
      <w:r>
        <w:t xml:space="preserve">e gir nærmere rammer for innholdet i forskriftshjemmelen: «Døme på dette er </w:t>
      </w:r>
      <w:proofErr w:type="spellStart"/>
      <w:r>
        <w:t>landskapsbiletet</w:t>
      </w:r>
      <w:proofErr w:type="spellEnd"/>
      <w:r>
        <w:t xml:space="preserve">, lokalklima, gamle kulturmarkstyper (slåttemark, </w:t>
      </w:r>
      <w:proofErr w:type="spellStart"/>
      <w:r>
        <w:t>hagemark</w:t>
      </w:r>
      <w:proofErr w:type="spellEnd"/>
      <w:r>
        <w:t xml:space="preserve"> m.m.) og </w:t>
      </w:r>
      <w:proofErr w:type="spellStart"/>
      <w:r>
        <w:t>biotopar</w:t>
      </w:r>
      <w:proofErr w:type="spellEnd"/>
      <w:r>
        <w:t xml:space="preserve">.» </w:t>
      </w:r>
    </w:p>
    <w:p w:rsidR="00000000" w:rsidRDefault="00556C84" w:rsidP="0050705A">
      <w:r>
        <w:t>Nydyrking er regulert gjennom nydyrkingsforskriften fra 1997 (FOR-1997-05-02-423). F</w:t>
      </w:r>
      <w:r>
        <w:t>orskriften er gitt med hjemmel i jordloven §§ 3 og 11. Formålet med forskriften er å sikre at nydyrking skjer på en måte som tar hensyn til natur- og kulturlandskap, jf. forskriften § 1. Det skal legges vekt på hensynet til miljøverdier som biologisk mangf</w:t>
      </w:r>
      <w:r>
        <w:t xml:space="preserve">old, kulturminner og landskapsbildet. Det skal for øvrig legges vekt på å sikre driftsmessig gode løsninger. </w:t>
      </w:r>
    </w:p>
    <w:p w:rsidR="00000000" w:rsidRDefault="00556C84" w:rsidP="0050705A">
      <w:pPr>
        <w:pStyle w:val="Overskrift1"/>
      </w:pPr>
      <w:r>
        <w:t>Departementets vurderinger</w:t>
      </w:r>
    </w:p>
    <w:p w:rsidR="00000000" w:rsidRDefault="00556C84" w:rsidP="0050705A">
      <w:pPr>
        <w:pStyle w:val="Overskrift2"/>
      </w:pPr>
      <w:r>
        <w:t xml:space="preserve">Endring av jordloven § 11 andre ledd </w:t>
      </w:r>
    </w:p>
    <w:p w:rsidR="00000000" w:rsidRDefault="00556C84" w:rsidP="0050705A">
      <w:r>
        <w:t>Stortinget ber i sitt vedtak om at det fremmes et forslag om forbud mot nydyrking av myr. Departementet peker på at innføring av et forbud vil innskrenke den private eiendomsretten. Legalitetsprinsippet forutsetter derfor at det må foreligge en tydelig lov</w:t>
      </w:r>
      <w:r>
        <w:t xml:space="preserve">hjemmel. </w:t>
      </w:r>
    </w:p>
    <w:p w:rsidR="00000000" w:rsidRDefault="00556C84" w:rsidP="0050705A">
      <w:r>
        <w:t>Det går fram av punkt 5 at verken jordloven eller nydyrkingsforskriften har bestemmelser med klare henvisninger til klima. I forarbeidene til loven (Ot.prp. nr. 72 (1993–94) side 48–49) er hensynet til å unngå skade på «lokalklima» trukket fram s</w:t>
      </w:r>
      <w:r>
        <w:t>om ett av flere hensyn som kan gi grunnlag for å fastsette forskrift om nydyrking. Departementet mener at det kan være tvil om begrepet lokalklima åpner for å kunne innfortolke hensynet til klima generelt i jordloven, og om loven slik den er i dag gir tils</w:t>
      </w:r>
      <w:r>
        <w:t xml:space="preserve">trekkelig hjemmel til å innføre et forbud mot nydyrking med utgangspunkt i globale klimahensyn. Departementet foreslår derfor at jordloven </w:t>
      </w:r>
      <w:r>
        <w:lastRenderedPageBreak/>
        <w:t>§ 11 andre ledd endres, slik at det ikke er tvil om at et slikt forbud kan innføres. Forslaget åpner også for at andr</w:t>
      </w:r>
      <w:r>
        <w:t>e forskriftsbestemmelser kan gis ut fra hensynet til å redusere utslipp av klimagasser ved nydyrking. Jordloven § 11 er en rendyrket hjemmelsbestemmelse uten materielt innhold. Departementet mener derfor at lovens systematikk tilsier at § 11 andre ledd vid</w:t>
      </w:r>
      <w:r>
        <w:t xml:space="preserve">ereføres som en hjemmelsbestemmelse, og at forbudet mot nydyrking av myr som Stortinget etterlyser, tas inn i nydyrkingsforskriften sammen med de øvrige materielle bestemmelsene. </w:t>
      </w:r>
    </w:p>
    <w:p w:rsidR="00000000" w:rsidRDefault="00556C84" w:rsidP="0050705A">
      <w:r>
        <w:t xml:space="preserve">Det har ikke kommet innvendinger i høringsrunden mot departementets forslag </w:t>
      </w:r>
      <w:r>
        <w:t>til endring av jordloven § 11 andre ledd. Departementets forslag til lovendring går fram av forslaget til lovvedtak.</w:t>
      </w:r>
    </w:p>
    <w:p w:rsidR="00000000" w:rsidRDefault="00556C84" w:rsidP="0050705A">
      <w:pPr>
        <w:pStyle w:val="Overskrift2"/>
      </w:pPr>
      <w:r>
        <w:t>Orientering om departementets vurderinger av høringsuttalelsene om forslaget til forskriftsendringer</w:t>
      </w:r>
    </w:p>
    <w:p w:rsidR="00000000" w:rsidRDefault="00556C84" w:rsidP="0050705A">
      <w:r>
        <w:t>Stortinget skal i denne propos</w:t>
      </w:r>
      <w:r>
        <w:t>isjonen behandle forslaget til endring av jordloven § 11 andre ledd, samt forslaget om redaksjonelle endringer som omtalt i punkt 8.2. Forslaget om endring av jordloven § 11 må imidlertid ses i sammenheng med forslaget til endringer i nydyrkingsforskriften</w:t>
      </w:r>
      <w:r>
        <w:t xml:space="preserve">. Det var også bakgrunnen for at forslaget til regelendringer ble sendt i samme høringsbrev. Departementet vil derfor kort redegjøre for noen hovedtrekk i departementets syn på høringsuttalelsene om forslaget til forskriftsendringer. </w:t>
      </w:r>
    </w:p>
    <w:p w:rsidR="00000000" w:rsidRDefault="00556C84" w:rsidP="0050705A">
      <w:pPr>
        <w:pStyle w:val="avsnitt-undertittel"/>
      </w:pPr>
      <w:r>
        <w:t>Beslutningsgrunnlaget</w:t>
      </w:r>
    </w:p>
    <w:p w:rsidR="00000000" w:rsidRDefault="00556C84" w:rsidP="0050705A">
      <w:r>
        <w:t>En overveiende andel av høringsinstansene som går imot forslaget til forskriftsendringer, har pekt på at forslaget er for dårlig utredet, og at det blant annet er knyttet stor usikkerhet til beregningene av klimagassutslippet ved dyrking av myr. Disse hør</w:t>
      </w:r>
      <w:r>
        <w:t xml:space="preserve">ingsinstansene mener derfor at beslutningsgrunnlaget ikke er godt nok for å innføre et forbud mot nydyrking av myr. Departementet viser til at </w:t>
      </w:r>
      <w:proofErr w:type="spellStart"/>
      <w:r>
        <w:t>NIBIOs</w:t>
      </w:r>
      <w:proofErr w:type="spellEnd"/>
      <w:r>
        <w:t xml:space="preserve"> utredninger sammenstiller eksisterende kunnskap rundt nydyrking av myr, noe som ikke har blitt gjort tidli</w:t>
      </w:r>
      <w:r>
        <w:t>gere. Disse utredningene viser imidlertid at det er stor variasjon og usikkerhet i tallgrunnlaget for omfanget av nydyrking av myr. Det må derfor tas høyde for at effekten av et forbud vil kunne bli justert basert på ny kunnskap.</w:t>
      </w:r>
    </w:p>
    <w:p w:rsidR="00000000" w:rsidRDefault="00556C84" w:rsidP="0050705A">
      <w:r>
        <w:t>Utslippsberegninger og ber</w:t>
      </w:r>
      <w:r>
        <w:t xml:space="preserve">egning av økonomiske konsekvenser på landbruksområdet vil i stor grad være basert på kvalifiserte anslag. Det at det er knyttet usikkerhet til tallfesting av klimagassutslipp fra jordbruket er også pekt på av SSB i rapport 2017/41 </w:t>
      </w:r>
      <w:r>
        <w:rPr>
          <w:rStyle w:val="kursiv"/>
          <w:sz w:val="21"/>
          <w:szCs w:val="21"/>
        </w:rPr>
        <w:t xml:space="preserve">Jordbruk og Miljø 2017 – </w:t>
      </w:r>
      <w:r>
        <w:rPr>
          <w:rStyle w:val="kursiv"/>
          <w:sz w:val="21"/>
          <w:szCs w:val="21"/>
        </w:rPr>
        <w:t>Tilstand og utvikling.</w:t>
      </w:r>
      <w:r>
        <w:t xml:space="preserve"> SSB viser til at usikkerheten henger sammen med at klimagassutslippene er dominert av lystgass og metan fra biologiske prosesser der variasjonen i utslippene kan være stor. Departementet viser for øvrig til uttalelsen fra Regelrådet </w:t>
      </w:r>
      <w:r>
        <w:t xml:space="preserve">som mener forslaget er tilstrekkelig utredet. Departementet legger til grunn at anslagene både knyttet til klimagassberegningene og til de økonomiske konsekvensene ved forslaget må anses tilstrekkelig utredet for å danne et beslutningsgrunnlag. </w:t>
      </w:r>
    </w:p>
    <w:p w:rsidR="00000000" w:rsidRDefault="00556C84" w:rsidP="0050705A">
      <w:pPr>
        <w:pStyle w:val="avsnitt-undertittel"/>
      </w:pPr>
      <w:r>
        <w:t>Forbudet m</w:t>
      </w:r>
      <w:r>
        <w:t>ot nydyrking av myr</w:t>
      </w:r>
    </w:p>
    <w:p w:rsidR="00000000" w:rsidRDefault="00556C84" w:rsidP="0050705A">
      <w:r>
        <w:t>Departementet viser til at forslaget til restriksjoner i adgangen til å dyrke myr er begrunnet ut i fra klimahensyn. Endringene i nydyrkingsforskriften bør gjenspeile dette.</w:t>
      </w:r>
    </w:p>
    <w:p w:rsidR="00000000" w:rsidRDefault="00556C84" w:rsidP="0050705A">
      <w:r>
        <w:t>Departementet mener hovedregelen bør vær</w:t>
      </w:r>
      <w:r>
        <w:t xml:space="preserve">e at nydyrking av myr ikke skal være tillatt av hensyn til klima. Dette bør gå fram av nydyrkingsforskriften som en egen bestemmelse. </w:t>
      </w:r>
    </w:p>
    <w:p w:rsidR="00000000" w:rsidRDefault="00556C84" w:rsidP="0050705A">
      <w:r>
        <w:t>Bestemmelsen vil imidlertid, i tråd med høringsforslaget, inneholde en dispensasjons-adgang som åpner for at kommunen kan</w:t>
      </w:r>
      <w:r>
        <w:t xml:space="preserve"> gi tillatelse til nydyrking av myrarealer i særlige tilfeller. Departementet legger til grunn at kommunen også skal være ansvarlig myndighet for behandling av søknader om dispensasjon fra forbudet. Dispensasjonsbestemmelsen vil inneholde strenge vilkår.</w:t>
      </w:r>
    </w:p>
    <w:p w:rsidR="00000000" w:rsidRDefault="00556C84" w:rsidP="0050705A">
      <w:r>
        <w:lastRenderedPageBreak/>
        <w:t>H</w:t>
      </w:r>
      <w:r>
        <w:t>øringsinstansene har fremmet en rekke forslag til dispensasjonskriterier. På bakgrunn av blant annet innspill fra høringsinstansene, legger departementet til grunn følgende rammer for dispensasjonsbestemmelsen i nydyrkingsforskriften:</w:t>
      </w:r>
    </w:p>
    <w:p w:rsidR="00000000" w:rsidRDefault="00556C84" w:rsidP="0050705A">
      <w:pPr>
        <w:pStyle w:val="Liste"/>
      </w:pPr>
      <w:r>
        <w:t xml:space="preserve">Dispensasjon til </w:t>
      </w:r>
      <w:r>
        <w:t xml:space="preserve">å dyrke myr vil bare kunne gis dersom myrarealet har en gjennomsnittsdybde på under 1 meter. </w:t>
      </w:r>
    </w:p>
    <w:p w:rsidR="00000000" w:rsidRDefault="00556C84" w:rsidP="0050705A">
      <w:pPr>
        <w:pStyle w:val="Liste"/>
      </w:pPr>
      <w:r>
        <w:t>Dispensasjon vil videre bare kunne gis i «særlige tilfeller», og dispensasjonsvurderingen som skal foretas av kommunen vil knyttes opp mot søkers behov for å</w:t>
      </w:r>
      <w:r>
        <w:t xml:space="preserve"> opprettholde driftsgrunnlaget. Det kan for eksempel være aktuelt å gi dispensasjon hvor eieren mister andre produksjonsarealer på grunn av utbygging, samferdselstiltak eller lignende. Det kan også være aktuelt å gi dispensasjon i de tilfellene hvor grunne</w:t>
      </w:r>
      <w:r>
        <w:t>ierens tilgang til leiejord bortfaller, slik at grunneieren må dyrke myr for å kunne opprettholde driften.</w:t>
      </w:r>
    </w:p>
    <w:p w:rsidR="00000000" w:rsidRDefault="00556C84" w:rsidP="0050705A">
      <w:pPr>
        <w:pStyle w:val="Liste"/>
      </w:pPr>
      <w:r>
        <w:t>Behovet for å opprettholde driftsgrunnlaget må i tillegg tilsi at både hensynet til natur- og kulturlandskapsverdiene og hensynet til klima må vi</w:t>
      </w:r>
      <w:r>
        <w:t xml:space="preserve">ke. </w:t>
      </w:r>
    </w:p>
    <w:p w:rsidR="00000000" w:rsidRDefault="00556C84" w:rsidP="0050705A">
      <w:pPr>
        <w:pStyle w:val="Liste"/>
      </w:pPr>
      <w:r>
        <w:t xml:space="preserve">Dispensasjonsadgangen må også bygge på vurderinger knyttet til myrarealets størrelse, og om det er mulig å ta i bruk dokumenterte klimagassreduserende dyrkingsmetoder. </w:t>
      </w:r>
    </w:p>
    <w:p w:rsidR="00000000" w:rsidRDefault="00556C84" w:rsidP="0050705A">
      <w:pPr>
        <w:pStyle w:val="Liste"/>
      </w:pPr>
      <w:r>
        <w:t>Departementet mener videre at det er søkeren som må dokumentere at det oms</w:t>
      </w:r>
      <w:r>
        <w:t xml:space="preserve">økte tiltaket er av vesentlig betydning for å opprettholde drifta. I tillegg må søkeren dokumentere at det omsøkte myrarealet har en gjennomsnittsdybde på under 1 meter. </w:t>
      </w:r>
    </w:p>
    <w:p w:rsidR="00000000" w:rsidRDefault="00556C84" w:rsidP="0050705A">
      <w:pPr>
        <w:pStyle w:val="Overskrift1"/>
      </w:pPr>
      <w:r>
        <w:t>Økonomiske og administrative konsekvenser</w:t>
      </w:r>
    </w:p>
    <w:p w:rsidR="00000000" w:rsidRDefault="00556C84" w:rsidP="0050705A">
      <w:r>
        <w:t>Forslaget til endringen i jordloven</w:t>
      </w:r>
      <w:r>
        <w:t xml:space="preserve"> § 11 andre ledd utvider hjemmelsgrunnlaget for departementet til å kunne gi nærmere regler om nydyrking gjennom forskrift. Lovforslaget vil således ikke medføre verken økonomiske eller administrative konsekvenser. </w:t>
      </w:r>
    </w:p>
    <w:p w:rsidR="00000000" w:rsidRDefault="00556C84" w:rsidP="0050705A">
      <w:r>
        <w:t>Når det gjelder forslaget om endringer i</w:t>
      </w:r>
      <w:r>
        <w:t xml:space="preserve"> nydyrkingsforskriften, er konsekvenser for næringsdrivende omtalt i punkt 3.2.2. Kommunene vil for øvrig kunne få noe merarbeid i forbindelse med behandling av dispensasjonssøknader når det gjelder dyrking av myr.</w:t>
      </w:r>
    </w:p>
    <w:p w:rsidR="00000000" w:rsidRDefault="00556C84" w:rsidP="0050705A">
      <w:pPr>
        <w:pStyle w:val="Overskrift1"/>
      </w:pPr>
      <w:r>
        <w:t>Merknader til de enkelte bestemme</w:t>
      </w:r>
      <w:r>
        <w:t>lsene</w:t>
      </w:r>
    </w:p>
    <w:p w:rsidR="00000000" w:rsidRDefault="00556C84" w:rsidP="0050705A">
      <w:pPr>
        <w:pStyle w:val="Overskrift2"/>
      </w:pPr>
      <w:r>
        <w:t>Til lov 12. mai 1995 nr. 23 om jord (jordlova)</w:t>
      </w:r>
    </w:p>
    <w:p w:rsidR="00000000" w:rsidRDefault="00556C84" w:rsidP="0050705A">
      <w:pPr>
        <w:pStyle w:val="avsnitt-undertittel"/>
      </w:pPr>
      <w:r>
        <w:t>Til § 11 andre ledd</w:t>
      </w:r>
    </w:p>
    <w:p w:rsidR="00000000" w:rsidRDefault="00556C84" w:rsidP="0050705A">
      <w:r>
        <w:t>Forslaget om endring i jordloven § 11 andre ledd første punktum innebærer at hjemmelsgrunnlaget for å kunne gi regler om nydyrking gjennom forskrift utvides fra å «unngå</w:t>
      </w:r>
      <w:r>
        <w:t xml:space="preserve"> skade på natur- og kulturlandskap» til også å omfatte hensynet til klima. Endringen åpner for at departementet kan gi nærmere regler om nydyrking begrunnet ut i fra behovet for redusert utslipp av klimagasser. Det følger av bestemmelsen at departementet b</w:t>
      </w:r>
      <w:r>
        <w:t>lant annet kan fastsette forbud mot nydyrking. I andre punktum er det foreslått en mindre språklig endring ved at «plan» endres til «</w:t>
      </w:r>
      <w:proofErr w:type="spellStart"/>
      <w:r>
        <w:t>ein</w:t>
      </w:r>
      <w:proofErr w:type="spellEnd"/>
      <w:r>
        <w:t xml:space="preserve"> plan».</w:t>
      </w:r>
    </w:p>
    <w:p w:rsidR="00000000" w:rsidRDefault="00556C84" w:rsidP="0050705A">
      <w:pPr>
        <w:pStyle w:val="Overskrift2"/>
      </w:pPr>
      <w:r>
        <w:t>Til forslagene til redaksjonelle opprettinger</w:t>
      </w:r>
    </w:p>
    <w:p w:rsidR="00000000" w:rsidRDefault="00556C84" w:rsidP="0050705A">
      <w:pPr>
        <w:pStyle w:val="avsnitt-undertittel"/>
      </w:pPr>
      <w:r>
        <w:t xml:space="preserve">Til lov 10. juli 1936 nr. 6 til å </w:t>
      </w:r>
      <w:proofErr w:type="spellStart"/>
      <w:r>
        <w:t>fremja</w:t>
      </w:r>
      <w:proofErr w:type="spellEnd"/>
      <w:r>
        <w:t xml:space="preserve"> </w:t>
      </w:r>
      <w:proofErr w:type="spellStart"/>
      <w:r>
        <w:t>umsetnaden</w:t>
      </w:r>
      <w:proofErr w:type="spellEnd"/>
      <w:r>
        <w:t xml:space="preserve"> av </w:t>
      </w:r>
      <w:proofErr w:type="spellStart"/>
      <w:r>
        <w:t>jor</w:t>
      </w:r>
      <w:r>
        <w:t>dbruksvaror</w:t>
      </w:r>
      <w:proofErr w:type="spellEnd"/>
    </w:p>
    <w:p w:rsidR="00000000" w:rsidRDefault="00556C84" w:rsidP="0050705A">
      <w:r>
        <w:t>I § 2 er det vist til at omsetningsrådets 11 medlemmer skal pekes ut bl.a. fra Fornyings- og administrasjonsdepartementet, og at Handelens og Servicenæringens Hovedorganisasjon (HSH) sammen med Coop skal ha en felles representant. Lovteksten er</w:t>
      </w:r>
      <w:r>
        <w:t xml:space="preserve"> misvisende, fordi Fornyings- og administrasjonsdepartementet ikke lenger eksisterer, og fordi HSH har skiftet navn. Rett departement er i dag Nærings- og fiskeridepartementet. </w:t>
      </w:r>
      <w:proofErr w:type="spellStart"/>
      <w:r>
        <w:t>HSHs</w:t>
      </w:r>
      <w:proofErr w:type="spellEnd"/>
      <w:r>
        <w:t xml:space="preserve"> nye navn er Hovedorganisasjonen Virke. I tillegg har både Coop NKL BA, Tin</w:t>
      </w:r>
      <w:r>
        <w:t xml:space="preserve">e BA, </w:t>
      </w:r>
      <w:proofErr w:type="spellStart"/>
      <w:r>
        <w:t>Nortura</w:t>
      </w:r>
      <w:proofErr w:type="spellEnd"/>
      <w:r>
        <w:t xml:space="preserve"> BA og Norske Felleskjøp endret selskapsbetegnelse til henholdsvis Coop Norge SA, Tine SA, </w:t>
      </w:r>
      <w:proofErr w:type="spellStart"/>
      <w:r>
        <w:t>Nortura</w:t>
      </w:r>
      <w:proofErr w:type="spellEnd"/>
      <w:r>
        <w:t xml:space="preserve"> SA og Norske Felleskjøp SA. Departementet foreslår at lovteksten oppdateres i </w:t>
      </w:r>
      <w:r>
        <w:lastRenderedPageBreak/>
        <w:t>tråd med disse endringene. I tillegg foreslår departementet å omst</w:t>
      </w:r>
      <w:r>
        <w:t>rukturere listen over medlemmer og at listen settes opp med bokstavnummerering.</w:t>
      </w:r>
    </w:p>
    <w:p w:rsidR="00000000" w:rsidRDefault="00556C84" w:rsidP="0050705A">
      <w:pPr>
        <w:pStyle w:val="avsnitt-undertittel"/>
      </w:pPr>
      <w:r>
        <w:t>Til lov 25. juni 1965 nr. 1 om forpakting (forpaktingslova)</w:t>
      </w:r>
    </w:p>
    <w:p w:rsidR="00000000" w:rsidRDefault="00556C84" w:rsidP="0050705A">
      <w:r>
        <w:t>I § 9 er det vist til lov 16. juni 1939 nr. 6 om husleieavtaler. Husleieloven fra 1939 er imidlertid opphevet, og de</w:t>
      </w:r>
      <w:r>
        <w:t>t ble fastsatt ny lov om husleieforhold i 1999, lov 26. mars 1999 nr. 17. Riktig henvisning i bestemmelsen i forpaktingsloven er den nye husleieloven kapittel 7, jf. § 1-2. Departementet foreslår at lovteksten endres slik at den viser til riktig lov.</w:t>
      </w:r>
    </w:p>
    <w:p w:rsidR="00000000" w:rsidRDefault="00556C84" w:rsidP="0050705A">
      <w:pPr>
        <w:pStyle w:val="avsnitt-undertittel"/>
      </w:pPr>
      <w:r>
        <w:t>Til l</w:t>
      </w:r>
      <w:r>
        <w:t>ov 9. juni 1972 nr. 31 om svensk reinbeiting i Norge og norsk reinbeiting i Sverige (grensereinbeiteloven)</w:t>
      </w:r>
    </w:p>
    <w:p w:rsidR="00000000" w:rsidRDefault="00556C84" w:rsidP="0050705A">
      <w:r>
        <w:t>I følge § 24 kreves det samtykke fra reindriftsagronomen for å slakte rein som ikke har hjemmel til å være i Norge. Avgjørelsesmyndigheten ligger i d</w:t>
      </w:r>
      <w:r>
        <w:t>ag til fylkesmannen. Departementet foreslår å rette opp bestemmelsen slik at den synliggjør riktig avgjørelsesinstans. Etter §§ 39 og 47 i loven er Statens reindriftsforvaltning tillagt oppgaver. Statens reindriftsforvaltning er imidlertid nedlagt, og oppg</w:t>
      </w:r>
      <w:r>
        <w:t>avene er lagt til Landbruksdirektoratet. Departementet foreslår å endre bestemmelsene i tråd med dette.</w:t>
      </w:r>
    </w:p>
    <w:p w:rsidR="00000000" w:rsidRDefault="00556C84" w:rsidP="0050705A">
      <w:pPr>
        <w:pStyle w:val="avsnitt-undertittel"/>
      </w:pPr>
      <w:r>
        <w:t>Til lov 19. juni 1992 nr. 59 om bygdeallmenninger (bygdeallmenningsloven)</w:t>
      </w:r>
    </w:p>
    <w:p w:rsidR="00000000" w:rsidRDefault="00556C84" w:rsidP="0050705A">
      <w:r>
        <w:t>I § 5-8 er det en skrivefeil i overskriften. Departementet foreslår å</w:t>
      </w:r>
      <w:r>
        <w:t xml:space="preserve"> rette ordet «</w:t>
      </w:r>
      <w:proofErr w:type="spellStart"/>
      <w:r>
        <w:t>gjennoppføring</w:t>
      </w:r>
      <w:proofErr w:type="spellEnd"/>
      <w:r>
        <w:t>» til «</w:t>
      </w:r>
      <w:proofErr w:type="spellStart"/>
      <w:r>
        <w:t>gjenoppføring</w:t>
      </w:r>
      <w:proofErr w:type="spellEnd"/>
      <w:r>
        <w:t xml:space="preserve">». Paragrafene 7-2 tredje punktum og 7-5 fjerde ledd legger oppgaver til </w:t>
      </w:r>
      <w:proofErr w:type="spellStart"/>
      <w:r>
        <w:t>viltnemnda</w:t>
      </w:r>
      <w:proofErr w:type="spellEnd"/>
      <w:r>
        <w:t xml:space="preserve">. Myndigheten etter viltloven er </w:t>
      </w:r>
      <w:proofErr w:type="spellStart"/>
      <w:r>
        <w:t>imidlertidertid</w:t>
      </w:r>
      <w:proofErr w:type="spellEnd"/>
      <w:r>
        <w:t xml:space="preserve"> lagt til kommunen. Departementet foreslår derfor å rette opp bestemmelsen sl</w:t>
      </w:r>
      <w:r>
        <w:t>ik at den viser til riktig instans som er kommunen.</w:t>
      </w:r>
    </w:p>
    <w:p w:rsidR="00000000" w:rsidRDefault="00556C84" w:rsidP="0050705A">
      <w:pPr>
        <w:pStyle w:val="avsnitt-undertittel"/>
      </w:pPr>
      <w:r>
        <w:t>Til lov 15. juni 2007 nr. 40 om reindrift (reindriftsloven)</w:t>
      </w:r>
    </w:p>
    <w:p w:rsidR="00000000" w:rsidRDefault="00556C84" w:rsidP="0050705A">
      <w:r>
        <w:t>Reindriftsloven legger en rekke oppgaver til Statens reindriftsforvaltning, se §§ 38 første ledd første punktum, 71 andre punktum, 75 tredje pun</w:t>
      </w:r>
      <w:r>
        <w:t xml:space="preserve">ktum og 79 andre ledd. Statens reindriftsforvaltning er imidlertid nedlagt, og oppgavene ligger i dag til Landbruksdirektoratet. Departementet foreslår å rette opp henvisningene i lovteksten slik at den synliggjør riktig instans. </w:t>
      </w:r>
    </w:p>
    <w:p w:rsidR="00000000" w:rsidRDefault="00556C84" w:rsidP="0050705A">
      <w:r>
        <w:t>Det er også andre bestemm</w:t>
      </w:r>
      <w:r>
        <w:t>elser i reindriftsloven som bør rettes opp på annet grunnlag. § 33 viser til lov 20. desember 1974 nr. 73 om dyrevern. Dyrevernloven av 1974 er opphevet og erstattet med lov 19. juni 2009 nr. 97 om dyrevelferd. § 38 viser til lov 3. mars 1961 om varemerker</w:t>
      </w:r>
      <w:r>
        <w:t>. Varemerkeloven av 1961 er opphevet og erstattet av lov 26. mars 2010 nr. 8 om beskyttelse av varemerker (varemerkeloven). § 58 tillegger reindriftsagronomen oppgaver som i dag ligger til fylkesmannen. § 70 a. inneholder en skrivefeil ved at «Skadeforvold</w:t>
      </w:r>
      <w:r>
        <w:t>elsen» er stavet «</w:t>
      </w:r>
      <w:proofErr w:type="spellStart"/>
      <w:r>
        <w:t>skadeorvoldelsen</w:t>
      </w:r>
      <w:proofErr w:type="spellEnd"/>
      <w:r>
        <w:t>». Departementet foreslår å rette opp alle de nevnte feilene i bestemmelsene.</w:t>
      </w:r>
    </w:p>
    <w:p w:rsidR="00000000" w:rsidRDefault="00556C84" w:rsidP="0050705A">
      <w:pPr>
        <w:pStyle w:val="avsnitt-undertittel"/>
      </w:pPr>
      <w:r>
        <w:t xml:space="preserve">Til lov 21. juni 2013 nr. 100 om </w:t>
      </w:r>
      <w:proofErr w:type="spellStart"/>
      <w:r>
        <w:t>fastsetjing</w:t>
      </w:r>
      <w:proofErr w:type="spellEnd"/>
      <w:r>
        <w:t xml:space="preserve"> og endring </w:t>
      </w:r>
      <w:r>
        <w:br/>
        <w:t xml:space="preserve">av </w:t>
      </w:r>
      <w:proofErr w:type="spellStart"/>
      <w:r>
        <w:t>eigedoms</w:t>
      </w:r>
      <w:proofErr w:type="spellEnd"/>
      <w:r>
        <w:t xml:space="preserve">- og rettshøve på fast </w:t>
      </w:r>
      <w:proofErr w:type="spellStart"/>
      <w:r>
        <w:t>eigedom</w:t>
      </w:r>
      <w:proofErr w:type="spellEnd"/>
      <w:r>
        <w:t xml:space="preserve"> m.m. (jordskiftelova)</w:t>
      </w:r>
    </w:p>
    <w:p w:rsidR="00000000" w:rsidRDefault="00556C84" w:rsidP="0050705A">
      <w:r>
        <w:t xml:space="preserve">Etter § 5-3 bokstav a) </w:t>
      </w:r>
      <w:r>
        <w:t xml:space="preserve">har jordskifteretten kompetanse til å holde skjønn etter lov 14. juni 1912 nr. 1 om </w:t>
      </w:r>
      <w:proofErr w:type="spellStart"/>
      <w:r>
        <w:t>anlæg</w:t>
      </w:r>
      <w:proofErr w:type="spellEnd"/>
      <w:r>
        <w:t xml:space="preserve"> av </w:t>
      </w:r>
      <w:proofErr w:type="spellStart"/>
      <w:r>
        <w:t>taugbaner</w:t>
      </w:r>
      <w:proofErr w:type="spellEnd"/>
      <w:r>
        <w:t xml:space="preserve"> og </w:t>
      </w:r>
      <w:proofErr w:type="spellStart"/>
      <w:r>
        <w:t>løipestrenger</w:t>
      </w:r>
      <w:proofErr w:type="spellEnd"/>
      <w:r>
        <w:t xml:space="preserve"> mv. § 8 når det er nødvendig av hensyn til jordskiftet. Taubaneloven ble imidlertid opphevet med virkning fra 1. juli 2017. Dette innebæ</w:t>
      </w:r>
      <w:r>
        <w:t>rer bl.a. at jordskifterettens oppgave er falt bort. Departementet foreslår på denne bakgrunn at henvisningsbestemmelsen i jordskifteloven oppheves.</w:t>
      </w:r>
    </w:p>
    <w:p w:rsidR="00000000" w:rsidRDefault="00556C84" w:rsidP="0050705A">
      <w:pPr>
        <w:pStyle w:val="avsnitt-undertittel"/>
      </w:pPr>
      <w:r>
        <w:t>Til lov 15. august 2014 nr. 59 om erstatning for naturskader (naturskadeerstatningsloven)</w:t>
      </w:r>
    </w:p>
    <w:p w:rsidR="00000000" w:rsidRDefault="00556C84" w:rsidP="0050705A">
      <w:r>
        <w:t xml:space="preserve">I §§ 11, 12, 13, </w:t>
      </w:r>
      <w:r>
        <w:t>14, 17, 18, 20 og 24 er Statens landbruksforvaltning tillagt oppgaver. Statens landbruksforvaltning har skiftet navn til Landbruksdirektoratet. Departementet foreslår at bestemmelsene endres slik at de viser til Landbruksdirektoratet som har oppgavene i da</w:t>
      </w:r>
      <w:r>
        <w:t>g.</w:t>
      </w:r>
    </w:p>
    <w:p w:rsidR="00000000" w:rsidRDefault="00556C84" w:rsidP="0050705A">
      <w:pPr>
        <w:pStyle w:val="a-tilraar-dep"/>
      </w:pPr>
      <w:r>
        <w:lastRenderedPageBreak/>
        <w:t>Landbruks- og matdepartementet</w:t>
      </w:r>
    </w:p>
    <w:p w:rsidR="00000000" w:rsidRDefault="00556C84" w:rsidP="0050705A">
      <w:pPr>
        <w:pStyle w:val="a-tilraar-tit"/>
      </w:pPr>
      <w:r>
        <w:t>tilrår:</w:t>
      </w:r>
    </w:p>
    <w:p w:rsidR="00000000" w:rsidRDefault="00556C84" w:rsidP="0050705A">
      <w:r>
        <w:t>At Deres Majestet godkjenner og skriver under et framlagt forslag til proposisjon til Stortinget om endringer i jordlova mv. (klimahensyn ved nydyrking).</w:t>
      </w:r>
    </w:p>
    <w:p w:rsidR="00000000" w:rsidRDefault="00556C84" w:rsidP="0050705A">
      <w:pPr>
        <w:pStyle w:val="a-konge-tekst"/>
        <w:rPr>
          <w:rStyle w:val="halvfet0"/>
          <w:sz w:val="21"/>
          <w:szCs w:val="21"/>
        </w:rPr>
      </w:pPr>
      <w:r>
        <w:rPr>
          <w:rStyle w:val="halvfet0"/>
          <w:sz w:val="21"/>
          <w:szCs w:val="21"/>
        </w:rPr>
        <w:t xml:space="preserve">Vi HARALD, </w:t>
      </w:r>
      <w:r>
        <w:t>Norges Konge,</w:t>
      </w:r>
    </w:p>
    <w:p w:rsidR="00000000" w:rsidRDefault="00556C84" w:rsidP="0050705A">
      <w:pPr>
        <w:pStyle w:val="a-konge-tit"/>
      </w:pPr>
      <w:r>
        <w:t>stadfester:</w:t>
      </w:r>
    </w:p>
    <w:p w:rsidR="00000000" w:rsidRDefault="00556C84" w:rsidP="0050705A">
      <w:r>
        <w:t>Stortinget blir bedt om</w:t>
      </w:r>
      <w:r>
        <w:t xml:space="preserve"> å gjøre vedtak til lov om endringer i jordlova mv. (klimahensyn ved nydyrking) i samsvar med et vedlagt forslag.</w:t>
      </w:r>
    </w:p>
    <w:p w:rsidR="00000000" w:rsidRDefault="00556C84" w:rsidP="0050705A">
      <w:pPr>
        <w:pStyle w:val="a-vedtak-tit"/>
      </w:pPr>
      <w:r>
        <w:lastRenderedPageBreak/>
        <w:t xml:space="preserve">Forslag </w:t>
      </w:r>
    </w:p>
    <w:p w:rsidR="00000000" w:rsidRDefault="00556C84" w:rsidP="0050705A">
      <w:pPr>
        <w:pStyle w:val="a-vedtak-tit"/>
      </w:pPr>
      <w:r>
        <w:t xml:space="preserve">til lov om endringer i jordlova mv. </w:t>
      </w:r>
      <w:r>
        <w:br/>
        <w:t>(klimahensyn ved nydyrking)</w:t>
      </w:r>
    </w:p>
    <w:p w:rsidR="00000000" w:rsidRDefault="00556C84" w:rsidP="0050705A">
      <w:pPr>
        <w:pStyle w:val="a-vedtak-del"/>
      </w:pPr>
      <w:r>
        <w:t>I</w:t>
      </w:r>
    </w:p>
    <w:p w:rsidR="00000000" w:rsidRDefault="00556C84" w:rsidP="0050705A">
      <w:pPr>
        <w:pStyle w:val="l-tit-endr-lov"/>
      </w:pPr>
      <w:r>
        <w:t>I lov 12. mai 1995 nr. 23 om jord gjøres følgende endringer:</w:t>
      </w:r>
    </w:p>
    <w:p w:rsidR="00000000" w:rsidRDefault="00556C84" w:rsidP="0050705A">
      <w:pPr>
        <w:pStyle w:val="l-tit-endr-ledd"/>
      </w:pPr>
      <w:r>
        <w:t xml:space="preserve">§ 11 </w:t>
      </w:r>
      <w:r>
        <w:t xml:space="preserve">andre ledd skal lyde: </w:t>
      </w:r>
    </w:p>
    <w:p w:rsidR="00000000" w:rsidRDefault="00556C84" w:rsidP="0050705A">
      <w:pPr>
        <w:pStyle w:val="l-ledd"/>
      </w:pPr>
      <w:r>
        <w:t xml:space="preserve">For å unngå skade på natur- og kulturlandskap </w:t>
      </w:r>
      <w:r>
        <w:rPr>
          <w:rStyle w:val="l-endring"/>
          <w:sz w:val="21"/>
          <w:szCs w:val="21"/>
        </w:rPr>
        <w:t xml:space="preserve">eller for å redusere utslepp av </w:t>
      </w:r>
      <w:proofErr w:type="spellStart"/>
      <w:r>
        <w:rPr>
          <w:rStyle w:val="l-endring"/>
          <w:sz w:val="21"/>
          <w:szCs w:val="21"/>
        </w:rPr>
        <w:t>klimagassar</w:t>
      </w:r>
      <w:proofErr w:type="spellEnd"/>
      <w:r>
        <w:t xml:space="preserve">, kan departementet gi føresegner for nydyrking. I føresegnene kan det </w:t>
      </w:r>
      <w:proofErr w:type="spellStart"/>
      <w:r>
        <w:t>fastsetjast</w:t>
      </w:r>
      <w:proofErr w:type="spellEnd"/>
      <w:r>
        <w:t xml:space="preserve"> </w:t>
      </w:r>
      <w:proofErr w:type="spellStart"/>
      <w:r>
        <w:t>forbod</w:t>
      </w:r>
      <w:proofErr w:type="spellEnd"/>
      <w:r>
        <w:t xml:space="preserve"> mot nydyrking og at nydyrking </w:t>
      </w:r>
      <w:proofErr w:type="spellStart"/>
      <w:r>
        <w:t>berre</w:t>
      </w:r>
      <w:proofErr w:type="spellEnd"/>
      <w:r>
        <w:t xml:space="preserve"> kan skje i samsvar</w:t>
      </w:r>
      <w:r>
        <w:t xml:space="preserve"> med </w:t>
      </w:r>
      <w:proofErr w:type="spellStart"/>
      <w:r>
        <w:rPr>
          <w:rStyle w:val="l-endring"/>
          <w:sz w:val="21"/>
          <w:szCs w:val="21"/>
        </w:rPr>
        <w:t>ein</w:t>
      </w:r>
      <w:proofErr w:type="spellEnd"/>
      <w:r>
        <w:rPr>
          <w:rStyle w:val="l-endring"/>
          <w:sz w:val="21"/>
          <w:szCs w:val="21"/>
        </w:rPr>
        <w:t xml:space="preserve"> </w:t>
      </w:r>
      <w:r>
        <w:t xml:space="preserve">plan </w:t>
      </w:r>
      <w:proofErr w:type="spellStart"/>
      <w:r>
        <w:t>godkjend</w:t>
      </w:r>
      <w:proofErr w:type="spellEnd"/>
      <w:r>
        <w:t xml:space="preserve"> av departementet.</w:t>
      </w:r>
    </w:p>
    <w:p w:rsidR="00000000" w:rsidRDefault="00556C84" w:rsidP="0050705A">
      <w:pPr>
        <w:pStyle w:val="a-vedtak-del"/>
      </w:pPr>
      <w:r>
        <w:t>II</w:t>
      </w:r>
    </w:p>
    <w:p w:rsidR="00000000" w:rsidRDefault="00556C84" w:rsidP="0050705A">
      <w:pPr>
        <w:pStyle w:val="a-vedtak-tekst"/>
      </w:pPr>
      <w:r>
        <w:t>Feilrettinger o.l.</w:t>
      </w:r>
    </w:p>
    <w:p w:rsidR="00000000" w:rsidRDefault="00556C84" w:rsidP="0050705A">
      <w:pPr>
        <w:pStyle w:val="l-tit-endr-lov"/>
      </w:pPr>
      <w:r>
        <w:t xml:space="preserve">1. I lov 10. juli 1936 nr. 6 til å </w:t>
      </w:r>
      <w:proofErr w:type="spellStart"/>
      <w:r>
        <w:t>fremja</w:t>
      </w:r>
      <w:proofErr w:type="spellEnd"/>
      <w:r>
        <w:t xml:space="preserve"> </w:t>
      </w:r>
      <w:proofErr w:type="spellStart"/>
      <w:r>
        <w:t>umsetnaden</w:t>
      </w:r>
      <w:proofErr w:type="spellEnd"/>
      <w:r>
        <w:t xml:space="preserve"> av </w:t>
      </w:r>
      <w:proofErr w:type="spellStart"/>
      <w:r>
        <w:t>jordbruksvaror</w:t>
      </w:r>
      <w:proofErr w:type="spellEnd"/>
      <w:r>
        <w:t xml:space="preserve"> skal § 2 andre ledd lyde:</w:t>
      </w:r>
    </w:p>
    <w:p w:rsidR="00000000" w:rsidRDefault="00556C84" w:rsidP="0050705A">
      <w:pPr>
        <w:pStyle w:val="l-ledd"/>
      </w:pPr>
      <w:r>
        <w:t xml:space="preserve">Departementet </w:t>
      </w:r>
      <w:proofErr w:type="spellStart"/>
      <w:r>
        <w:t>oppnemner</w:t>
      </w:r>
      <w:proofErr w:type="spellEnd"/>
      <w:r>
        <w:t xml:space="preserve"> </w:t>
      </w:r>
      <w:proofErr w:type="spellStart"/>
      <w:r>
        <w:t>medlemer</w:t>
      </w:r>
      <w:proofErr w:type="spellEnd"/>
      <w:r>
        <w:t xml:space="preserve"> med </w:t>
      </w:r>
      <w:proofErr w:type="spellStart"/>
      <w:r>
        <w:t>personlege</w:t>
      </w:r>
      <w:proofErr w:type="spellEnd"/>
      <w:r>
        <w:t xml:space="preserve"> </w:t>
      </w:r>
      <w:proofErr w:type="spellStart"/>
      <w:r>
        <w:t>varamedlemer</w:t>
      </w:r>
      <w:proofErr w:type="spellEnd"/>
      <w:r>
        <w:t xml:space="preserve"> </w:t>
      </w:r>
      <w:r>
        <w:rPr>
          <w:rStyle w:val="l-endring"/>
          <w:sz w:val="21"/>
          <w:szCs w:val="21"/>
        </w:rPr>
        <w:t>for</w:t>
      </w:r>
      <w:r>
        <w:t xml:space="preserve"> </w:t>
      </w:r>
    </w:p>
    <w:p w:rsidR="00000000" w:rsidRDefault="00556C84" w:rsidP="0050705A">
      <w:pPr>
        <w:pStyle w:val="friliste"/>
      </w:pPr>
      <w:r>
        <w:t>a)</w:t>
      </w:r>
      <w:r>
        <w:tab/>
      </w:r>
      <w:r>
        <w:t xml:space="preserve">Landbruks- og matdepartementet </w:t>
      </w:r>
    </w:p>
    <w:p w:rsidR="00000000" w:rsidRDefault="00556C84" w:rsidP="0050705A">
      <w:pPr>
        <w:pStyle w:val="friliste"/>
        <w:rPr>
          <w:rStyle w:val="l-endring"/>
          <w:sz w:val="21"/>
          <w:szCs w:val="21"/>
        </w:rPr>
      </w:pPr>
      <w:r>
        <w:t>b)</w:t>
      </w:r>
      <w:r>
        <w:tab/>
      </w:r>
      <w:r>
        <w:rPr>
          <w:rStyle w:val="l-endring"/>
          <w:sz w:val="21"/>
          <w:szCs w:val="21"/>
        </w:rPr>
        <w:t>Nærings- og fiskeridepartementet</w:t>
      </w:r>
    </w:p>
    <w:p w:rsidR="00000000" w:rsidRDefault="00556C84" w:rsidP="0050705A">
      <w:pPr>
        <w:pStyle w:val="friliste"/>
      </w:pPr>
      <w:r>
        <w:t>c)</w:t>
      </w:r>
      <w:r>
        <w:tab/>
        <w:t>Norges Bondelag</w:t>
      </w:r>
    </w:p>
    <w:p w:rsidR="00000000" w:rsidRDefault="00556C84" w:rsidP="0050705A">
      <w:pPr>
        <w:pStyle w:val="friliste"/>
      </w:pPr>
      <w:r>
        <w:t>d)</w:t>
      </w:r>
      <w:r>
        <w:tab/>
        <w:t>Norsk Bonde og Småbrukarlag</w:t>
      </w:r>
    </w:p>
    <w:p w:rsidR="00000000" w:rsidRDefault="00556C84" w:rsidP="0050705A">
      <w:pPr>
        <w:pStyle w:val="friliste"/>
      </w:pPr>
      <w:r>
        <w:t>e)</w:t>
      </w:r>
      <w:r>
        <w:tab/>
        <w:t>Norsk Landbrukssamvirke</w:t>
      </w:r>
    </w:p>
    <w:p w:rsidR="00000000" w:rsidRDefault="00556C84" w:rsidP="0050705A">
      <w:pPr>
        <w:pStyle w:val="friliste"/>
      </w:pPr>
      <w:r>
        <w:t>f)</w:t>
      </w:r>
      <w:r>
        <w:tab/>
        <w:t>Norsk Nærings- og Nytelsesmiddelarbeiderforbund</w:t>
      </w:r>
    </w:p>
    <w:p w:rsidR="00000000" w:rsidRDefault="00556C84" w:rsidP="0050705A">
      <w:pPr>
        <w:pStyle w:val="friliste"/>
      </w:pPr>
      <w:r>
        <w:t>g)</w:t>
      </w:r>
      <w:r>
        <w:tab/>
        <w:t xml:space="preserve">Norske Felleskjøp </w:t>
      </w:r>
      <w:r>
        <w:rPr>
          <w:rStyle w:val="l-endring"/>
          <w:sz w:val="21"/>
          <w:szCs w:val="21"/>
        </w:rPr>
        <w:t>S</w:t>
      </w:r>
      <w:r>
        <w:t>A</w:t>
      </w:r>
    </w:p>
    <w:p w:rsidR="00000000" w:rsidRDefault="00556C84" w:rsidP="0050705A">
      <w:pPr>
        <w:pStyle w:val="friliste"/>
      </w:pPr>
      <w:r>
        <w:t>h)</w:t>
      </w:r>
      <w:r>
        <w:tab/>
      </w:r>
      <w:proofErr w:type="spellStart"/>
      <w:r>
        <w:t>Nortura</w:t>
      </w:r>
      <w:proofErr w:type="spellEnd"/>
      <w:r>
        <w:t xml:space="preserve"> </w:t>
      </w:r>
      <w:r>
        <w:rPr>
          <w:rStyle w:val="l-endring"/>
          <w:sz w:val="21"/>
          <w:szCs w:val="21"/>
        </w:rPr>
        <w:t>S</w:t>
      </w:r>
      <w:r>
        <w:t>A</w:t>
      </w:r>
    </w:p>
    <w:p w:rsidR="00000000" w:rsidRDefault="00556C84" w:rsidP="0050705A">
      <w:pPr>
        <w:pStyle w:val="friliste"/>
      </w:pPr>
      <w:r>
        <w:t>i)</w:t>
      </w:r>
      <w:r>
        <w:tab/>
        <w:t xml:space="preserve">Tine </w:t>
      </w:r>
      <w:r>
        <w:rPr>
          <w:rStyle w:val="l-endring"/>
          <w:sz w:val="21"/>
          <w:szCs w:val="21"/>
        </w:rPr>
        <w:t>S</w:t>
      </w:r>
      <w:r>
        <w:t>A</w:t>
      </w:r>
    </w:p>
    <w:p w:rsidR="00000000" w:rsidRDefault="00556C84" w:rsidP="0050705A">
      <w:pPr>
        <w:pStyle w:val="friliste"/>
        <w:rPr>
          <w:rStyle w:val="l-endring"/>
          <w:sz w:val="21"/>
          <w:szCs w:val="21"/>
        </w:rPr>
      </w:pPr>
      <w:r>
        <w:rPr>
          <w:rStyle w:val="l-endring"/>
          <w:sz w:val="21"/>
          <w:szCs w:val="21"/>
        </w:rPr>
        <w:t>j)</w:t>
      </w:r>
      <w:r>
        <w:rPr>
          <w:rStyle w:val="l-endring"/>
          <w:sz w:val="21"/>
          <w:szCs w:val="21"/>
        </w:rPr>
        <w:tab/>
        <w:t>Hovedorg</w:t>
      </w:r>
      <w:r>
        <w:rPr>
          <w:rStyle w:val="l-endring"/>
          <w:sz w:val="21"/>
          <w:szCs w:val="21"/>
        </w:rPr>
        <w:t xml:space="preserve">anisasjonen Virke og Coop Norge SA (fellesrepresentant) </w:t>
      </w:r>
    </w:p>
    <w:p w:rsidR="00000000" w:rsidRDefault="00556C84" w:rsidP="0050705A">
      <w:pPr>
        <w:pStyle w:val="friliste"/>
        <w:rPr>
          <w:rFonts w:ascii="Times" w:hAnsi="Times" w:cs="Times"/>
        </w:rPr>
      </w:pPr>
      <w:r>
        <w:rPr>
          <w:rStyle w:val="l-endring"/>
          <w:sz w:val="21"/>
          <w:szCs w:val="21"/>
        </w:rPr>
        <w:t>k)</w:t>
      </w:r>
      <w:r>
        <w:rPr>
          <w:rStyle w:val="l-endring"/>
          <w:sz w:val="21"/>
          <w:szCs w:val="21"/>
        </w:rPr>
        <w:tab/>
        <w:t xml:space="preserve">Kjøtt- og fjørfebransjens Landsforbund, Norges Frukt- og Grønnsaksgrossisters Forbund, NHO Mat og Drikke og </w:t>
      </w:r>
      <w:proofErr w:type="spellStart"/>
      <w:r>
        <w:rPr>
          <w:rStyle w:val="l-endring"/>
          <w:sz w:val="21"/>
          <w:szCs w:val="21"/>
        </w:rPr>
        <w:t>Norkorn</w:t>
      </w:r>
      <w:proofErr w:type="spellEnd"/>
      <w:r>
        <w:rPr>
          <w:rStyle w:val="l-endring"/>
          <w:sz w:val="21"/>
          <w:szCs w:val="21"/>
        </w:rPr>
        <w:t xml:space="preserve"> (fellesrepresentant)</w:t>
      </w:r>
    </w:p>
    <w:p w:rsidR="00000000" w:rsidRDefault="00556C84" w:rsidP="0050705A">
      <w:pPr>
        <w:pStyle w:val="l-tit-endr-lov"/>
      </w:pPr>
      <w:r>
        <w:t>2. I lov 25. juni 1965 nr. 1 om forpakting skal § 9 andre l</w:t>
      </w:r>
      <w:r>
        <w:t>edd lyde:</w:t>
      </w:r>
    </w:p>
    <w:p w:rsidR="00000000" w:rsidRDefault="00556C84" w:rsidP="0050705A">
      <w:pPr>
        <w:pStyle w:val="l-ledd"/>
      </w:pPr>
      <w:r>
        <w:t xml:space="preserve">For </w:t>
      </w:r>
      <w:proofErr w:type="spellStart"/>
      <w:r>
        <w:t>framleige</w:t>
      </w:r>
      <w:proofErr w:type="spellEnd"/>
      <w:r>
        <w:t xml:space="preserve"> av husvære eller rom på den forpakta </w:t>
      </w:r>
      <w:proofErr w:type="spellStart"/>
      <w:r>
        <w:t>eigedomen</w:t>
      </w:r>
      <w:proofErr w:type="spellEnd"/>
      <w:r>
        <w:t xml:space="preserve"> gjeld føresegnene i </w:t>
      </w:r>
      <w:proofErr w:type="spellStart"/>
      <w:r>
        <w:t>husleigelova</w:t>
      </w:r>
      <w:proofErr w:type="spellEnd"/>
      <w:r>
        <w:t xml:space="preserve"> </w:t>
      </w:r>
      <w:r>
        <w:rPr>
          <w:rStyle w:val="l-endring"/>
          <w:sz w:val="21"/>
          <w:szCs w:val="21"/>
        </w:rPr>
        <w:t>kapittel 7, jf. § 1-2</w:t>
      </w:r>
      <w:r>
        <w:t xml:space="preserve">, </w:t>
      </w:r>
      <w:proofErr w:type="spellStart"/>
      <w:r>
        <w:t>tilsvarande</w:t>
      </w:r>
      <w:proofErr w:type="spellEnd"/>
      <w:r>
        <w:t>.</w:t>
      </w:r>
    </w:p>
    <w:p w:rsidR="00000000" w:rsidRDefault="00556C84" w:rsidP="0050705A">
      <w:pPr>
        <w:pStyle w:val="l-tit-endr-lov"/>
      </w:pPr>
      <w:r>
        <w:t>3. I lov 9. juni 1972 nr. 31 om svensk reinbeiting i Norge og norsk reinbeiting i Sverige gjøres følgende endringer:</w:t>
      </w:r>
    </w:p>
    <w:p w:rsidR="00000000" w:rsidRDefault="00556C84" w:rsidP="0050705A">
      <w:pPr>
        <w:pStyle w:val="l-tit-endr-ledd"/>
      </w:pPr>
      <w:r>
        <w:t>§ 24 andre ledd skal lyde:</w:t>
      </w:r>
    </w:p>
    <w:p w:rsidR="00000000" w:rsidRDefault="00556C84" w:rsidP="0050705A">
      <w:pPr>
        <w:pStyle w:val="l-ledd"/>
      </w:pPr>
      <w:r>
        <w:t xml:space="preserve">Rein som uten hjemmel i loven befinner seg i Norge, må ikke slaktes uten samtykke av </w:t>
      </w:r>
      <w:r>
        <w:rPr>
          <w:rStyle w:val="l-endring"/>
          <w:sz w:val="21"/>
          <w:szCs w:val="21"/>
        </w:rPr>
        <w:t xml:space="preserve">fylkesmannen i fylket </w:t>
      </w:r>
      <w:r>
        <w:t>der reinen er.</w:t>
      </w:r>
    </w:p>
    <w:p w:rsidR="00000000" w:rsidRDefault="00556C84" w:rsidP="0050705A">
      <w:pPr>
        <w:pStyle w:val="l-tit-endr-ledd"/>
      </w:pPr>
      <w:r>
        <w:t>§ 39 fjerde ledd skal lyde:</w:t>
      </w:r>
    </w:p>
    <w:p w:rsidR="00000000" w:rsidRDefault="00556C84" w:rsidP="0050705A">
      <w:pPr>
        <w:pStyle w:val="l-ledd"/>
      </w:pPr>
      <w:r>
        <w:t xml:space="preserve">Pålegg om beiteavgift kan av den som pålegget berører, eller av </w:t>
      </w:r>
      <w:proofErr w:type="spellStart"/>
      <w:r>
        <w:t>lantbruksnäm</w:t>
      </w:r>
      <w:r>
        <w:t>nden</w:t>
      </w:r>
      <w:proofErr w:type="spellEnd"/>
      <w:r>
        <w:t xml:space="preserve">, ankes til </w:t>
      </w:r>
      <w:r>
        <w:rPr>
          <w:rStyle w:val="l-endring"/>
          <w:sz w:val="21"/>
          <w:szCs w:val="21"/>
        </w:rPr>
        <w:t xml:space="preserve">Landbruksdirektoratet </w:t>
      </w:r>
      <w:r>
        <w:t>innen fem uker etter at tillitsmannen har mottatt pålegget.</w:t>
      </w:r>
    </w:p>
    <w:p w:rsidR="00000000" w:rsidRDefault="00556C84" w:rsidP="0050705A">
      <w:pPr>
        <w:pStyle w:val="l-tit-endr-ledd"/>
      </w:pPr>
      <w:r>
        <w:t>§ 47 tredje ledd skal lyde:</w:t>
      </w:r>
    </w:p>
    <w:p w:rsidR="00000000" w:rsidRDefault="00556C84" w:rsidP="0050705A">
      <w:pPr>
        <w:pStyle w:val="l-ledd"/>
      </w:pPr>
      <w:r>
        <w:t xml:space="preserve">Med </w:t>
      </w:r>
      <w:proofErr w:type="spellStart"/>
      <w:r>
        <w:t>lantbruksnämndens</w:t>
      </w:r>
      <w:proofErr w:type="spellEnd"/>
      <w:r>
        <w:t xml:space="preserve"> samtykke kan </w:t>
      </w:r>
      <w:r>
        <w:rPr>
          <w:rStyle w:val="l-endring"/>
          <w:sz w:val="21"/>
          <w:szCs w:val="21"/>
        </w:rPr>
        <w:t xml:space="preserve">Landbruksdirektoratet </w:t>
      </w:r>
      <w:r>
        <w:t>gjøre midlertidige unntak fra § 4 om bruken av beiteområdene.</w:t>
      </w:r>
    </w:p>
    <w:p w:rsidR="00000000" w:rsidRDefault="00556C84" w:rsidP="0050705A">
      <w:pPr>
        <w:pStyle w:val="l-tit-endr-lov"/>
      </w:pPr>
      <w:r>
        <w:lastRenderedPageBreak/>
        <w:t>4. I lov 19</w:t>
      </w:r>
      <w:r>
        <w:t>. juni 1992 nr. 59 om bygdeallmenninger gjøres følgende endringer:</w:t>
      </w:r>
    </w:p>
    <w:p w:rsidR="00000000" w:rsidRDefault="00556C84" w:rsidP="0050705A">
      <w:pPr>
        <w:pStyle w:val="l-tit-endr-paragraf"/>
      </w:pPr>
      <w:r>
        <w:t>§ 5-8 overskriften skal lyde:</w:t>
      </w:r>
    </w:p>
    <w:p w:rsidR="00000000" w:rsidRDefault="00556C84" w:rsidP="0050705A">
      <w:pPr>
        <w:pStyle w:val="l-paragraf"/>
        <w:rPr>
          <w:rStyle w:val="regular"/>
          <w:sz w:val="21"/>
          <w:szCs w:val="21"/>
        </w:rPr>
      </w:pPr>
      <w:r>
        <w:rPr>
          <w:rStyle w:val="regular"/>
          <w:i/>
          <w:iCs/>
          <w:sz w:val="21"/>
          <w:szCs w:val="21"/>
        </w:rPr>
        <w:t>(</w:t>
      </w:r>
      <w:proofErr w:type="spellStart"/>
      <w:r>
        <w:rPr>
          <w:rStyle w:val="regular"/>
          <w:i/>
          <w:iCs/>
          <w:sz w:val="21"/>
          <w:szCs w:val="21"/>
        </w:rPr>
        <w:t>gjenoppføring</w:t>
      </w:r>
      <w:proofErr w:type="spellEnd"/>
      <w:r>
        <w:rPr>
          <w:rStyle w:val="regular"/>
          <w:i/>
          <w:iCs/>
          <w:sz w:val="21"/>
          <w:szCs w:val="21"/>
        </w:rPr>
        <w:t xml:space="preserve"> og utbedring av bygninger etter brann eller annen skade – forholdet til forsikring)</w:t>
      </w:r>
    </w:p>
    <w:p w:rsidR="00000000" w:rsidRDefault="00556C84" w:rsidP="0050705A">
      <w:pPr>
        <w:pStyle w:val="l-tit-endr-ledd"/>
      </w:pPr>
      <w:r>
        <w:t>I §§ 7-2 tredje punktum og 7-5 fjerde ledd erstattes ordet «</w:t>
      </w:r>
      <w:proofErr w:type="spellStart"/>
      <w:r>
        <w:t>viltnemnda</w:t>
      </w:r>
      <w:proofErr w:type="spellEnd"/>
      <w:r>
        <w:t>» med ordet «kommunen».</w:t>
      </w:r>
    </w:p>
    <w:p w:rsidR="00000000" w:rsidRDefault="00556C84" w:rsidP="0050705A">
      <w:pPr>
        <w:pStyle w:val="l-tit-endr-lov"/>
      </w:pPr>
      <w:r>
        <w:t>5. I lov 15. juni 2007 nr. 40 om reindrift gjøres følgende endringer:</w:t>
      </w:r>
    </w:p>
    <w:p w:rsidR="00000000" w:rsidRDefault="00556C84" w:rsidP="0050705A">
      <w:pPr>
        <w:pStyle w:val="l-tit-endr-ledd"/>
      </w:pPr>
      <w:r>
        <w:t>§ 33 tredje ledd skal lyde:</w:t>
      </w:r>
    </w:p>
    <w:p w:rsidR="00000000" w:rsidRDefault="00556C84" w:rsidP="0050705A">
      <w:pPr>
        <w:pStyle w:val="l-ledd"/>
      </w:pPr>
      <w:r>
        <w:t xml:space="preserve">Merking skal skje i henhold til bestemmelsene i </w:t>
      </w:r>
      <w:proofErr w:type="spellStart"/>
      <w:r>
        <w:rPr>
          <w:rStyle w:val="l-endring"/>
          <w:sz w:val="21"/>
          <w:szCs w:val="21"/>
        </w:rPr>
        <w:t>dyrevelferdloven</w:t>
      </w:r>
      <w:proofErr w:type="spellEnd"/>
      <w:r>
        <w:t>.</w:t>
      </w:r>
    </w:p>
    <w:p w:rsidR="00000000" w:rsidRDefault="00556C84" w:rsidP="0050705A">
      <w:pPr>
        <w:pStyle w:val="l-tit-endr-ledd"/>
      </w:pPr>
      <w:r>
        <w:t>I § 38 første ledd andre punktum, § 71 før</w:t>
      </w:r>
      <w:r>
        <w:t>ste ledd andre punktum, § 75 tredje punktum og § 79 andre ledd erstattes «Statens reindriftsforvaltning» med «Landbruksdirektoratet».</w:t>
      </w:r>
    </w:p>
    <w:p w:rsidR="00000000" w:rsidRDefault="00556C84" w:rsidP="0050705A">
      <w:pPr>
        <w:pStyle w:val="l-tit-endr-punktum"/>
      </w:pPr>
      <w:r>
        <w:t xml:space="preserve">§ 38 andre ledd skal lyde: </w:t>
      </w:r>
    </w:p>
    <w:p w:rsidR="00000000" w:rsidRDefault="00556C84" w:rsidP="0050705A">
      <w:pPr>
        <w:pStyle w:val="l-ledd"/>
      </w:pPr>
      <w:r>
        <w:t xml:space="preserve">Reinmerke kan ikke registreres som varemerke etter </w:t>
      </w:r>
      <w:r>
        <w:rPr>
          <w:rStyle w:val="l-endring"/>
          <w:sz w:val="21"/>
          <w:szCs w:val="21"/>
        </w:rPr>
        <w:t>varemerkeloven.</w:t>
      </w:r>
    </w:p>
    <w:p w:rsidR="00000000" w:rsidRDefault="00556C84" w:rsidP="0050705A">
      <w:pPr>
        <w:pStyle w:val="l-tit-endr-ledd"/>
      </w:pPr>
      <w:r>
        <w:t>§ 58 fjerde ledd skal lyde:</w:t>
      </w:r>
      <w:r>
        <w:t xml:space="preserve"> </w:t>
      </w:r>
    </w:p>
    <w:p w:rsidR="00000000" w:rsidRDefault="00556C84" w:rsidP="0050705A">
      <w:pPr>
        <w:pStyle w:val="l-ledd"/>
      </w:pPr>
      <w:r>
        <w:t xml:space="preserve">Hvis fylkesmannen ikke godkjenner de foreslåtte bruksreglene, skal </w:t>
      </w:r>
      <w:r>
        <w:rPr>
          <w:rStyle w:val="l-endring"/>
          <w:sz w:val="21"/>
          <w:szCs w:val="21"/>
        </w:rPr>
        <w:t>fylkesmannen</w:t>
      </w:r>
      <w:r>
        <w:t xml:space="preserve"> bistå distriktet ved utarbeidelse av et nytt forslag som skal behandles etter reglene foran. Fylkesmannen skal, hvis dette ikke fører frem, utarbeide bruksregler for distrikt</w:t>
      </w:r>
      <w:r>
        <w:t>et.</w:t>
      </w:r>
    </w:p>
    <w:p w:rsidR="00000000" w:rsidRDefault="00556C84" w:rsidP="0050705A">
      <w:pPr>
        <w:pStyle w:val="l-tit-endr-ledd"/>
      </w:pPr>
      <w:r>
        <w:t>§ 70 a første ledd andre punktum skal lyde:</w:t>
      </w:r>
    </w:p>
    <w:p w:rsidR="00000000" w:rsidRDefault="00556C84" w:rsidP="0050705A">
      <w:pPr>
        <w:pStyle w:val="l-ledd"/>
      </w:pPr>
      <w:r>
        <w:t xml:space="preserve">I kravet om skjønn skal det gis så vidt mulig nøyaktige opplysninger om tid og sted for </w:t>
      </w:r>
      <w:r>
        <w:rPr>
          <w:rStyle w:val="l-endring"/>
          <w:sz w:val="21"/>
          <w:szCs w:val="21"/>
        </w:rPr>
        <w:t>skadeforvoldelsen</w:t>
      </w:r>
      <w:r>
        <w:t>, skadens art og omfang og erstatningskravets størrelse.</w:t>
      </w:r>
    </w:p>
    <w:p w:rsidR="00000000" w:rsidRDefault="00556C84" w:rsidP="0050705A">
      <w:pPr>
        <w:pStyle w:val="l-tit-endr-lov"/>
      </w:pPr>
      <w:r>
        <w:t xml:space="preserve">6. I lov 21. juni 2013 nr. 100 om </w:t>
      </w:r>
      <w:proofErr w:type="spellStart"/>
      <w:r>
        <w:t>fastsetjing</w:t>
      </w:r>
      <w:proofErr w:type="spellEnd"/>
      <w:r>
        <w:t xml:space="preserve"> </w:t>
      </w:r>
      <w:r>
        <w:t xml:space="preserve">og endring av </w:t>
      </w:r>
      <w:proofErr w:type="spellStart"/>
      <w:r>
        <w:t>eigedoms</w:t>
      </w:r>
      <w:proofErr w:type="spellEnd"/>
      <w:r>
        <w:t xml:space="preserve">- og rettshøve på fast </w:t>
      </w:r>
      <w:proofErr w:type="spellStart"/>
      <w:r>
        <w:t>eigedom</w:t>
      </w:r>
      <w:proofErr w:type="spellEnd"/>
      <w:r>
        <w:t xml:space="preserve"> m.m. oppheves § 5-3 bokstav a).</w:t>
      </w:r>
    </w:p>
    <w:p w:rsidR="00000000" w:rsidRDefault="00556C84" w:rsidP="0050705A">
      <w:pPr>
        <w:pStyle w:val="l-tit-endr-lov"/>
      </w:pPr>
      <w:r>
        <w:t>7. I lov 15. august 2014 nr. 59 om erstatning for naturskader gjøres følgende endringer:</w:t>
      </w:r>
    </w:p>
    <w:p w:rsidR="00000000" w:rsidRDefault="00556C84" w:rsidP="0050705A">
      <w:pPr>
        <w:pStyle w:val="l-tit-endr-ledd"/>
      </w:pPr>
      <w:r>
        <w:t>I §§ 11, 12, 13, 14, 17, 18, 20 og 24 erstattes «Statens landbruksforvaltning» med</w:t>
      </w:r>
      <w:r>
        <w:t xml:space="preserve"> «Landbruksdirektoratet».</w:t>
      </w:r>
    </w:p>
    <w:p w:rsidR="00000000" w:rsidRDefault="00556C84" w:rsidP="0050705A">
      <w:pPr>
        <w:pStyle w:val="a-vedtak-del"/>
      </w:pPr>
      <w:r>
        <w:t>III</w:t>
      </w:r>
    </w:p>
    <w:p w:rsidR="00000000" w:rsidRDefault="00556C84" w:rsidP="0050705A">
      <w:r>
        <w:t>Loven gjelder fra den tiden Kongen bestemmer.</w:t>
      </w:r>
    </w:p>
    <w:sectPr w:rsidR="0000000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56C84">
      <w:pPr>
        <w:spacing w:after="0" w:line="240" w:lineRule="auto"/>
      </w:pPr>
      <w:r>
        <w:separator/>
      </w:r>
    </w:p>
  </w:endnote>
  <w:endnote w:type="continuationSeparator" w:id="0">
    <w:p w:rsidR="00000000" w:rsidRDefault="00556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56C84">
      <w:pPr>
        <w:spacing w:after="0" w:line="240" w:lineRule="auto"/>
      </w:pPr>
      <w:r>
        <w:separator/>
      </w:r>
    </w:p>
  </w:footnote>
  <w:footnote w:type="continuationSeparator" w:id="0">
    <w:p w:rsidR="00000000" w:rsidRDefault="00556C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76C1B"/>
    <w:rsid w:val="00190387"/>
    <w:rsid w:val="00376C1B"/>
    <w:rsid w:val="004C6D84"/>
    <w:rsid w:val="0050705A"/>
    <w:rsid w:val="00556C8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67EECF"/>
  <w14:defaultImageDpi w14:val="0"/>
  <w15:docId w15:val="{F304F181-F4EC-4D46-8E17-D09F1389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C1B"/>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376C1B"/>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76C1B"/>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376C1B"/>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376C1B"/>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376C1B"/>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376C1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376C1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376C1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376C1B"/>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376C1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76C1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76C1B"/>
    <w:pPr>
      <w:keepNext/>
      <w:keepLines/>
      <w:spacing w:before="240" w:after="240"/>
    </w:pPr>
  </w:style>
  <w:style w:type="paragraph" w:customStyle="1" w:styleId="a-konge-tit">
    <w:name w:val="a-konge-tit"/>
    <w:basedOn w:val="Normal"/>
    <w:next w:val="Normal"/>
    <w:rsid w:val="00376C1B"/>
    <w:pPr>
      <w:keepNext/>
      <w:keepLines/>
      <w:spacing w:before="240"/>
      <w:jc w:val="center"/>
    </w:pPr>
    <w:rPr>
      <w:spacing w:val="30"/>
    </w:rPr>
  </w:style>
  <w:style w:type="paragraph" w:customStyle="1" w:styleId="a-tilraar-dep">
    <w:name w:val="a-tilraar-dep"/>
    <w:basedOn w:val="Normal"/>
    <w:next w:val="Normal"/>
    <w:rsid w:val="00376C1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76C1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76C1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76C1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376C1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76C1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76C1B"/>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376C1B"/>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376C1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376C1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376C1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376C1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376C1B"/>
  </w:style>
  <w:style w:type="paragraph" w:customStyle="1" w:styleId="Def">
    <w:name w:val="Def"/>
    <w:basedOn w:val="hengende-innrykk"/>
    <w:rsid w:val="00376C1B"/>
    <w:pPr>
      <w:spacing w:line="240" w:lineRule="auto"/>
      <w:ind w:left="0" w:firstLine="0"/>
    </w:pPr>
    <w:rPr>
      <w:rFonts w:ascii="Times" w:eastAsia="Batang" w:hAnsi="Times"/>
      <w:spacing w:val="0"/>
      <w:szCs w:val="20"/>
    </w:rPr>
  </w:style>
  <w:style w:type="paragraph" w:customStyle="1" w:styleId="del-nr">
    <w:name w:val="del-nr"/>
    <w:basedOn w:val="Normal"/>
    <w:qFormat/>
    <w:rsid w:val="00376C1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376C1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76C1B"/>
  </w:style>
  <w:style w:type="paragraph" w:customStyle="1" w:styleId="figur-noter">
    <w:name w:val="figur-noter"/>
    <w:basedOn w:val="Normal"/>
    <w:next w:val="Normal"/>
    <w:rsid w:val="00376C1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76C1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376C1B"/>
    <w:rPr>
      <w:sz w:val="20"/>
    </w:rPr>
  </w:style>
  <w:style w:type="character" w:customStyle="1" w:styleId="FotnotetekstTegn">
    <w:name w:val="Fotnotetekst Tegn"/>
    <w:link w:val="Fotnotetekst"/>
    <w:rsid w:val="00376C1B"/>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76C1B"/>
    <w:pPr>
      <w:ind w:left="1418" w:hanging="1418"/>
    </w:pPr>
  </w:style>
  <w:style w:type="paragraph" w:customStyle="1" w:styleId="i-budkap-over">
    <w:name w:val="i-budkap-over"/>
    <w:basedOn w:val="Normal"/>
    <w:next w:val="Normal"/>
    <w:rsid w:val="00376C1B"/>
    <w:pPr>
      <w:jc w:val="right"/>
    </w:pPr>
    <w:rPr>
      <w:rFonts w:ascii="Times" w:hAnsi="Times"/>
      <w:b/>
      <w:noProof/>
    </w:rPr>
  </w:style>
  <w:style w:type="paragraph" w:customStyle="1" w:styleId="i-dep">
    <w:name w:val="i-dep"/>
    <w:basedOn w:val="Normal"/>
    <w:next w:val="Normal"/>
    <w:rsid w:val="00376C1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376C1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376C1B"/>
    <w:pPr>
      <w:ind w:left="1985" w:hanging="1985"/>
    </w:pPr>
    <w:rPr>
      <w:spacing w:val="0"/>
    </w:rPr>
  </w:style>
  <w:style w:type="paragraph" w:customStyle="1" w:styleId="i-statsrdato">
    <w:name w:val="i-statsr.dato"/>
    <w:basedOn w:val="Normal"/>
    <w:next w:val="Normal"/>
    <w:rsid w:val="00376C1B"/>
    <w:pPr>
      <w:spacing w:after="0"/>
      <w:jc w:val="center"/>
    </w:pPr>
    <w:rPr>
      <w:rFonts w:ascii="Times" w:hAnsi="Times"/>
      <w:i/>
      <w:noProof/>
    </w:rPr>
  </w:style>
  <w:style w:type="paragraph" w:customStyle="1" w:styleId="i-termin">
    <w:name w:val="i-termin"/>
    <w:basedOn w:val="Normal"/>
    <w:next w:val="Normal"/>
    <w:rsid w:val="00376C1B"/>
    <w:pPr>
      <w:spacing w:before="360"/>
      <w:jc w:val="center"/>
    </w:pPr>
    <w:rPr>
      <w:b/>
      <w:noProof/>
      <w:sz w:val="28"/>
    </w:rPr>
  </w:style>
  <w:style w:type="paragraph" w:customStyle="1" w:styleId="i-tit">
    <w:name w:val="i-tit"/>
    <w:basedOn w:val="Normal"/>
    <w:next w:val="i-statsrdato"/>
    <w:rsid w:val="00376C1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376C1B"/>
  </w:style>
  <w:style w:type="paragraph" w:customStyle="1" w:styleId="Kilde">
    <w:name w:val="Kilde"/>
    <w:basedOn w:val="Normal"/>
    <w:next w:val="Normal"/>
    <w:rsid w:val="00376C1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76C1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76C1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76C1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76C1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76C1B"/>
    <w:pPr>
      <w:spacing w:after="0"/>
    </w:pPr>
  </w:style>
  <w:style w:type="paragraph" w:customStyle="1" w:styleId="l-tit-endr-avsnitt">
    <w:name w:val="l-tit-endr-avsnitt"/>
    <w:basedOn w:val="l-tit-endr-lovkap"/>
    <w:qFormat/>
    <w:rsid w:val="00376C1B"/>
  </w:style>
  <w:style w:type="paragraph" w:customStyle="1" w:styleId="l-tit-endr-ledd">
    <w:name w:val="l-tit-endr-ledd"/>
    <w:basedOn w:val="Normal"/>
    <w:qFormat/>
    <w:rsid w:val="00376C1B"/>
    <w:pPr>
      <w:keepNext/>
      <w:spacing w:before="240" w:after="0" w:line="240" w:lineRule="auto"/>
    </w:pPr>
    <w:rPr>
      <w:rFonts w:ascii="Times" w:hAnsi="Times"/>
      <w:noProof/>
      <w:lang w:val="nn-NO"/>
    </w:rPr>
  </w:style>
  <w:style w:type="paragraph" w:customStyle="1" w:styleId="l-tit-endr-lov">
    <w:name w:val="l-tit-endr-lov"/>
    <w:basedOn w:val="Normal"/>
    <w:qFormat/>
    <w:rsid w:val="00376C1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76C1B"/>
    <w:pPr>
      <w:keepNext/>
      <w:spacing w:before="240" w:after="0" w:line="240" w:lineRule="auto"/>
    </w:pPr>
    <w:rPr>
      <w:rFonts w:ascii="Times" w:hAnsi="Times"/>
      <w:noProof/>
      <w:lang w:val="nn-NO"/>
    </w:rPr>
  </w:style>
  <w:style w:type="paragraph" w:customStyle="1" w:styleId="l-tit-endr-lovkap">
    <w:name w:val="l-tit-endr-lovkap"/>
    <w:basedOn w:val="Normal"/>
    <w:qFormat/>
    <w:rsid w:val="00376C1B"/>
    <w:pPr>
      <w:keepNext/>
      <w:spacing w:before="240" w:after="0" w:line="240" w:lineRule="auto"/>
    </w:pPr>
    <w:rPr>
      <w:rFonts w:ascii="Times" w:hAnsi="Times"/>
      <w:noProof/>
      <w:lang w:val="nn-NO"/>
    </w:rPr>
  </w:style>
  <w:style w:type="paragraph" w:customStyle="1" w:styleId="l-tit-endr-punktum">
    <w:name w:val="l-tit-endr-punktum"/>
    <w:basedOn w:val="l-tit-endr-ledd"/>
    <w:qFormat/>
    <w:rsid w:val="00376C1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376C1B"/>
    <w:pPr>
      <w:spacing w:before="60" w:after="0"/>
      <w:ind w:left="397"/>
    </w:pPr>
    <w:rPr>
      <w:spacing w:val="0"/>
    </w:rPr>
  </w:style>
  <w:style w:type="paragraph" w:customStyle="1" w:styleId="Listeavsnitt2">
    <w:name w:val="Listeavsnitt 2"/>
    <w:basedOn w:val="Normal"/>
    <w:qFormat/>
    <w:rsid w:val="00376C1B"/>
    <w:pPr>
      <w:spacing w:before="60" w:after="0"/>
      <w:ind w:left="794"/>
    </w:pPr>
    <w:rPr>
      <w:spacing w:val="0"/>
    </w:rPr>
  </w:style>
  <w:style w:type="paragraph" w:customStyle="1" w:styleId="Listeavsnitt3">
    <w:name w:val="Listeavsnitt 3"/>
    <w:basedOn w:val="Normal"/>
    <w:qFormat/>
    <w:rsid w:val="00376C1B"/>
    <w:pPr>
      <w:spacing w:before="60" w:after="0"/>
      <w:ind w:left="1191"/>
    </w:pPr>
    <w:rPr>
      <w:spacing w:val="0"/>
    </w:rPr>
  </w:style>
  <w:style w:type="paragraph" w:customStyle="1" w:styleId="Listeavsnitt4">
    <w:name w:val="Listeavsnitt 4"/>
    <w:basedOn w:val="Normal"/>
    <w:qFormat/>
    <w:rsid w:val="00376C1B"/>
    <w:pPr>
      <w:spacing w:before="60" w:after="0"/>
      <w:ind w:left="1588"/>
    </w:pPr>
    <w:rPr>
      <w:spacing w:val="0"/>
    </w:rPr>
  </w:style>
  <w:style w:type="paragraph" w:customStyle="1" w:styleId="Listeavsnitt5">
    <w:name w:val="Listeavsnitt 5"/>
    <w:basedOn w:val="Normal"/>
    <w:qFormat/>
    <w:rsid w:val="00376C1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76C1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376C1B"/>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376C1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376C1B"/>
    <w:pPr>
      <w:keepNext/>
      <w:keepLines/>
      <w:spacing w:before="360"/>
    </w:pPr>
    <w:rPr>
      <w:rFonts w:ascii="Arial" w:hAnsi="Arial"/>
      <w:b/>
      <w:sz w:val="28"/>
    </w:rPr>
  </w:style>
  <w:style w:type="character" w:customStyle="1" w:styleId="UndertittelTegn">
    <w:name w:val="Undertittel Tegn"/>
    <w:link w:val="Undertittel"/>
    <w:rsid w:val="00376C1B"/>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76C1B"/>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76C1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76C1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76C1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76C1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376C1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76C1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76C1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76C1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376C1B"/>
    <w:pPr>
      <w:numPr>
        <w:numId w:val="0"/>
      </w:numPr>
    </w:pPr>
    <w:rPr>
      <w:b w:val="0"/>
      <w:i/>
    </w:rPr>
  </w:style>
  <w:style w:type="paragraph" w:customStyle="1" w:styleId="Undervedl-tittel">
    <w:name w:val="Undervedl-tittel"/>
    <w:basedOn w:val="Normal"/>
    <w:next w:val="Normal"/>
    <w:rsid w:val="00376C1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76C1B"/>
    <w:pPr>
      <w:numPr>
        <w:numId w:val="0"/>
      </w:numPr>
      <w:outlineLvl w:val="9"/>
    </w:pPr>
  </w:style>
  <w:style w:type="paragraph" w:customStyle="1" w:styleId="v-Overskrift2">
    <w:name w:val="v-Overskrift 2"/>
    <w:basedOn w:val="Overskrift2"/>
    <w:next w:val="Normal"/>
    <w:rsid w:val="00376C1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376C1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76C1B"/>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76C1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376C1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376C1B"/>
    <w:pPr>
      <w:keepNext/>
      <w:keepLines/>
      <w:spacing w:before="720"/>
      <w:jc w:val="center"/>
    </w:pPr>
    <w:rPr>
      <w:rFonts w:ascii="Times" w:hAnsi="Times"/>
      <w:b/>
      <w:noProof/>
      <w:sz w:val="56"/>
    </w:rPr>
  </w:style>
  <w:style w:type="paragraph" w:customStyle="1" w:styleId="i-sesjon">
    <w:name w:val="i-sesjon"/>
    <w:basedOn w:val="Normal"/>
    <w:next w:val="Normal"/>
    <w:rsid w:val="00376C1B"/>
    <w:pPr>
      <w:jc w:val="center"/>
    </w:pPr>
    <w:rPr>
      <w:rFonts w:ascii="Times" w:hAnsi="Times"/>
      <w:b/>
      <w:noProof/>
      <w:sz w:val="28"/>
    </w:rPr>
  </w:style>
  <w:style w:type="paragraph" w:customStyle="1" w:styleId="i-mtit">
    <w:name w:val="i-mtit"/>
    <w:basedOn w:val="Normal"/>
    <w:next w:val="Normal"/>
    <w:rsid w:val="00376C1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376C1B"/>
    <w:rPr>
      <w:rFonts w:ascii="Arial" w:eastAsia="Times New Roman" w:hAnsi="Arial"/>
      <w:b/>
      <w:spacing w:val="4"/>
      <w:sz w:val="28"/>
    </w:rPr>
  </w:style>
  <w:style w:type="character" w:customStyle="1" w:styleId="Overskrift3Tegn">
    <w:name w:val="Overskrift 3 Tegn"/>
    <w:link w:val="Overskrift3"/>
    <w:rsid w:val="00376C1B"/>
    <w:rPr>
      <w:rFonts w:ascii="Arial" w:eastAsia="Times New Roman" w:hAnsi="Arial"/>
      <w:b/>
      <w:sz w:val="24"/>
    </w:rPr>
  </w:style>
  <w:style w:type="character" w:customStyle="1" w:styleId="Overskrift4Tegn">
    <w:name w:val="Overskrift 4 Tegn"/>
    <w:link w:val="Overskrift4"/>
    <w:rsid w:val="00376C1B"/>
    <w:rPr>
      <w:rFonts w:ascii="Arial" w:eastAsia="Times New Roman" w:hAnsi="Arial"/>
      <w:i/>
      <w:spacing w:val="4"/>
      <w:sz w:val="24"/>
    </w:rPr>
  </w:style>
  <w:style w:type="character" w:customStyle="1" w:styleId="Overskrift5Tegn">
    <w:name w:val="Overskrift 5 Tegn"/>
    <w:link w:val="Overskrift5"/>
    <w:rsid w:val="00376C1B"/>
    <w:rPr>
      <w:rFonts w:ascii="Arial" w:eastAsia="Times New Roman" w:hAnsi="Arial"/>
      <w:i/>
      <w:sz w:val="24"/>
    </w:rPr>
  </w:style>
  <w:style w:type="paragraph" w:styleId="Liste">
    <w:name w:val="List"/>
    <w:basedOn w:val="Normal"/>
    <w:rsid w:val="00376C1B"/>
    <w:pPr>
      <w:numPr>
        <w:numId w:val="6"/>
      </w:numPr>
      <w:spacing w:line="240" w:lineRule="auto"/>
      <w:contextualSpacing/>
    </w:pPr>
  </w:style>
  <w:style w:type="paragraph" w:styleId="Liste2">
    <w:name w:val="List 2"/>
    <w:basedOn w:val="Normal"/>
    <w:rsid w:val="00376C1B"/>
    <w:pPr>
      <w:numPr>
        <w:ilvl w:val="1"/>
        <w:numId w:val="6"/>
      </w:numPr>
      <w:spacing w:after="0"/>
    </w:pPr>
  </w:style>
  <w:style w:type="paragraph" w:styleId="Liste3">
    <w:name w:val="List 3"/>
    <w:basedOn w:val="Normal"/>
    <w:rsid w:val="00376C1B"/>
    <w:pPr>
      <w:numPr>
        <w:ilvl w:val="2"/>
        <w:numId w:val="6"/>
      </w:numPr>
      <w:spacing w:after="0"/>
    </w:pPr>
    <w:rPr>
      <w:spacing w:val="0"/>
    </w:rPr>
  </w:style>
  <w:style w:type="paragraph" w:styleId="Liste4">
    <w:name w:val="List 4"/>
    <w:basedOn w:val="Normal"/>
    <w:rsid w:val="00376C1B"/>
    <w:pPr>
      <w:numPr>
        <w:ilvl w:val="3"/>
        <w:numId w:val="6"/>
      </w:numPr>
      <w:spacing w:after="0"/>
    </w:pPr>
    <w:rPr>
      <w:spacing w:val="0"/>
    </w:rPr>
  </w:style>
  <w:style w:type="paragraph" w:styleId="Liste5">
    <w:name w:val="List 5"/>
    <w:basedOn w:val="Normal"/>
    <w:rsid w:val="00376C1B"/>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376C1B"/>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376C1B"/>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376C1B"/>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376C1B"/>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376C1B"/>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376C1B"/>
    <w:pPr>
      <w:numPr>
        <w:numId w:val="14"/>
      </w:numPr>
      <w:tabs>
        <w:tab w:val="left" w:pos="397"/>
      </w:tabs>
      <w:ind w:left="397" w:hanging="397"/>
    </w:pPr>
  </w:style>
  <w:style w:type="paragraph" w:customStyle="1" w:styleId="Listebombe2">
    <w:name w:val="Liste bombe 2"/>
    <w:basedOn w:val="Liste2"/>
    <w:qFormat/>
    <w:rsid w:val="00376C1B"/>
    <w:pPr>
      <w:numPr>
        <w:ilvl w:val="0"/>
        <w:numId w:val="15"/>
      </w:numPr>
      <w:ind w:left="794" w:hanging="397"/>
    </w:pPr>
  </w:style>
  <w:style w:type="paragraph" w:customStyle="1" w:styleId="Listebombe3">
    <w:name w:val="Liste bombe 3"/>
    <w:basedOn w:val="Liste3"/>
    <w:qFormat/>
    <w:rsid w:val="00376C1B"/>
    <w:pPr>
      <w:numPr>
        <w:ilvl w:val="0"/>
        <w:numId w:val="16"/>
      </w:numPr>
      <w:ind w:left="1191" w:hanging="397"/>
    </w:pPr>
  </w:style>
  <w:style w:type="paragraph" w:customStyle="1" w:styleId="Listebombe4">
    <w:name w:val="Liste bombe 4"/>
    <w:basedOn w:val="Liste4"/>
    <w:qFormat/>
    <w:rsid w:val="00376C1B"/>
    <w:pPr>
      <w:numPr>
        <w:ilvl w:val="0"/>
        <w:numId w:val="17"/>
      </w:numPr>
      <w:ind w:left="1588" w:hanging="397"/>
    </w:pPr>
  </w:style>
  <w:style w:type="paragraph" w:customStyle="1" w:styleId="Listebombe5">
    <w:name w:val="Liste bombe 5"/>
    <w:basedOn w:val="Liste5"/>
    <w:qFormat/>
    <w:rsid w:val="00376C1B"/>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76C1B"/>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76C1B"/>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76C1B"/>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76C1B"/>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76C1B"/>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76C1B"/>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76C1B"/>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76C1B"/>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76C1B"/>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76C1B"/>
    <w:pPr>
      <w:numPr>
        <w:ilvl w:val="4"/>
        <w:numId w:val="13"/>
      </w:numPr>
      <w:spacing w:after="0"/>
    </w:pPr>
  </w:style>
  <w:style w:type="paragraph" w:customStyle="1" w:styleId="opplisting2">
    <w:name w:val="opplisting 2"/>
    <w:basedOn w:val="Normal"/>
    <w:qFormat/>
    <w:rsid w:val="00376C1B"/>
    <w:pPr>
      <w:spacing w:after="0"/>
      <w:ind w:left="397"/>
    </w:pPr>
    <w:rPr>
      <w:spacing w:val="0"/>
      <w:lang w:val="en-US"/>
    </w:rPr>
  </w:style>
  <w:style w:type="paragraph" w:customStyle="1" w:styleId="opplisting3">
    <w:name w:val="opplisting 3"/>
    <w:basedOn w:val="Normal"/>
    <w:qFormat/>
    <w:rsid w:val="00376C1B"/>
    <w:pPr>
      <w:spacing w:after="0"/>
      <w:ind w:left="794"/>
    </w:pPr>
    <w:rPr>
      <w:spacing w:val="0"/>
    </w:rPr>
  </w:style>
  <w:style w:type="paragraph" w:customStyle="1" w:styleId="opplisting4">
    <w:name w:val="opplisting 4"/>
    <w:basedOn w:val="Normal"/>
    <w:qFormat/>
    <w:rsid w:val="00376C1B"/>
    <w:pPr>
      <w:spacing w:after="0"/>
      <w:ind w:left="1191"/>
    </w:pPr>
    <w:rPr>
      <w:spacing w:val="0"/>
    </w:rPr>
  </w:style>
  <w:style w:type="paragraph" w:customStyle="1" w:styleId="opplisting5">
    <w:name w:val="opplisting 5"/>
    <w:basedOn w:val="Normal"/>
    <w:qFormat/>
    <w:rsid w:val="00376C1B"/>
    <w:pPr>
      <w:spacing w:after="0"/>
      <w:ind w:left="1588"/>
    </w:pPr>
    <w:rPr>
      <w:spacing w:val="0"/>
    </w:rPr>
  </w:style>
  <w:style w:type="paragraph" w:customStyle="1" w:styleId="friliste">
    <w:name w:val="friliste"/>
    <w:basedOn w:val="Normal"/>
    <w:qFormat/>
    <w:rsid w:val="00376C1B"/>
    <w:pPr>
      <w:tabs>
        <w:tab w:val="left" w:pos="397"/>
      </w:tabs>
      <w:spacing w:after="0"/>
      <w:ind w:left="397" w:hanging="397"/>
    </w:pPr>
    <w:rPr>
      <w:spacing w:val="0"/>
    </w:rPr>
  </w:style>
  <w:style w:type="paragraph" w:customStyle="1" w:styleId="friliste2">
    <w:name w:val="friliste 2"/>
    <w:basedOn w:val="Normal"/>
    <w:qFormat/>
    <w:rsid w:val="00376C1B"/>
    <w:pPr>
      <w:tabs>
        <w:tab w:val="left" w:pos="794"/>
      </w:tabs>
      <w:spacing w:after="0"/>
      <w:ind w:left="794" w:hanging="397"/>
    </w:pPr>
    <w:rPr>
      <w:spacing w:val="0"/>
    </w:rPr>
  </w:style>
  <w:style w:type="paragraph" w:customStyle="1" w:styleId="friliste3">
    <w:name w:val="friliste 3"/>
    <w:basedOn w:val="Normal"/>
    <w:qFormat/>
    <w:rsid w:val="00376C1B"/>
    <w:pPr>
      <w:tabs>
        <w:tab w:val="left" w:pos="1191"/>
      </w:tabs>
      <w:spacing w:after="0"/>
      <w:ind w:left="1191" w:hanging="397"/>
    </w:pPr>
    <w:rPr>
      <w:spacing w:val="0"/>
    </w:rPr>
  </w:style>
  <w:style w:type="paragraph" w:customStyle="1" w:styleId="friliste4">
    <w:name w:val="friliste 4"/>
    <w:basedOn w:val="Normal"/>
    <w:qFormat/>
    <w:rsid w:val="00376C1B"/>
    <w:pPr>
      <w:tabs>
        <w:tab w:val="left" w:pos="1588"/>
      </w:tabs>
      <w:spacing w:after="0"/>
      <w:ind w:left="1588" w:hanging="397"/>
    </w:pPr>
    <w:rPr>
      <w:spacing w:val="0"/>
    </w:rPr>
  </w:style>
  <w:style w:type="paragraph" w:customStyle="1" w:styleId="friliste5">
    <w:name w:val="friliste 5"/>
    <w:basedOn w:val="Normal"/>
    <w:qFormat/>
    <w:rsid w:val="00376C1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376C1B"/>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76C1B"/>
    <w:pPr>
      <w:numPr>
        <w:numId w:val="12"/>
      </w:numPr>
    </w:pPr>
  </w:style>
  <w:style w:type="paragraph" w:customStyle="1" w:styleId="avsnitt-undertittel">
    <w:name w:val="avsnitt-undertittel"/>
    <w:basedOn w:val="Normal"/>
    <w:next w:val="Normal"/>
    <w:rsid w:val="00376C1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76C1B"/>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76C1B"/>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76C1B"/>
    <w:pPr>
      <w:numPr>
        <w:numId w:val="12"/>
      </w:numPr>
    </w:pPr>
  </w:style>
  <w:style w:type="paragraph" w:customStyle="1" w:styleId="avsnitt-under-undertittel">
    <w:name w:val="avsnitt-under-undertittel"/>
    <w:basedOn w:val="Normal"/>
    <w:next w:val="Normal"/>
    <w:rsid w:val="00376C1B"/>
    <w:pPr>
      <w:keepNext/>
      <w:keepLines/>
      <w:spacing w:before="360" w:line="240" w:lineRule="auto"/>
    </w:pPr>
    <w:rPr>
      <w:rFonts w:eastAsia="Batang"/>
      <w:i/>
      <w:spacing w:val="0"/>
      <w:szCs w:val="20"/>
    </w:rPr>
  </w:style>
  <w:style w:type="paragraph" w:customStyle="1" w:styleId="blokksit">
    <w:name w:val="blokksit"/>
    <w:basedOn w:val="Normal"/>
    <w:qFormat/>
    <w:rsid w:val="00376C1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76C1B"/>
    <w:pPr>
      <w:spacing w:before="180" w:after="0"/>
    </w:pPr>
    <w:rPr>
      <w:rFonts w:ascii="Times" w:hAnsi="Times"/>
      <w:i/>
    </w:rPr>
  </w:style>
  <w:style w:type="paragraph" w:customStyle="1" w:styleId="l-ledd">
    <w:name w:val="l-ledd"/>
    <w:basedOn w:val="Normal"/>
    <w:qFormat/>
    <w:rsid w:val="00376C1B"/>
    <w:pPr>
      <w:spacing w:after="0"/>
      <w:ind w:firstLine="397"/>
    </w:pPr>
    <w:rPr>
      <w:rFonts w:ascii="Times" w:hAnsi="Times"/>
    </w:rPr>
  </w:style>
  <w:style w:type="paragraph" w:customStyle="1" w:styleId="l-tit-endr-paragraf">
    <w:name w:val="l-tit-endr-paragraf"/>
    <w:basedOn w:val="Normal"/>
    <w:qFormat/>
    <w:rsid w:val="00376C1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376C1B"/>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376C1B"/>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376C1B"/>
    <w:rPr>
      <w:rFonts w:ascii="Times New Roman" w:eastAsia="Times New Roman" w:hAnsi="Times New Roman"/>
      <w:spacing w:val="4"/>
      <w:sz w:val="20"/>
    </w:rPr>
  </w:style>
  <w:style w:type="character" w:customStyle="1" w:styleId="DatoTegn">
    <w:name w:val="Dato Tegn"/>
    <w:link w:val="Dato0"/>
    <w:rsid w:val="00376C1B"/>
    <w:rPr>
      <w:rFonts w:ascii="Times New Roman" w:eastAsia="Times New Roman" w:hAnsi="Times New Roman"/>
      <w:spacing w:val="4"/>
      <w:sz w:val="24"/>
    </w:rPr>
  </w:style>
  <w:style w:type="character" w:styleId="Fotnotereferanse">
    <w:name w:val="footnote reference"/>
    <w:rsid w:val="00376C1B"/>
    <w:rPr>
      <w:vertAlign w:val="superscript"/>
    </w:rPr>
  </w:style>
  <w:style w:type="character" w:customStyle="1" w:styleId="gjennomstreket">
    <w:name w:val="gjennomstreket"/>
    <w:uiPriority w:val="1"/>
    <w:rsid w:val="00376C1B"/>
    <w:rPr>
      <w:strike/>
      <w:dstrike w:val="0"/>
    </w:rPr>
  </w:style>
  <w:style w:type="character" w:customStyle="1" w:styleId="halvfet0">
    <w:name w:val="halvfet"/>
    <w:rsid w:val="00376C1B"/>
    <w:rPr>
      <w:b/>
    </w:rPr>
  </w:style>
  <w:style w:type="character" w:styleId="Hyperkobling">
    <w:name w:val="Hyperlink"/>
    <w:uiPriority w:val="99"/>
    <w:unhideWhenUsed/>
    <w:rsid w:val="00376C1B"/>
    <w:rPr>
      <w:color w:val="0000FF"/>
      <w:u w:val="single"/>
    </w:rPr>
  </w:style>
  <w:style w:type="character" w:customStyle="1" w:styleId="kursiv">
    <w:name w:val="kursiv"/>
    <w:rsid w:val="00376C1B"/>
    <w:rPr>
      <w:i/>
    </w:rPr>
  </w:style>
  <w:style w:type="character" w:customStyle="1" w:styleId="l-endring">
    <w:name w:val="l-endring"/>
    <w:rsid w:val="00376C1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376C1B"/>
  </w:style>
  <w:style w:type="character" w:styleId="Plassholdertekst">
    <w:name w:val="Placeholder Text"/>
    <w:uiPriority w:val="99"/>
    <w:rsid w:val="00376C1B"/>
    <w:rPr>
      <w:color w:val="808080"/>
    </w:rPr>
  </w:style>
  <w:style w:type="character" w:customStyle="1" w:styleId="regular">
    <w:name w:val="regular"/>
    <w:uiPriority w:val="1"/>
    <w:qFormat/>
    <w:rsid w:val="00376C1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376C1B"/>
    <w:rPr>
      <w:vertAlign w:val="superscript"/>
    </w:rPr>
  </w:style>
  <w:style w:type="character" w:customStyle="1" w:styleId="skrift-senket">
    <w:name w:val="skrift-senket"/>
    <w:rsid w:val="00376C1B"/>
    <w:rPr>
      <w:vertAlign w:val="subscript"/>
    </w:rPr>
  </w:style>
  <w:style w:type="character" w:customStyle="1" w:styleId="SluttnotetekstTegn">
    <w:name w:val="Sluttnotetekst Tegn"/>
    <w:link w:val="Sluttnotetekst"/>
    <w:uiPriority w:val="99"/>
    <w:semiHidden/>
    <w:rsid w:val="00376C1B"/>
    <w:rPr>
      <w:rFonts w:ascii="Times New Roman" w:eastAsia="Times New Roman" w:hAnsi="Times New Roman"/>
      <w:spacing w:val="4"/>
      <w:sz w:val="20"/>
      <w:szCs w:val="20"/>
    </w:rPr>
  </w:style>
  <w:style w:type="character" w:customStyle="1" w:styleId="sperret0">
    <w:name w:val="sperret"/>
    <w:rsid w:val="00376C1B"/>
    <w:rPr>
      <w:spacing w:val="30"/>
    </w:rPr>
  </w:style>
  <w:style w:type="character" w:customStyle="1" w:styleId="SterktsitatTegn">
    <w:name w:val="Sterkt sitat Tegn"/>
    <w:link w:val="Sterktsitat"/>
    <w:uiPriority w:val="30"/>
    <w:rsid w:val="00376C1B"/>
    <w:rPr>
      <w:rFonts w:ascii="Times New Roman" w:eastAsia="Times New Roman" w:hAnsi="Times New Roman"/>
      <w:b/>
      <w:bCs/>
      <w:i/>
      <w:iCs/>
      <w:color w:val="4F81BD"/>
      <w:spacing w:val="4"/>
      <w:sz w:val="24"/>
    </w:rPr>
  </w:style>
  <w:style w:type="character" w:customStyle="1" w:styleId="Stikkord">
    <w:name w:val="Stikkord"/>
    <w:rsid w:val="00376C1B"/>
    <w:rPr>
      <w:color w:val="0000FF"/>
    </w:rPr>
  </w:style>
  <w:style w:type="character" w:customStyle="1" w:styleId="stikkord0">
    <w:name w:val="stikkord"/>
    <w:uiPriority w:val="99"/>
  </w:style>
  <w:style w:type="character" w:styleId="Sterk">
    <w:name w:val="Strong"/>
    <w:uiPriority w:val="22"/>
    <w:qFormat/>
    <w:rsid w:val="00376C1B"/>
    <w:rPr>
      <w:b/>
      <w:bCs/>
    </w:rPr>
  </w:style>
  <w:style w:type="character" w:customStyle="1" w:styleId="TopptekstTegn">
    <w:name w:val="Topptekst Tegn"/>
    <w:link w:val="Topptekst"/>
    <w:rsid w:val="00376C1B"/>
    <w:rPr>
      <w:rFonts w:ascii="Times New Roman" w:eastAsia="Times New Roman" w:hAnsi="Times New Roman"/>
      <w:sz w:val="20"/>
    </w:rPr>
  </w:style>
  <w:style w:type="character" w:customStyle="1" w:styleId="UnderskriftTegn">
    <w:name w:val="Underskrift Tegn"/>
    <w:link w:val="Underskrift"/>
    <w:uiPriority w:val="99"/>
    <w:rsid w:val="00376C1B"/>
    <w:rPr>
      <w:rFonts w:ascii="Times New Roman" w:eastAsia="Times New Roman" w:hAnsi="Times New Roman"/>
      <w:spacing w:val="4"/>
      <w:sz w:val="24"/>
    </w:rPr>
  </w:style>
  <w:style w:type="paragraph" w:styleId="Topptekst">
    <w:name w:val="header"/>
    <w:basedOn w:val="Normal"/>
    <w:link w:val="TopptekstTegn"/>
    <w:rsid w:val="00376C1B"/>
    <w:pPr>
      <w:tabs>
        <w:tab w:val="center" w:pos="4536"/>
        <w:tab w:val="right" w:pos="9072"/>
      </w:tabs>
    </w:pPr>
    <w:rPr>
      <w:spacing w:val="0"/>
      <w:sz w:val="20"/>
    </w:rPr>
  </w:style>
  <w:style w:type="character" w:customStyle="1" w:styleId="TopptekstTegn1">
    <w:name w:val="Topptekst Tegn1"/>
    <w:basedOn w:val="Standardskriftforavsnitt"/>
    <w:uiPriority w:val="99"/>
    <w:rsid w:val="00376C1B"/>
    <w:rPr>
      <w:rFonts w:ascii="UniCentury Old Style" w:hAnsi="UniCentury Old Style" w:cs="UniCentury Old Style"/>
      <w:color w:val="000000"/>
      <w:w w:val="0"/>
      <w:sz w:val="20"/>
      <w:szCs w:val="20"/>
    </w:rPr>
  </w:style>
  <w:style w:type="paragraph" w:styleId="Bunntekst">
    <w:name w:val="footer"/>
    <w:basedOn w:val="Normal"/>
    <w:link w:val="BunntekstTegn"/>
    <w:rsid w:val="00376C1B"/>
    <w:pPr>
      <w:tabs>
        <w:tab w:val="center" w:pos="4153"/>
        <w:tab w:val="right" w:pos="8306"/>
      </w:tabs>
    </w:pPr>
    <w:rPr>
      <w:sz w:val="20"/>
    </w:rPr>
  </w:style>
  <w:style w:type="character" w:customStyle="1" w:styleId="BunntekstTegn1">
    <w:name w:val="Bunntekst Tegn1"/>
    <w:basedOn w:val="Standardskriftforavsnitt"/>
    <w:uiPriority w:val="99"/>
    <w:rsid w:val="00376C1B"/>
    <w:rPr>
      <w:rFonts w:ascii="UniCentury Old Style" w:hAnsi="UniCentury Old Style" w:cs="UniCentury Old Style"/>
      <w:color w:val="000000"/>
      <w:w w:val="0"/>
      <w:sz w:val="20"/>
      <w:szCs w:val="20"/>
    </w:rPr>
  </w:style>
  <w:style w:type="character" w:customStyle="1" w:styleId="Overskrift6Tegn">
    <w:name w:val="Overskrift 6 Tegn"/>
    <w:link w:val="Overskrift6"/>
    <w:rsid w:val="00376C1B"/>
    <w:rPr>
      <w:rFonts w:ascii="Arial" w:eastAsia="Times New Roman" w:hAnsi="Arial"/>
      <w:i/>
      <w:spacing w:val="4"/>
    </w:rPr>
  </w:style>
  <w:style w:type="character" w:customStyle="1" w:styleId="Overskrift7Tegn">
    <w:name w:val="Overskrift 7 Tegn"/>
    <w:link w:val="Overskrift7"/>
    <w:rsid w:val="00376C1B"/>
    <w:rPr>
      <w:rFonts w:ascii="Arial" w:eastAsia="Times New Roman" w:hAnsi="Arial"/>
      <w:spacing w:val="4"/>
      <w:sz w:val="24"/>
    </w:rPr>
  </w:style>
  <w:style w:type="character" w:customStyle="1" w:styleId="Overskrift8Tegn">
    <w:name w:val="Overskrift 8 Tegn"/>
    <w:link w:val="Overskrift8"/>
    <w:rsid w:val="00376C1B"/>
    <w:rPr>
      <w:rFonts w:ascii="Arial" w:eastAsia="Times New Roman" w:hAnsi="Arial"/>
      <w:i/>
      <w:spacing w:val="4"/>
      <w:sz w:val="24"/>
    </w:rPr>
  </w:style>
  <w:style w:type="character" w:customStyle="1" w:styleId="Overskrift9Tegn">
    <w:name w:val="Overskrift 9 Tegn"/>
    <w:link w:val="Overskrift9"/>
    <w:rsid w:val="00376C1B"/>
    <w:rPr>
      <w:rFonts w:ascii="Arial" w:eastAsia="Times New Roman" w:hAnsi="Arial"/>
      <w:i/>
      <w:spacing w:val="4"/>
      <w:sz w:val="18"/>
    </w:rPr>
  </w:style>
  <w:style w:type="table" w:customStyle="1" w:styleId="Tabell-VM">
    <w:name w:val="Tabell-VM"/>
    <w:basedOn w:val="Tabelltemaer"/>
    <w:uiPriority w:val="99"/>
    <w:qFormat/>
    <w:rsid w:val="00376C1B"/>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376C1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76C1B"/>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376C1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76C1B"/>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376C1B"/>
    <w:pPr>
      <w:tabs>
        <w:tab w:val="right" w:leader="dot" w:pos="8306"/>
      </w:tabs>
    </w:pPr>
    <w:rPr>
      <w:spacing w:val="0"/>
    </w:rPr>
  </w:style>
  <w:style w:type="paragraph" w:styleId="INNH2">
    <w:name w:val="toc 2"/>
    <w:basedOn w:val="Normal"/>
    <w:next w:val="Normal"/>
    <w:rsid w:val="00376C1B"/>
    <w:pPr>
      <w:tabs>
        <w:tab w:val="right" w:leader="dot" w:pos="8306"/>
      </w:tabs>
      <w:ind w:left="200"/>
    </w:pPr>
    <w:rPr>
      <w:spacing w:val="0"/>
    </w:rPr>
  </w:style>
  <w:style w:type="paragraph" w:styleId="INNH3">
    <w:name w:val="toc 3"/>
    <w:basedOn w:val="Normal"/>
    <w:next w:val="Normal"/>
    <w:rsid w:val="00376C1B"/>
    <w:pPr>
      <w:tabs>
        <w:tab w:val="right" w:leader="dot" w:pos="8306"/>
      </w:tabs>
      <w:ind w:left="400"/>
    </w:pPr>
    <w:rPr>
      <w:spacing w:val="0"/>
    </w:rPr>
  </w:style>
  <w:style w:type="paragraph" w:styleId="INNH4">
    <w:name w:val="toc 4"/>
    <w:basedOn w:val="Normal"/>
    <w:next w:val="Normal"/>
    <w:rsid w:val="00376C1B"/>
    <w:pPr>
      <w:tabs>
        <w:tab w:val="right" w:leader="dot" w:pos="8306"/>
      </w:tabs>
      <w:ind w:left="600"/>
    </w:pPr>
    <w:rPr>
      <w:spacing w:val="0"/>
    </w:rPr>
  </w:style>
  <w:style w:type="paragraph" w:styleId="INNH5">
    <w:name w:val="toc 5"/>
    <w:basedOn w:val="Normal"/>
    <w:next w:val="Normal"/>
    <w:rsid w:val="00376C1B"/>
    <w:pPr>
      <w:tabs>
        <w:tab w:val="right" w:leader="dot" w:pos="8306"/>
      </w:tabs>
      <w:ind w:left="800"/>
    </w:pPr>
    <w:rPr>
      <w:spacing w:val="0"/>
    </w:rPr>
  </w:style>
  <w:style w:type="character" w:styleId="Merknadsreferanse">
    <w:name w:val="annotation reference"/>
    <w:rsid w:val="00376C1B"/>
    <w:rPr>
      <w:sz w:val="16"/>
    </w:rPr>
  </w:style>
  <w:style w:type="paragraph" w:styleId="Merknadstekst">
    <w:name w:val="annotation text"/>
    <w:basedOn w:val="Normal"/>
    <w:link w:val="MerknadstekstTegn"/>
    <w:rsid w:val="00376C1B"/>
    <w:rPr>
      <w:spacing w:val="0"/>
      <w:sz w:val="20"/>
    </w:rPr>
  </w:style>
  <w:style w:type="character" w:customStyle="1" w:styleId="MerknadstekstTegn">
    <w:name w:val="Merknadstekst Tegn"/>
    <w:link w:val="Merknadstekst"/>
    <w:rsid w:val="00376C1B"/>
    <w:rPr>
      <w:rFonts w:ascii="Times New Roman" w:eastAsia="Times New Roman" w:hAnsi="Times New Roman"/>
      <w:sz w:val="20"/>
    </w:rPr>
  </w:style>
  <w:style w:type="paragraph" w:styleId="Punktliste">
    <w:name w:val="List Bullet"/>
    <w:basedOn w:val="Normal"/>
    <w:rsid w:val="00376C1B"/>
    <w:pPr>
      <w:spacing w:after="0"/>
      <w:ind w:left="284" w:hanging="284"/>
    </w:pPr>
  </w:style>
  <w:style w:type="paragraph" w:styleId="Punktliste2">
    <w:name w:val="List Bullet 2"/>
    <w:basedOn w:val="Normal"/>
    <w:rsid w:val="00376C1B"/>
    <w:pPr>
      <w:spacing w:after="0"/>
      <w:ind w:left="568" w:hanging="284"/>
    </w:pPr>
  </w:style>
  <w:style w:type="paragraph" w:styleId="Punktliste3">
    <w:name w:val="List Bullet 3"/>
    <w:basedOn w:val="Normal"/>
    <w:rsid w:val="00376C1B"/>
    <w:pPr>
      <w:spacing w:after="0"/>
      <w:ind w:left="851" w:hanging="284"/>
    </w:pPr>
  </w:style>
  <w:style w:type="paragraph" w:styleId="Punktliste4">
    <w:name w:val="List Bullet 4"/>
    <w:basedOn w:val="Normal"/>
    <w:rsid w:val="00376C1B"/>
    <w:pPr>
      <w:spacing w:after="0"/>
      <w:ind w:left="1135" w:hanging="284"/>
    </w:pPr>
    <w:rPr>
      <w:spacing w:val="0"/>
    </w:rPr>
  </w:style>
  <w:style w:type="paragraph" w:styleId="Punktliste5">
    <w:name w:val="List Bullet 5"/>
    <w:basedOn w:val="Normal"/>
    <w:rsid w:val="00376C1B"/>
    <w:pPr>
      <w:spacing w:after="0"/>
      <w:ind w:left="1418" w:hanging="284"/>
    </w:pPr>
    <w:rPr>
      <w:spacing w:val="0"/>
    </w:rPr>
  </w:style>
  <w:style w:type="table" w:customStyle="1" w:styleId="StandardTabell">
    <w:name w:val="StandardTabell"/>
    <w:basedOn w:val="Vanligtabell"/>
    <w:uiPriority w:val="99"/>
    <w:qFormat/>
    <w:rsid w:val="00376C1B"/>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376C1B"/>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76C1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376C1B"/>
    <w:pPr>
      <w:spacing w:after="0" w:line="240" w:lineRule="auto"/>
      <w:ind w:left="240" w:hanging="240"/>
    </w:pPr>
  </w:style>
  <w:style w:type="paragraph" w:styleId="Indeks2">
    <w:name w:val="index 2"/>
    <w:basedOn w:val="Normal"/>
    <w:next w:val="Normal"/>
    <w:autoRedefine/>
    <w:uiPriority w:val="99"/>
    <w:semiHidden/>
    <w:unhideWhenUsed/>
    <w:rsid w:val="00376C1B"/>
    <w:pPr>
      <w:spacing w:after="0" w:line="240" w:lineRule="auto"/>
      <w:ind w:left="480" w:hanging="240"/>
    </w:pPr>
  </w:style>
  <w:style w:type="paragraph" w:styleId="Indeks3">
    <w:name w:val="index 3"/>
    <w:basedOn w:val="Normal"/>
    <w:next w:val="Normal"/>
    <w:autoRedefine/>
    <w:uiPriority w:val="99"/>
    <w:semiHidden/>
    <w:unhideWhenUsed/>
    <w:rsid w:val="00376C1B"/>
    <w:pPr>
      <w:spacing w:after="0" w:line="240" w:lineRule="auto"/>
      <w:ind w:left="720" w:hanging="240"/>
    </w:pPr>
  </w:style>
  <w:style w:type="paragraph" w:styleId="Indeks4">
    <w:name w:val="index 4"/>
    <w:basedOn w:val="Normal"/>
    <w:next w:val="Normal"/>
    <w:autoRedefine/>
    <w:uiPriority w:val="99"/>
    <w:semiHidden/>
    <w:unhideWhenUsed/>
    <w:rsid w:val="00376C1B"/>
    <w:pPr>
      <w:spacing w:after="0" w:line="240" w:lineRule="auto"/>
      <w:ind w:left="960" w:hanging="240"/>
    </w:pPr>
  </w:style>
  <w:style w:type="paragraph" w:styleId="Indeks5">
    <w:name w:val="index 5"/>
    <w:basedOn w:val="Normal"/>
    <w:next w:val="Normal"/>
    <w:autoRedefine/>
    <w:uiPriority w:val="99"/>
    <w:semiHidden/>
    <w:unhideWhenUsed/>
    <w:rsid w:val="00376C1B"/>
    <w:pPr>
      <w:spacing w:after="0" w:line="240" w:lineRule="auto"/>
      <w:ind w:left="1200" w:hanging="240"/>
    </w:pPr>
  </w:style>
  <w:style w:type="paragraph" w:styleId="Indeks6">
    <w:name w:val="index 6"/>
    <w:basedOn w:val="Normal"/>
    <w:next w:val="Normal"/>
    <w:autoRedefine/>
    <w:uiPriority w:val="99"/>
    <w:semiHidden/>
    <w:unhideWhenUsed/>
    <w:rsid w:val="00376C1B"/>
    <w:pPr>
      <w:spacing w:after="0" w:line="240" w:lineRule="auto"/>
      <w:ind w:left="1440" w:hanging="240"/>
    </w:pPr>
  </w:style>
  <w:style w:type="paragraph" w:styleId="Indeks7">
    <w:name w:val="index 7"/>
    <w:basedOn w:val="Normal"/>
    <w:next w:val="Normal"/>
    <w:autoRedefine/>
    <w:uiPriority w:val="99"/>
    <w:semiHidden/>
    <w:unhideWhenUsed/>
    <w:rsid w:val="00376C1B"/>
    <w:pPr>
      <w:spacing w:after="0" w:line="240" w:lineRule="auto"/>
      <w:ind w:left="1680" w:hanging="240"/>
    </w:pPr>
  </w:style>
  <w:style w:type="paragraph" w:styleId="Indeks8">
    <w:name w:val="index 8"/>
    <w:basedOn w:val="Normal"/>
    <w:next w:val="Normal"/>
    <w:autoRedefine/>
    <w:uiPriority w:val="99"/>
    <w:semiHidden/>
    <w:unhideWhenUsed/>
    <w:rsid w:val="00376C1B"/>
    <w:pPr>
      <w:spacing w:after="0" w:line="240" w:lineRule="auto"/>
      <w:ind w:left="1920" w:hanging="240"/>
    </w:pPr>
  </w:style>
  <w:style w:type="paragraph" w:styleId="Indeks9">
    <w:name w:val="index 9"/>
    <w:basedOn w:val="Normal"/>
    <w:next w:val="Normal"/>
    <w:autoRedefine/>
    <w:uiPriority w:val="99"/>
    <w:semiHidden/>
    <w:unhideWhenUsed/>
    <w:rsid w:val="00376C1B"/>
    <w:pPr>
      <w:spacing w:after="0" w:line="240" w:lineRule="auto"/>
      <w:ind w:left="2160" w:hanging="240"/>
    </w:pPr>
  </w:style>
  <w:style w:type="paragraph" w:styleId="INNH6">
    <w:name w:val="toc 6"/>
    <w:basedOn w:val="Normal"/>
    <w:next w:val="Normal"/>
    <w:autoRedefine/>
    <w:uiPriority w:val="39"/>
    <w:semiHidden/>
    <w:unhideWhenUsed/>
    <w:rsid w:val="00376C1B"/>
    <w:pPr>
      <w:spacing w:after="100"/>
      <w:ind w:left="1200"/>
    </w:pPr>
  </w:style>
  <w:style w:type="paragraph" w:styleId="INNH7">
    <w:name w:val="toc 7"/>
    <w:basedOn w:val="Normal"/>
    <w:next w:val="Normal"/>
    <w:autoRedefine/>
    <w:uiPriority w:val="39"/>
    <w:semiHidden/>
    <w:unhideWhenUsed/>
    <w:rsid w:val="00376C1B"/>
    <w:pPr>
      <w:spacing w:after="100"/>
      <w:ind w:left="1440"/>
    </w:pPr>
  </w:style>
  <w:style w:type="paragraph" w:styleId="INNH8">
    <w:name w:val="toc 8"/>
    <w:basedOn w:val="Normal"/>
    <w:next w:val="Normal"/>
    <w:autoRedefine/>
    <w:uiPriority w:val="39"/>
    <w:semiHidden/>
    <w:unhideWhenUsed/>
    <w:rsid w:val="00376C1B"/>
    <w:pPr>
      <w:spacing w:after="100"/>
      <w:ind w:left="1680"/>
    </w:pPr>
  </w:style>
  <w:style w:type="paragraph" w:styleId="INNH9">
    <w:name w:val="toc 9"/>
    <w:basedOn w:val="Normal"/>
    <w:next w:val="Normal"/>
    <w:autoRedefine/>
    <w:uiPriority w:val="39"/>
    <w:semiHidden/>
    <w:unhideWhenUsed/>
    <w:rsid w:val="00376C1B"/>
    <w:pPr>
      <w:spacing w:after="100"/>
      <w:ind w:left="1920"/>
    </w:pPr>
  </w:style>
  <w:style w:type="paragraph" w:styleId="Vanliginnrykk">
    <w:name w:val="Normal Indent"/>
    <w:basedOn w:val="Normal"/>
    <w:uiPriority w:val="99"/>
    <w:semiHidden/>
    <w:unhideWhenUsed/>
    <w:rsid w:val="00376C1B"/>
    <w:pPr>
      <w:ind w:left="708"/>
    </w:pPr>
  </w:style>
  <w:style w:type="paragraph" w:styleId="Stikkordregisteroverskrift">
    <w:name w:val="index heading"/>
    <w:basedOn w:val="Normal"/>
    <w:next w:val="Indeks1"/>
    <w:uiPriority w:val="99"/>
    <w:semiHidden/>
    <w:unhideWhenUsed/>
    <w:rsid w:val="00376C1B"/>
    <w:rPr>
      <w:rFonts w:ascii="Cambria" w:hAnsi="Cambria" w:cs="Times New Roman"/>
      <w:b/>
      <w:bCs/>
    </w:rPr>
  </w:style>
  <w:style w:type="paragraph" w:styleId="Bildetekst">
    <w:name w:val="caption"/>
    <w:basedOn w:val="Normal"/>
    <w:next w:val="Normal"/>
    <w:uiPriority w:val="35"/>
    <w:semiHidden/>
    <w:unhideWhenUsed/>
    <w:qFormat/>
    <w:rsid w:val="00376C1B"/>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376C1B"/>
    <w:pPr>
      <w:spacing w:after="0"/>
    </w:pPr>
  </w:style>
  <w:style w:type="paragraph" w:styleId="Konvoluttadresse">
    <w:name w:val="envelope address"/>
    <w:basedOn w:val="Normal"/>
    <w:uiPriority w:val="99"/>
    <w:semiHidden/>
    <w:unhideWhenUsed/>
    <w:rsid w:val="00376C1B"/>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376C1B"/>
  </w:style>
  <w:style w:type="character" w:styleId="Sluttnotereferanse">
    <w:name w:val="endnote reference"/>
    <w:uiPriority w:val="99"/>
    <w:semiHidden/>
    <w:unhideWhenUsed/>
    <w:rsid w:val="00376C1B"/>
    <w:rPr>
      <w:vertAlign w:val="superscript"/>
    </w:rPr>
  </w:style>
  <w:style w:type="paragraph" w:styleId="Sluttnotetekst">
    <w:name w:val="endnote text"/>
    <w:basedOn w:val="Normal"/>
    <w:link w:val="SluttnotetekstTegn"/>
    <w:uiPriority w:val="99"/>
    <w:semiHidden/>
    <w:unhideWhenUsed/>
    <w:rsid w:val="00376C1B"/>
    <w:pPr>
      <w:spacing w:after="0" w:line="240" w:lineRule="auto"/>
    </w:pPr>
    <w:rPr>
      <w:sz w:val="20"/>
      <w:szCs w:val="20"/>
    </w:rPr>
  </w:style>
  <w:style w:type="character" w:customStyle="1" w:styleId="SluttnotetekstTegn1">
    <w:name w:val="Sluttnotetekst Tegn1"/>
    <w:basedOn w:val="Standardskriftforavsnitt"/>
    <w:uiPriority w:val="99"/>
    <w:semiHidden/>
    <w:rsid w:val="00376C1B"/>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376C1B"/>
    <w:pPr>
      <w:spacing w:after="0"/>
      <w:ind w:left="240" w:hanging="240"/>
    </w:pPr>
  </w:style>
  <w:style w:type="paragraph" w:styleId="Makrotekst">
    <w:name w:val="macro"/>
    <w:link w:val="MakrotekstTegn"/>
    <w:uiPriority w:val="99"/>
    <w:semiHidden/>
    <w:unhideWhenUsed/>
    <w:rsid w:val="00376C1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376C1B"/>
    <w:rPr>
      <w:rFonts w:ascii="Consolas" w:eastAsia="Times New Roman" w:hAnsi="Consolas"/>
      <w:spacing w:val="4"/>
    </w:rPr>
  </w:style>
  <w:style w:type="paragraph" w:styleId="Kildelisteoverskrift">
    <w:name w:val="toa heading"/>
    <w:basedOn w:val="Normal"/>
    <w:next w:val="Normal"/>
    <w:uiPriority w:val="99"/>
    <w:semiHidden/>
    <w:unhideWhenUsed/>
    <w:rsid w:val="00376C1B"/>
    <w:pPr>
      <w:spacing w:before="120"/>
    </w:pPr>
    <w:rPr>
      <w:rFonts w:ascii="Cambria" w:hAnsi="Cambria" w:cs="Times New Roman"/>
      <w:b/>
      <w:bCs/>
      <w:szCs w:val="24"/>
    </w:rPr>
  </w:style>
  <w:style w:type="paragraph" w:styleId="Tittel">
    <w:name w:val="Title"/>
    <w:basedOn w:val="Normal"/>
    <w:next w:val="Normal"/>
    <w:link w:val="TittelTegn"/>
    <w:uiPriority w:val="10"/>
    <w:qFormat/>
    <w:rsid w:val="00376C1B"/>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376C1B"/>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376C1B"/>
    <w:pPr>
      <w:spacing w:after="0" w:line="240" w:lineRule="auto"/>
      <w:ind w:left="4252"/>
    </w:pPr>
  </w:style>
  <w:style w:type="character" w:customStyle="1" w:styleId="HilsenTegn">
    <w:name w:val="Hilsen Tegn"/>
    <w:link w:val="Hilsen"/>
    <w:uiPriority w:val="99"/>
    <w:semiHidden/>
    <w:rsid w:val="00376C1B"/>
    <w:rPr>
      <w:rFonts w:ascii="Times New Roman" w:eastAsia="Times New Roman" w:hAnsi="Times New Roman"/>
      <w:spacing w:val="4"/>
      <w:sz w:val="24"/>
    </w:rPr>
  </w:style>
  <w:style w:type="paragraph" w:styleId="Underskrift">
    <w:name w:val="Signature"/>
    <w:basedOn w:val="Normal"/>
    <w:link w:val="UnderskriftTegn"/>
    <w:uiPriority w:val="99"/>
    <w:unhideWhenUsed/>
    <w:rsid w:val="00376C1B"/>
    <w:pPr>
      <w:spacing w:after="0" w:line="240" w:lineRule="auto"/>
      <w:ind w:left="4252"/>
    </w:pPr>
  </w:style>
  <w:style w:type="character" w:customStyle="1" w:styleId="UnderskriftTegn1">
    <w:name w:val="Underskrift Tegn1"/>
    <w:basedOn w:val="Standardskriftforavsnitt"/>
    <w:uiPriority w:val="99"/>
    <w:semiHidden/>
    <w:rsid w:val="00376C1B"/>
    <w:rPr>
      <w:rFonts w:ascii="Times New Roman" w:eastAsia="Times New Roman" w:hAnsi="Times New Roman"/>
      <w:spacing w:val="4"/>
      <w:sz w:val="24"/>
    </w:rPr>
  </w:style>
  <w:style w:type="paragraph" w:styleId="Liste-forts">
    <w:name w:val="List Continue"/>
    <w:basedOn w:val="Normal"/>
    <w:uiPriority w:val="99"/>
    <w:semiHidden/>
    <w:unhideWhenUsed/>
    <w:rsid w:val="00376C1B"/>
    <w:pPr>
      <w:ind w:left="283"/>
      <w:contextualSpacing/>
    </w:pPr>
  </w:style>
  <w:style w:type="paragraph" w:styleId="Liste-forts2">
    <w:name w:val="List Continue 2"/>
    <w:basedOn w:val="Normal"/>
    <w:uiPriority w:val="99"/>
    <w:semiHidden/>
    <w:unhideWhenUsed/>
    <w:rsid w:val="00376C1B"/>
    <w:pPr>
      <w:ind w:left="566"/>
      <w:contextualSpacing/>
    </w:pPr>
  </w:style>
  <w:style w:type="paragraph" w:styleId="Liste-forts3">
    <w:name w:val="List Continue 3"/>
    <w:basedOn w:val="Normal"/>
    <w:uiPriority w:val="99"/>
    <w:semiHidden/>
    <w:unhideWhenUsed/>
    <w:rsid w:val="00376C1B"/>
    <w:pPr>
      <w:ind w:left="849"/>
      <w:contextualSpacing/>
    </w:pPr>
  </w:style>
  <w:style w:type="paragraph" w:styleId="Liste-forts4">
    <w:name w:val="List Continue 4"/>
    <w:basedOn w:val="Normal"/>
    <w:uiPriority w:val="99"/>
    <w:semiHidden/>
    <w:unhideWhenUsed/>
    <w:rsid w:val="00376C1B"/>
    <w:pPr>
      <w:ind w:left="1132"/>
      <w:contextualSpacing/>
    </w:pPr>
  </w:style>
  <w:style w:type="paragraph" w:styleId="Liste-forts5">
    <w:name w:val="List Continue 5"/>
    <w:basedOn w:val="Normal"/>
    <w:uiPriority w:val="99"/>
    <w:semiHidden/>
    <w:unhideWhenUsed/>
    <w:rsid w:val="00376C1B"/>
    <w:pPr>
      <w:ind w:left="1415"/>
      <w:contextualSpacing/>
    </w:pPr>
  </w:style>
  <w:style w:type="paragraph" w:styleId="Meldingshode">
    <w:name w:val="Message Header"/>
    <w:basedOn w:val="Normal"/>
    <w:link w:val="MeldingshodeTegn"/>
    <w:uiPriority w:val="99"/>
    <w:semiHidden/>
    <w:unhideWhenUsed/>
    <w:rsid w:val="00376C1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376C1B"/>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376C1B"/>
  </w:style>
  <w:style w:type="character" w:customStyle="1" w:styleId="InnledendehilsenTegn">
    <w:name w:val="Innledende hilsen Tegn"/>
    <w:link w:val="Innledendehilsen"/>
    <w:uiPriority w:val="99"/>
    <w:semiHidden/>
    <w:rsid w:val="00376C1B"/>
    <w:rPr>
      <w:rFonts w:ascii="Times New Roman" w:eastAsia="Times New Roman" w:hAnsi="Times New Roman"/>
      <w:spacing w:val="4"/>
      <w:sz w:val="24"/>
    </w:rPr>
  </w:style>
  <w:style w:type="paragraph" w:styleId="Dato0">
    <w:name w:val="Date"/>
    <w:basedOn w:val="Normal"/>
    <w:next w:val="Normal"/>
    <w:link w:val="DatoTegn"/>
    <w:rsid w:val="00376C1B"/>
  </w:style>
  <w:style w:type="character" w:customStyle="1" w:styleId="DatoTegn1">
    <w:name w:val="Dato Tegn1"/>
    <w:basedOn w:val="Standardskriftforavsnitt"/>
    <w:uiPriority w:val="99"/>
    <w:semiHidden/>
    <w:rsid w:val="00376C1B"/>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376C1B"/>
    <w:pPr>
      <w:spacing w:after="0" w:line="240" w:lineRule="auto"/>
    </w:pPr>
  </w:style>
  <w:style w:type="character" w:customStyle="1" w:styleId="NotatoverskriftTegn">
    <w:name w:val="Notatoverskrift Tegn"/>
    <w:link w:val="Notatoverskrift"/>
    <w:uiPriority w:val="99"/>
    <w:semiHidden/>
    <w:rsid w:val="00376C1B"/>
    <w:rPr>
      <w:rFonts w:ascii="Times New Roman" w:eastAsia="Times New Roman" w:hAnsi="Times New Roman"/>
      <w:spacing w:val="4"/>
      <w:sz w:val="24"/>
    </w:rPr>
  </w:style>
  <w:style w:type="paragraph" w:styleId="Blokktekst">
    <w:name w:val="Block Text"/>
    <w:basedOn w:val="Normal"/>
    <w:uiPriority w:val="99"/>
    <w:semiHidden/>
    <w:unhideWhenUsed/>
    <w:rsid w:val="00376C1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376C1B"/>
    <w:rPr>
      <w:color w:val="800080"/>
      <w:u w:val="single"/>
    </w:rPr>
  </w:style>
  <w:style w:type="character" w:styleId="Utheving">
    <w:name w:val="Emphasis"/>
    <w:uiPriority w:val="20"/>
    <w:qFormat/>
    <w:rsid w:val="00376C1B"/>
    <w:rPr>
      <w:i/>
      <w:iCs/>
    </w:rPr>
  </w:style>
  <w:style w:type="paragraph" w:styleId="Dokumentkart">
    <w:name w:val="Document Map"/>
    <w:basedOn w:val="Normal"/>
    <w:link w:val="DokumentkartTegn"/>
    <w:uiPriority w:val="99"/>
    <w:semiHidden/>
    <w:rsid w:val="00376C1B"/>
    <w:pPr>
      <w:shd w:val="clear" w:color="auto" w:fill="000080"/>
    </w:pPr>
    <w:rPr>
      <w:rFonts w:ascii="Tahoma" w:hAnsi="Tahoma" w:cs="Tahoma"/>
    </w:rPr>
  </w:style>
  <w:style w:type="character" w:customStyle="1" w:styleId="DokumentkartTegn">
    <w:name w:val="Dokumentkart Tegn"/>
    <w:link w:val="Dokumentkart"/>
    <w:uiPriority w:val="99"/>
    <w:semiHidden/>
    <w:rsid w:val="00376C1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376C1B"/>
    <w:rPr>
      <w:rFonts w:ascii="Courier New" w:hAnsi="Courier New" w:cs="Courier New"/>
      <w:sz w:val="20"/>
    </w:rPr>
  </w:style>
  <w:style w:type="character" w:customStyle="1" w:styleId="RentekstTegn">
    <w:name w:val="Ren tekst Tegn"/>
    <w:link w:val="Rentekst"/>
    <w:uiPriority w:val="99"/>
    <w:semiHidden/>
    <w:rsid w:val="00376C1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376C1B"/>
    <w:pPr>
      <w:spacing w:after="0" w:line="240" w:lineRule="auto"/>
    </w:pPr>
  </w:style>
  <w:style w:type="character" w:customStyle="1" w:styleId="E-postsignaturTegn">
    <w:name w:val="E-postsignatur Tegn"/>
    <w:link w:val="E-postsignatur"/>
    <w:uiPriority w:val="99"/>
    <w:semiHidden/>
    <w:rsid w:val="00376C1B"/>
    <w:rPr>
      <w:rFonts w:ascii="Times New Roman" w:eastAsia="Times New Roman" w:hAnsi="Times New Roman"/>
      <w:spacing w:val="4"/>
      <w:sz w:val="24"/>
    </w:rPr>
  </w:style>
  <w:style w:type="paragraph" w:styleId="NormalWeb">
    <w:name w:val="Normal (Web)"/>
    <w:basedOn w:val="Normal"/>
    <w:uiPriority w:val="99"/>
    <w:semiHidden/>
    <w:unhideWhenUsed/>
    <w:rsid w:val="00376C1B"/>
    <w:rPr>
      <w:szCs w:val="24"/>
    </w:rPr>
  </w:style>
  <w:style w:type="character" w:styleId="HTML-akronym">
    <w:name w:val="HTML Acronym"/>
    <w:uiPriority w:val="99"/>
    <w:semiHidden/>
    <w:unhideWhenUsed/>
    <w:rsid w:val="00376C1B"/>
  </w:style>
  <w:style w:type="paragraph" w:styleId="HTML-adresse">
    <w:name w:val="HTML Address"/>
    <w:basedOn w:val="Normal"/>
    <w:link w:val="HTML-adresseTegn"/>
    <w:uiPriority w:val="99"/>
    <w:semiHidden/>
    <w:unhideWhenUsed/>
    <w:rsid w:val="00376C1B"/>
    <w:pPr>
      <w:spacing w:after="0" w:line="240" w:lineRule="auto"/>
    </w:pPr>
    <w:rPr>
      <w:i/>
      <w:iCs/>
    </w:rPr>
  </w:style>
  <w:style w:type="character" w:customStyle="1" w:styleId="HTML-adresseTegn">
    <w:name w:val="HTML-adresse Tegn"/>
    <w:link w:val="HTML-adresse"/>
    <w:uiPriority w:val="99"/>
    <w:semiHidden/>
    <w:rsid w:val="00376C1B"/>
    <w:rPr>
      <w:rFonts w:ascii="Times New Roman" w:eastAsia="Times New Roman" w:hAnsi="Times New Roman"/>
      <w:i/>
      <w:iCs/>
      <w:spacing w:val="4"/>
      <w:sz w:val="24"/>
    </w:rPr>
  </w:style>
  <w:style w:type="character" w:styleId="HTML-sitat">
    <w:name w:val="HTML Cite"/>
    <w:uiPriority w:val="99"/>
    <w:semiHidden/>
    <w:unhideWhenUsed/>
    <w:rsid w:val="00376C1B"/>
    <w:rPr>
      <w:i/>
      <w:iCs/>
    </w:rPr>
  </w:style>
  <w:style w:type="character" w:styleId="HTML-kode">
    <w:name w:val="HTML Code"/>
    <w:uiPriority w:val="99"/>
    <w:semiHidden/>
    <w:unhideWhenUsed/>
    <w:rsid w:val="00376C1B"/>
    <w:rPr>
      <w:rFonts w:ascii="Consolas" w:hAnsi="Consolas"/>
      <w:sz w:val="20"/>
      <w:szCs w:val="20"/>
    </w:rPr>
  </w:style>
  <w:style w:type="character" w:styleId="HTML-definisjon">
    <w:name w:val="HTML Definition"/>
    <w:uiPriority w:val="99"/>
    <w:semiHidden/>
    <w:unhideWhenUsed/>
    <w:rsid w:val="00376C1B"/>
    <w:rPr>
      <w:i/>
      <w:iCs/>
    </w:rPr>
  </w:style>
  <w:style w:type="character" w:styleId="HTML-tastatur">
    <w:name w:val="HTML Keyboard"/>
    <w:uiPriority w:val="99"/>
    <w:semiHidden/>
    <w:unhideWhenUsed/>
    <w:rsid w:val="00376C1B"/>
    <w:rPr>
      <w:rFonts w:ascii="Consolas" w:hAnsi="Consolas"/>
      <w:sz w:val="20"/>
      <w:szCs w:val="20"/>
    </w:rPr>
  </w:style>
  <w:style w:type="paragraph" w:styleId="HTML-forhndsformatert">
    <w:name w:val="HTML Preformatted"/>
    <w:basedOn w:val="Normal"/>
    <w:link w:val="HTML-forhndsformatertTegn"/>
    <w:uiPriority w:val="99"/>
    <w:semiHidden/>
    <w:unhideWhenUsed/>
    <w:rsid w:val="00376C1B"/>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376C1B"/>
    <w:rPr>
      <w:rFonts w:ascii="Consolas" w:eastAsia="Times New Roman" w:hAnsi="Consolas"/>
      <w:spacing w:val="4"/>
      <w:sz w:val="20"/>
      <w:szCs w:val="20"/>
    </w:rPr>
  </w:style>
  <w:style w:type="character" w:styleId="HTML-eksempel">
    <w:name w:val="HTML Sample"/>
    <w:uiPriority w:val="99"/>
    <w:semiHidden/>
    <w:unhideWhenUsed/>
    <w:rsid w:val="00376C1B"/>
    <w:rPr>
      <w:rFonts w:ascii="Consolas" w:hAnsi="Consolas"/>
      <w:sz w:val="24"/>
      <w:szCs w:val="24"/>
    </w:rPr>
  </w:style>
  <w:style w:type="character" w:styleId="HTML-skrivemaskin">
    <w:name w:val="HTML Typewriter"/>
    <w:uiPriority w:val="99"/>
    <w:semiHidden/>
    <w:unhideWhenUsed/>
    <w:rsid w:val="00376C1B"/>
    <w:rPr>
      <w:rFonts w:ascii="Consolas" w:hAnsi="Consolas"/>
      <w:sz w:val="20"/>
      <w:szCs w:val="20"/>
    </w:rPr>
  </w:style>
  <w:style w:type="character" w:styleId="HTML-variabel">
    <w:name w:val="HTML Variable"/>
    <w:uiPriority w:val="99"/>
    <w:semiHidden/>
    <w:unhideWhenUsed/>
    <w:rsid w:val="00376C1B"/>
    <w:rPr>
      <w:i/>
      <w:iCs/>
    </w:rPr>
  </w:style>
  <w:style w:type="paragraph" w:styleId="Kommentaremne">
    <w:name w:val="annotation subject"/>
    <w:basedOn w:val="Merknadstekst"/>
    <w:next w:val="Merknadstekst"/>
    <w:link w:val="KommentaremneTegn"/>
    <w:uiPriority w:val="99"/>
    <w:semiHidden/>
    <w:unhideWhenUsed/>
    <w:rsid w:val="00376C1B"/>
    <w:pPr>
      <w:spacing w:line="240" w:lineRule="auto"/>
    </w:pPr>
    <w:rPr>
      <w:b/>
      <w:bCs/>
      <w:spacing w:val="4"/>
      <w:szCs w:val="20"/>
    </w:rPr>
  </w:style>
  <w:style w:type="character" w:customStyle="1" w:styleId="KommentaremneTegn">
    <w:name w:val="Kommentaremne Tegn"/>
    <w:link w:val="Kommentaremne"/>
    <w:uiPriority w:val="99"/>
    <w:semiHidden/>
    <w:rsid w:val="00376C1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376C1B"/>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376C1B"/>
    <w:rPr>
      <w:rFonts w:ascii="Tahoma" w:eastAsia="Times New Roman" w:hAnsi="Tahoma" w:cs="Tahoma"/>
      <w:spacing w:val="4"/>
      <w:sz w:val="16"/>
      <w:szCs w:val="16"/>
    </w:rPr>
  </w:style>
  <w:style w:type="table" w:styleId="Tabellrutenett">
    <w:name w:val="Table Grid"/>
    <w:basedOn w:val="Vanligtabell"/>
    <w:uiPriority w:val="59"/>
    <w:rsid w:val="00376C1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76C1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376C1B"/>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376C1B"/>
    <w:rPr>
      <w:rFonts w:ascii="Times New Roman" w:eastAsia="Times New Roman" w:hAnsi="Times New Roman"/>
      <w:i/>
      <w:iCs/>
      <w:color w:val="4472C4" w:themeColor="accent1"/>
      <w:spacing w:val="4"/>
      <w:sz w:val="24"/>
    </w:rPr>
  </w:style>
  <w:style w:type="character" w:styleId="Svakutheving">
    <w:name w:val="Subtle Emphasis"/>
    <w:uiPriority w:val="19"/>
    <w:qFormat/>
    <w:rsid w:val="00376C1B"/>
    <w:rPr>
      <w:i/>
      <w:iCs/>
      <w:color w:val="808080"/>
    </w:rPr>
  </w:style>
  <w:style w:type="character" w:styleId="Sterkutheving">
    <w:name w:val="Intense Emphasis"/>
    <w:uiPriority w:val="21"/>
    <w:qFormat/>
    <w:rsid w:val="00376C1B"/>
    <w:rPr>
      <w:b/>
      <w:bCs/>
      <w:i/>
      <w:iCs/>
      <w:color w:val="4F81BD"/>
    </w:rPr>
  </w:style>
  <w:style w:type="character" w:styleId="Svakreferanse">
    <w:name w:val="Subtle Reference"/>
    <w:uiPriority w:val="31"/>
    <w:qFormat/>
    <w:rsid w:val="00376C1B"/>
    <w:rPr>
      <w:smallCaps/>
      <w:color w:val="C0504D"/>
      <w:u w:val="single"/>
    </w:rPr>
  </w:style>
  <w:style w:type="character" w:styleId="Sterkreferanse">
    <w:name w:val="Intense Reference"/>
    <w:uiPriority w:val="32"/>
    <w:qFormat/>
    <w:rsid w:val="00376C1B"/>
    <w:rPr>
      <w:b/>
      <w:bCs/>
      <w:smallCaps/>
      <w:color w:val="C0504D"/>
      <w:spacing w:val="5"/>
      <w:u w:val="single"/>
    </w:rPr>
  </w:style>
  <w:style w:type="character" w:styleId="Boktittel">
    <w:name w:val="Book Title"/>
    <w:uiPriority w:val="33"/>
    <w:qFormat/>
    <w:rsid w:val="00376C1B"/>
    <w:rPr>
      <w:b/>
      <w:bCs/>
      <w:smallCaps/>
      <w:spacing w:val="5"/>
    </w:rPr>
  </w:style>
  <w:style w:type="paragraph" w:styleId="Bibliografi">
    <w:name w:val="Bibliography"/>
    <w:basedOn w:val="Normal"/>
    <w:next w:val="Normal"/>
    <w:uiPriority w:val="37"/>
    <w:semiHidden/>
    <w:unhideWhenUsed/>
    <w:rsid w:val="00376C1B"/>
  </w:style>
  <w:style w:type="paragraph" w:styleId="Overskriftforinnholdsfortegnelse">
    <w:name w:val="TOC Heading"/>
    <w:basedOn w:val="Overskrift1"/>
    <w:next w:val="Normal"/>
    <w:uiPriority w:val="39"/>
    <w:semiHidden/>
    <w:unhideWhenUsed/>
    <w:qFormat/>
    <w:rsid w:val="00376C1B"/>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376C1B"/>
    <w:pPr>
      <w:numPr>
        <w:numId w:val="3"/>
      </w:numPr>
    </w:pPr>
  </w:style>
  <w:style w:type="numbering" w:customStyle="1" w:styleId="NrListeStil">
    <w:name w:val="NrListeStil"/>
    <w:uiPriority w:val="99"/>
    <w:rsid w:val="00376C1B"/>
    <w:pPr>
      <w:numPr>
        <w:numId w:val="4"/>
      </w:numPr>
    </w:pPr>
  </w:style>
  <w:style w:type="numbering" w:customStyle="1" w:styleId="RomListeStil">
    <w:name w:val="RomListeStil"/>
    <w:uiPriority w:val="99"/>
    <w:rsid w:val="00376C1B"/>
    <w:pPr>
      <w:numPr>
        <w:numId w:val="5"/>
      </w:numPr>
    </w:pPr>
  </w:style>
  <w:style w:type="numbering" w:customStyle="1" w:styleId="StrekListeStil">
    <w:name w:val="StrekListeStil"/>
    <w:uiPriority w:val="99"/>
    <w:rsid w:val="00376C1B"/>
    <w:pPr>
      <w:numPr>
        <w:numId w:val="6"/>
      </w:numPr>
    </w:pPr>
  </w:style>
  <w:style w:type="numbering" w:customStyle="1" w:styleId="OpplistingListeStil">
    <w:name w:val="OpplistingListeStil"/>
    <w:uiPriority w:val="99"/>
    <w:rsid w:val="00376C1B"/>
    <w:pPr>
      <w:numPr>
        <w:numId w:val="7"/>
      </w:numPr>
    </w:pPr>
  </w:style>
  <w:style w:type="numbering" w:customStyle="1" w:styleId="l-NummerertListeStil">
    <w:name w:val="l-NummerertListeStil"/>
    <w:uiPriority w:val="99"/>
    <w:rsid w:val="00376C1B"/>
    <w:pPr>
      <w:numPr>
        <w:numId w:val="8"/>
      </w:numPr>
    </w:pPr>
  </w:style>
  <w:style w:type="numbering" w:customStyle="1" w:styleId="l-AlfaListeStil">
    <w:name w:val="l-AlfaListeStil"/>
    <w:uiPriority w:val="99"/>
    <w:rsid w:val="00376C1B"/>
    <w:pPr>
      <w:numPr>
        <w:numId w:val="9"/>
      </w:numPr>
    </w:pPr>
  </w:style>
  <w:style w:type="numbering" w:customStyle="1" w:styleId="OverskrifterListeStil">
    <w:name w:val="OverskrifterListeStil"/>
    <w:uiPriority w:val="99"/>
    <w:rsid w:val="00376C1B"/>
    <w:pPr>
      <w:numPr>
        <w:numId w:val="10"/>
      </w:numPr>
    </w:pPr>
  </w:style>
  <w:style w:type="numbering" w:customStyle="1" w:styleId="l-ListeStilMal">
    <w:name w:val="l-ListeStilMal"/>
    <w:uiPriority w:val="99"/>
    <w:rsid w:val="00376C1B"/>
    <w:pPr>
      <w:numPr>
        <w:numId w:val="11"/>
      </w:numPr>
    </w:pPr>
  </w:style>
  <w:style w:type="paragraph" w:styleId="Avsenderadresse">
    <w:name w:val="envelope return"/>
    <w:basedOn w:val="Normal"/>
    <w:uiPriority w:val="99"/>
    <w:semiHidden/>
    <w:unhideWhenUsed/>
    <w:rsid w:val="00376C1B"/>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376C1B"/>
  </w:style>
  <w:style w:type="character" w:customStyle="1" w:styleId="BrdtekstTegn">
    <w:name w:val="Brødtekst Tegn"/>
    <w:link w:val="Brdtekst"/>
    <w:semiHidden/>
    <w:rsid w:val="00376C1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376C1B"/>
    <w:pPr>
      <w:ind w:firstLine="360"/>
    </w:pPr>
  </w:style>
  <w:style w:type="character" w:customStyle="1" w:styleId="Brdtekst-frsteinnrykkTegn">
    <w:name w:val="Brødtekst - første innrykk Tegn"/>
    <w:link w:val="Brdtekst-frsteinnrykk"/>
    <w:uiPriority w:val="99"/>
    <w:semiHidden/>
    <w:rsid w:val="00376C1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376C1B"/>
    <w:pPr>
      <w:ind w:left="283"/>
    </w:pPr>
  </w:style>
  <w:style w:type="character" w:customStyle="1" w:styleId="BrdtekstinnrykkTegn">
    <w:name w:val="Brødtekstinnrykk Tegn"/>
    <w:link w:val="Brdtekstinnrykk"/>
    <w:uiPriority w:val="99"/>
    <w:semiHidden/>
    <w:rsid w:val="00376C1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376C1B"/>
    <w:pPr>
      <w:ind w:left="360" w:firstLine="360"/>
    </w:pPr>
  </w:style>
  <w:style w:type="character" w:customStyle="1" w:styleId="Brdtekst-frsteinnrykk2Tegn">
    <w:name w:val="Brødtekst - første innrykk 2 Tegn"/>
    <w:link w:val="Brdtekst-frsteinnrykk2"/>
    <w:uiPriority w:val="99"/>
    <w:semiHidden/>
    <w:rsid w:val="00376C1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376C1B"/>
    <w:pPr>
      <w:spacing w:line="480" w:lineRule="auto"/>
    </w:pPr>
  </w:style>
  <w:style w:type="character" w:customStyle="1" w:styleId="Brdtekst2Tegn">
    <w:name w:val="Brødtekst 2 Tegn"/>
    <w:link w:val="Brdtekst2"/>
    <w:uiPriority w:val="99"/>
    <w:semiHidden/>
    <w:rsid w:val="00376C1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376C1B"/>
    <w:rPr>
      <w:sz w:val="16"/>
      <w:szCs w:val="16"/>
    </w:rPr>
  </w:style>
  <w:style w:type="character" w:customStyle="1" w:styleId="Brdtekst3Tegn">
    <w:name w:val="Brødtekst 3 Tegn"/>
    <w:link w:val="Brdtekst3"/>
    <w:uiPriority w:val="99"/>
    <w:semiHidden/>
    <w:rsid w:val="00376C1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376C1B"/>
    <w:pPr>
      <w:spacing w:line="480" w:lineRule="auto"/>
      <w:ind w:left="283"/>
    </w:pPr>
  </w:style>
  <w:style w:type="character" w:customStyle="1" w:styleId="Brdtekstinnrykk2Tegn">
    <w:name w:val="Brødtekstinnrykk 2 Tegn"/>
    <w:link w:val="Brdtekstinnrykk2"/>
    <w:uiPriority w:val="99"/>
    <w:semiHidden/>
    <w:rsid w:val="00376C1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376C1B"/>
    <w:pPr>
      <w:ind w:left="283"/>
    </w:pPr>
    <w:rPr>
      <w:sz w:val="16"/>
      <w:szCs w:val="16"/>
    </w:rPr>
  </w:style>
  <w:style w:type="character" w:customStyle="1" w:styleId="Brdtekstinnrykk3Tegn">
    <w:name w:val="Brødtekstinnrykk 3 Tegn"/>
    <w:link w:val="Brdtekstinnrykk3"/>
    <w:uiPriority w:val="99"/>
    <w:semiHidden/>
    <w:rsid w:val="00376C1B"/>
    <w:rPr>
      <w:rFonts w:ascii="Times New Roman" w:eastAsia="Times New Roman" w:hAnsi="Times New Roman"/>
      <w:spacing w:val="4"/>
      <w:sz w:val="16"/>
      <w:szCs w:val="16"/>
    </w:rPr>
  </w:style>
  <w:style w:type="paragraph" w:customStyle="1" w:styleId="Sammendrag">
    <w:name w:val="Sammendrag"/>
    <w:basedOn w:val="Overskrift1"/>
    <w:qFormat/>
    <w:rsid w:val="00376C1B"/>
    <w:pPr>
      <w:numPr>
        <w:numId w:val="0"/>
      </w:numPr>
    </w:pPr>
  </w:style>
  <w:style w:type="paragraph" w:customStyle="1" w:styleId="TrykkeriMerknad">
    <w:name w:val="TrykkeriMerknad"/>
    <w:basedOn w:val="Normal"/>
    <w:qFormat/>
    <w:rsid w:val="00376C1B"/>
    <w:pPr>
      <w:spacing w:before="60"/>
    </w:pPr>
    <w:rPr>
      <w:rFonts w:ascii="Arial" w:hAnsi="Arial"/>
      <w:color w:val="943634"/>
      <w:sz w:val="26"/>
    </w:rPr>
  </w:style>
  <w:style w:type="paragraph" w:customStyle="1" w:styleId="ForfatterMerknad">
    <w:name w:val="ForfatterMerknad"/>
    <w:basedOn w:val="TrykkeriMerknad"/>
    <w:qFormat/>
    <w:rsid w:val="00376C1B"/>
    <w:pPr>
      <w:shd w:val="clear" w:color="auto" w:fill="FFFF99"/>
      <w:spacing w:line="240" w:lineRule="auto"/>
    </w:pPr>
    <w:rPr>
      <w:color w:val="632423"/>
    </w:rPr>
  </w:style>
  <w:style w:type="character" w:styleId="Emneknagg">
    <w:name w:val="Hashtag"/>
    <w:basedOn w:val="Standardskriftforavsnitt"/>
    <w:uiPriority w:val="99"/>
    <w:semiHidden/>
    <w:unhideWhenUsed/>
    <w:rsid w:val="0050705A"/>
    <w:rPr>
      <w:color w:val="2B579A"/>
      <w:shd w:val="clear" w:color="auto" w:fill="E6E6E6"/>
    </w:rPr>
  </w:style>
  <w:style w:type="character" w:styleId="Omtale">
    <w:name w:val="Mention"/>
    <w:basedOn w:val="Standardskriftforavsnitt"/>
    <w:uiPriority w:val="99"/>
    <w:semiHidden/>
    <w:unhideWhenUsed/>
    <w:rsid w:val="0050705A"/>
    <w:rPr>
      <w:color w:val="2B579A"/>
      <w:shd w:val="clear" w:color="auto" w:fill="E6E6E6"/>
    </w:rPr>
  </w:style>
  <w:style w:type="paragraph" w:styleId="Sitat0">
    <w:name w:val="Quote"/>
    <w:basedOn w:val="Normal"/>
    <w:next w:val="Normal"/>
    <w:link w:val="SitatTegn1"/>
    <w:uiPriority w:val="29"/>
    <w:qFormat/>
    <w:rsid w:val="0050705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0705A"/>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50705A"/>
    <w:rPr>
      <w:u w:val="dotted"/>
    </w:rPr>
  </w:style>
  <w:style w:type="character" w:styleId="Ulstomtale">
    <w:name w:val="Unresolved Mention"/>
    <w:basedOn w:val="Standardskriftforavsnitt"/>
    <w:uiPriority w:val="99"/>
    <w:semiHidden/>
    <w:unhideWhenUsed/>
    <w:rsid w:val="005070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24</Pages>
  <Words>8846</Words>
  <Characters>46885</Characters>
  <Application>Microsoft Office Word</Application>
  <DocSecurity>0</DocSecurity>
  <Lines>390</Lines>
  <Paragraphs>111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2</cp:revision>
  <dcterms:created xsi:type="dcterms:W3CDTF">2018-12-10T12:49:00Z</dcterms:created>
  <dcterms:modified xsi:type="dcterms:W3CDTF">2018-12-10T12:49:00Z</dcterms:modified>
</cp:coreProperties>
</file>