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B294" w14:textId="0EA7C7C5" w:rsidR="001D6512" w:rsidRDefault="00047CC5" w:rsidP="00AE2DF8">
      <w:pPr>
        <w:pStyle w:val="PublTittel"/>
      </w:pPr>
      <w:r>
        <w:t>Rovviltforvaltning og samisk reindrift: Norges folkerettslige forpliktelser</w:t>
      </w:r>
    </w:p>
    <w:p w14:paraId="260D6400" w14:textId="49490FAE" w:rsidR="007E66B0" w:rsidRDefault="00047CC5" w:rsidP="00047CC5">
      <w:pPr>
        <w:pStyle w:val="Undertittel"/>
      </w:pPr>
      <w:r>
        <w:t>Utredning fra</w:t>
      </w:r>
      <w:r w:rsidRPr="00047CC5">
        <w:t xml:space="preserve"> </w:t>
      </w:r>
      <w:r w:rsidRPr="00FF169C">
        <w:t xml:space="preserve">et ekspertutvalg oppnevnt av </w:t>
      </w:r>
      <w:r w:rsidRPr="00064D7F">
        <w:t xml:space="preserve">Klima- og miljødepartementet og Kommunal- og </w:t>
      </w:r>
      <w:proofErr w:type="spellStart"/>
      <w:r w:rsidRPr="00064D7F">
        <w:t>distriktsdepartementet</w:t>
      </w:r>
      <w:proofErr w:type="spellEnd"/>
    </w:p>
    <w:p w14:paraId="5A445601" w14:textId="6AC22DB0" w:rsidR="00047CC5" w:rsidRDefault="00047CC5" w:rsidP="00047CC5">
      <w:pPr>
        <w:pStyle w:val="UnOverskrift1"/>
      </w:pPr>
      <w:bookmarkStart w:id="0" w:name="_Toc223433063"/>
      <w:r>
        <w:t>Sammendrag</w:t>
      </w:r>
      <w:bookmarkEnd w:id="0"/>
    </w:p>
    <w:p w14:paraId="24D63ED6" w14:textId="77777777" w:rsidR="00047CC5" w:rsidRDefault="00047CC5" w:rsidP="00047CC5">
      <w:r w:rsidRPr="00DD4799">
        <w:t>Folkeretten</w:t>
      </w:r>
      <w:r w:rsidRPr="00B333EA">
        <w:t xml:space="preserve"> stiller krav til både </w:t>
      </w:r>
      <w:r>
        <w:t xml:space="preserve">forvaltningen av </w:t>
      </w:r>
      <w:r w:rsidRPr="00DD4799">
        <w:t>rov</w:t>
      </w:r>
      <w:r>
        <w:t>dyr</w:t>
      </w:r>
      <w:r w:rsidRPr="00B333EA">
        <w:t xml:space="preserve"> og til </w:t>
      </w:r>
      <w:r w:rsidRPr="00DD4799">
        <w:t xml:space="preserve">beskyttelse av </w:t>
      </w:r>
      <w:r>
        <w:t>reindrift som grunnlag for samisk kulturutøvelse</w:t>
      </w:r>
      <w:r w:rsidRPr="00B333EA">
        <w:t xml:space="preserve">. </w:t>
      </w:r>
      <w:r>
        <w:t>Tolkningsreglene i folkeretten innebærer at en så langt mulig skal harmonisere forpliktelsene i ulike konvensjoner, for å unngå motstrid. Utvalget mener at rovviltforvaltningen kan innrettes på en slik måte at den verken kommer i konflikt med miljøkonvensjonene eller de folkerettslige urfolksforpliktelsene.</w:t>
      </w:r>
    </w:p>
    <w:p w14:paraId="7A4E4C9B" w14:textId="77777777" w:rsidR="00047CC5" w:rsidRDefault="00047CC5" w:rsidP="00047CC5">
      <w:r w:rsidRPr="00DD6DF1">
        <w:t>Rov</w:t>
      </w:r>
      <w:r>
        <w:t>vilt</w:t>
      </w:r>
      <w:r w:rsidRPr="00DD6DF1">
        <w:t xml:space="preserve">forvaltningen har </w:t>
      </w:r>
      <w:r>
        <w:t xml:space="preserve">generelt et </w:t>
      </w:r>
      <w:r w:rsidRPr="00DD6DF1">
        <w:t>lovgrunnlag</w:t>
      </w:r>
      <w:r w:rsidRPr="00307E42">
        <w:t xml:space="preserve"> som avspeiler de folkerettslige forpliktelsene, spesielt Bernkonvensjonen</w:t>
      </w:r>
      <w:r>
        <w:t xml:space="preserve"> om </w:t>
      </w:r>
      <w:r w:rsidRPr="0EB64625">
        <w:t>vern av ville europeiske planter og dyr og deres naturlige leveområder</w:t>
      </w:r>
      <w:r w:rsidRPr="00307E42">
        <w:t>,</w:t>
      </w:r>
      <w:r>
        <w:t xml:space="preserve"> på en tilfredsstillende måte</w:t>
      </w:r>
      <w:r w:rsidRPr="00307E42">
        <w:t xml:space="preserve">. </w:t>
      </w:r>
      <w:r>
        <w:t xml:space="preserve">Men </w:t>
      </w:r>
      <w:r w:rsidRPr="00DD6DF1">
        <w:t xml:space="preserve">beskyttelsen av </w:t>
      </w:r>
      <w:r>
        <w:t xml:space="preserve">de </w:t>
      </w:r>
      <w:r w:rsidRPr="00DD6DF1">
        <w:t>samiske rettighetene i rov</w:t>
      </w:r>
      <w:r>
        <w:t>dyr</w:t>
      </w:r>
      <w:r w:rsidRPr="00DD6DF1">
        <w:t xml:space="preserve">forvaltningen </w:t>
      </w:r>
      <w:r>
        <w:t>er</w:t>
      </w:r>
      <w:r w:rsidRPr="00DD6DF1">
        <w:t xml:space="preserve"> ikke like klart </w:t>
      </w:r>
      <w:r>
        <w:t>lovfestet. Utvalget foreslår at urfolksforpliktelsene i FN-konvensjonen om sivile og politiske rettigheter a</w:t>
      </w:r>
      <w:r w:rsidRPr="00C83B03">
        <w:t>rt</w:t>
      </w:r>
      <w:r>
        <w:t>ikkel</w:t>
      </w:r>
      <w:r w:rsidRPr="00C83B03">
        <w:t xml:space="preserve"> 27 gis et mer fremtredende uttrykk i </w:t>
      </w:r>
      <w:r>
        <w:t>naturmangfoldloven.</w:t>
      </w:r>
    </w:p>
    <w:p w14:paraId="6183D106" w14:textId="77777777" w:rsidR="00047CC5" w:rsidRDefault="00047CC5" w:rsidP="00047CC5">
      <w:r>
        <w:t xml:space="preserve">I enkelte reinbeiteområder er tapene til rovdyr så omfattende at de gir grunn til å spørre om artikkel 27 er krenket og </w:t>
      </w:r>
      <w:r w:rsidRPr="005511B3">
        <w:t>at rov</w:t>
      </w:r>
      <w:r>
        <w:t>dyr</w:t>
      </w:r>
      <w:r w:rsidRPr="005511B3">
        <w:t>forvaltningen i disse områdene</w:t>
      </w:r>
      <w:r>
        <w:t xml:space="preserve"> </w:t>
      </w:r>
      <w:r w:rsidRPr="00BF6B48">
        <w:t>kan</w:t>
      </w:r>
      <w:r>
        <w:t xml:space="preserve"> </w:t>
      </w:r>
      <w:r w:rsidRPr="005511B3">
        <w:t>representere et folkerettsbrudd</w:t>
      </w:r>
      <w:r>
        <w:t xml:space="preserve">. Utvalget mener at dette ikke innebærer at </w:t>
      </w:r>
      <w:r w:rsidRPr="005511B3">
        <w:t xml:space="preserve">de </w:t>
      </w:r>
      <w:r w:rsidRPr="00477E60">
        <w:t>nasjonale bestandsmålene</w:t>
      </w:r>
      <w:r w:rsidRPr="005511B3">
        <w:t xml:space="preserve"> må oppgis</w:t>
      </w:r>
      <w:r>
        <w:t>. Men</w:t>
      </w:r>
      <w:r w:rsidRPr="005511B3">
        <w:t xml:space="preserve"> </w:t>
      </w:r>
      <w:r w:rsidRPr="00E27C5B">
        <w:t xml:space="preserve">fordelingen av bestandsmålene </w:t>
      </w:r>
      <w:r>
        <w:t xml:space="preserve">for gaupe og jerv </w:t>
      </w:r>
      <w:r w:rsidRPr="00E27C5B">
        <w:t>mellom de ulike regionene bør revurderes</w:t>
      </w:r>
      <w:r w:rsidRPr="005511B3">
        <w:t xml:space="preserve"> slik at de områdene som er mest utsatt for lokale reintap i større grad vernes mot rovdyr og at en større del av bestandsmålene </w:t>
      </w:r>
      <w:r>
        <w:t>overføres</w:t>
      </w:r>
      <w:r w:rsidRPr="005511B3">
        <w:t xml:space="preserve"> til andre regioner.</w:t>
      </w:r>
      <w:r>
        <w:t xml:space="preserve"> </w:t>
      </w:r>
      <w:r w:rsidRPr="005511B3">
        <w:t xml:space="preserve">Dette bør kombineres med begrensninger </w:t>
      </w:r>
      <w:r w:rsidRPr="007F50AA">
        <w:t xml:space="preserve">i </w:t>
      </w:r>
      <w:r w:rsidRPr="00E27C5B">
        <w:t>overlappende reinbeite- og rovdyrområder</w:t>
      </w:r>
      <w:r w:rsidRPr="005511B3">
        <w:t xml:space="preserve">, slik at det blir et klarere skille mellom områder hvor reindriften skal ha fortrinnsrett og områder hvor rovdyr i større grad skal vernes. Reduksjon av bestandsmålene i de regionene hvor reindriften er mest utsatt for rovdyrtap vil tillate </w:t>
      </w:r>
      <w:r w:rsidRPr="00E27C5B">
        <w:t>mer effektiv felling</w:t>
      </w:r>
      <w:r w:rsidRPr="005511B3">
        <w:t xml:space="preserve"> av rov</w:t>
      </w:r>
      <w:r>
        <w:t>dyr</w:t>
      </w:r>
      <w:r w:rsidRPr="005511B3">
        <w:t xml:space="preserve">, særlig i kalvings- og oppvekstområder for rein. </w:t>
      </w:r>
      <w:r>
        <w:t xml:space="preserve">Forvaltningen av kongeørn bør også gjennomgås. </w:t>
      </w:r>
      <w:r>
        <w:rPr>
          <w:rFonts w:cs="Times New Roman"/>
        </w:rPr>
        <w:t xml:space="preserve">Utvalget vil understreke behovet for å sikre at </w:t>
      </w:r>
      <w:r>
        <w:t xml:space="preserve">FN-konvensjonens </w:t>
      </w:r>
      <w:r w:rsidRPr="005511B3">
        <w:t>artikkel 27</w:t>
      </w:r>
      <w:r>
        <w:t xml:space="preserve"> respekteres i de mest rovdyrutsatte områdene, når omfordelingen av de regionale bestandsmålene skal vurderes.</w:t>
      </w:r>
    </w:p>
    <w:p w14:paraId="4A83888C" w14:textId="09A57407" w:rsidR="00047CC5" w:rsidRDefault="00047CC5" w:rsidP="00047CC5">
      <w:r>
        <w:t xml:space="preserve">Naturmangfoldloven </w:t>
      </w:r>
      <w:r w:rsidR="00CD439F">
        <w:t>§ 1</w:t>
      </w:r>
      <w:r>
        <w:t xml:space="preserve">7 fastsetter etter endringen i 2025 at nødverge kan foretas </w:t>
      </w:r>
      <w:r w:rsidR="00CD439F">
        <w:t>«</w:t>
      </w:r>
      <w:r w:rsidRPr="004418DD">
        <w:t>når det må anses påkrevd på grunn av et pågående angrep på tamrein</w:t>
      </w:r>
      <w:r>
        <w:t xml:space="preserve"> …</w:t>
      </w:r>
      <w:r w:rsidRPr="004418DD">
        <w:t xml:space="preserve"> eller fordi det er </w:t>
      </w:r>
      <w:r w:rsidRPr="004418DD">
        <w:lastRenderedPageBreak/>
        <w:t>overveiende sannsynlig at slikt angrep er nær forestående</w:t>
      </w:r>
      <w:r w:rsidR="00CD439F">
        <w:t>»</w:t>
      </w:r>
      <w:r w:rsidRPr="004418DD">
        <w:t>.</w:t>
      </w:r>
      <w:r>
        <w:t xml:space="preserve"> Utvalget mener at disse kravene ikke fullt ut samsvarer med betingelsene i Bernkonvensjonen artikkel 9. Konvensjonsbestemmelsen bør tolkes som et krav om at det må foretas en sammensatt vurdering hvor både faregraden og det potensielle skadeomfanget omfattes. Det bør også anses å være en mer omfattende rett til nødverge i områder hvor reindriften er særlig sårbar.</w:t>
      </w:r>
    </w:p>
    <w:p w14:paraId="12C237BE" w14:textId="5BE20591" w:rsidR="00047CC5" w:rsidRDefault="00047CC5" w:rsidP="00047CC5">
      <w:r>
        <w:t>Konsultasjonsplikten med samiske interesser og deres rett etter ILO-konvensjon nr. 169 om urfolk og stammefolk i selvstendige stater til å delta i beslutningsprosesser i saker som angår dem, e</w:t>
      </w:r>
      <w:r w:rsidRPr="2FB46E9B">
        <w:t xml:space="preserve">r regulert i konvensjonens artikler 6, 7 og 15. </w:t>
      </w:r>
      <w:r>
        <w:t xml:space="preserve">Sametinget vil være det representative organet når det gjelder lovgivning og andre tiltak som har betydning for samer i Norge som helhet, eller for en betydelig andel av norske samer. For beslutninger på nasjonalt nivå vil Norske Reindriftsamers Landsforbund (NRL) være en aktuell konsultasjonspart. For beslutninger som treffes som ledd i rovviltforvaltningen på regionalt nivå vil det også være aktuelt å konsultere med representanter for de lokalt berørte reindriftsutøverne ved deres distriktsstyrer, og eventuelt også med det lokale </w:t>
      </w:r>
      <w:proofErr w:type="spellStart"/>
      <w:r>
        <w:t>siidastyret</w:t>
      </w:r>
      <w:proofErr w:type="spellEnd"/>
      <w:r>
        <w:t xml:space="preserve"> og med representanter for svenske samebyer med beiterettigheter i Norge.</w:t>
      </w:r>
    </w:p>
    <w:p w14:paraId="3D2DBA3B" w14:textId="77777777" w:rsidR="00047CC5" w:rsidRDefault="00047CC5" w:rsidP="00047CC5">
      <w:r>
        <w:t>Det er en forutsetning for gjennomføringen av reelle konsultasjoner at de antatte faktiske konsekvensene av relevante reguleringer og beslutninger og deres betydning for overholdelse av de folkerettslige forpliktelsene avklares. Dette gjelder både betydningen av bevaringsforpliktelsene etter Bernkonvensjonen og plikten til lokal beskyttelse av samiske rettigheter etter FN-konvensjonen artikkel 27, og forholdet mellom disse forpliktelsene. Slik avklaring kan kreve gjennomføring av konsekvensanalyser. Utvalget anbefaler at disse kravene tas inn i lovgivningen om konsultasjonsplikten.</w:t>
      </w:r>
    </w:p>
    <w:p w14:paraId="7AFD3BF4" w14:textId="39FFD6C6" w:rsidR="00A6016F" w:rsidRDefault="00A6016F" w:rsidP="00A6016F">
      <w:pPr>
        <w:pStyle w:val="Overskrift1"/>
      </w:pPr>
      <w:bookmarkStart w:id="1" w:name="_Toc223433064"/>
      <w:r>
        <w:t>Innledning</w:t>
      </w:r>
      <w:bookmarkEnd w:id="1"/>
    </w:p>
    <w:p w14:paraId="5C4384BD" w14:textId="48FD4196" w:rsidR="00A6016F" w:rsidRDefault="00A6016F" w:rsidP="00A6016F">
      <w:pPr>
        <w:pStyle w:val="Overskrift2"/>
      </w:pPr>
      <w:bookmarkStart w:id="2" w:name="_Toc223433065"/>
      <w:r>
        <w:t>Utvalgets mandat</w:t>
      </w:r>
      <w:bookmarkEnd w:id="2"/>
    </w:p>
    <w:p w14:paraId="44B9B3F9" w14:textId="755CA1A3" w:rsidR="00303661" w:rsidRDefault="00A6016F" w:rsidP="00A6016F">
      <w:r w:rsidRPr="005816B9">
        <w:t xml:space="preserve">Klima- og miljødepartementet og Kommunal- og </w:t>
      </w:r>
      <w:proofErr w:type="spellStart"/>
      <w:r w:rsidRPr="005816B9">
        <w:t>distriktsdepartementet</w:t>
      </w:r>
      <w:proofErr w:type="spellEnd"/>
      <w:r w:rsidRPr="005816B9">
        <w:t xml:space="preserve"> oppnevnte 19. desember 2024 ekspertutvalget for å vurdere om de </w:t>
      </w:r>
      <w:r>
        <w:t>folkerettslige</w:t>
      </w:r>
      <w:r w:rsidRPr="005816B9">
        <w:t xml:space="preserve"> forpliktelsene Norge er underlagt overfor reindriften gjør at det er behov for eller grunnlag for endringer i rovviltforvaltningen.</w:t>
      </w:r>
      <w:r w:rsidR="00CD439F" w:rsidRPr="00CD439F">
        <w:rPr>
          <w:rStyle w:val="Fotnotereferanse"/>
        </w:rPr>
        <w:footnoteReference w:id="1"/>
      </w:r>
      <w:r w:rsidRPr="005816B9">
        <w:t xml:space="preserve"> </w:t>
      </w:r>
      <w:r>
        <w:t xml:space="preserve">Mandatet for utvalget viser </w:t>
      </w:r>
      <w:r w:rsidRPr="005816B9">
        <w:t xml:space="preserve">til at </w:t>
      </w:r>
      <w:r>
        <w:t xml:space="preserve">Norge har forpliktelser til å beskytte </w:t>
      </w:r>
      <w:r w:rsidRPr="005816B9">
        <w:t>rovvil</w:t>
      </w:r>
      <w:r>
        <w:t xml:space="preserve">t </w:t>
      </w:r>
      <w:r w:rsidRPr="005816B9">
        <w:t>etter Bernkonvensjonen</w:t>
      </w:r>
      <w:r>
        <w:t xml:space="preserve"> om bevaring av ville europeiske planter og dyr</w:t>
      </w:r>
      <w:r w:rsidRPr="005816B9">
        <w:t>,</w:t>
      </w:r>
      <w:r>
        <w:t xml:space="preserve"> </w:t>
      </w:r>
      <w:r>
        <w:lastRenderedPageBreak/>
        <w:t>mens</w:t>
      </w:r>
      <w:r w:rsidRPr="005816B9">
        <w:t xml:space="preserve"> samisk reindrift har et vern i FNs konvensjon om sivile og politiske rettigheter</w:t>
      </w:r>
      <w:r>
        <w:t xml:space="preserve"> og ILO-konvensjon nr. 169 om urfolk og stammefolk i selvstendige stater</w:t>
      </w:r>
      <w:r w:rsidRPr="005816B9">
        <w:t>.</w:t>
      </w:r>
    </w:p>
    <w:p w14:paraId="08517B81" w14:textId="3272EC67" w:rsidR="00D26AE1" w:rsidRDefault="00A6016F" w:rsidP="00A6016F">
      <w:r w:rsidRPr="005816B9">
        <w:t>Opprettelsen av ekspertutvalget er en oppfølging av regjeringens tiltakspakke for reindrift og energi, lagt fram i desember 2023.</w:t>
      </w:r>
      <w:r w:rsidR="00CD439F" w:rsidRPr="00CD439F">
        <w:rPr>
          <w:rStyle w:val="Fotnotereferanse"/>
        </w:rPr>
        <w:footnoteReference w:id="2"/>
      </w:r>
      <w:r w:rsidRPr="005816B9">
        <w:t xml:space="preserve"> Denne tiltakspakken er ment å legge til rette for bedre ivaretakelse av reindriften ved planlegging og utbygging av energi. Det erkjennes at rovvilt i reinbeiteområdene kan forsterke utfordringen ved arealinngrep. Mandatet og sammensetningen av utvalget har fått tilslutning av Sametinget og Norske Reindriftsamers Landsforbund.</w:t>
      </w:r>
    </w:p>
    <w:p w14:paraId="6DFBB0E0" w14:textId="233A22B0" w:rsidR="00A6016F" w:rsidRDefault="00A6016F" w:rsidP="007E66B0">
      <w:r w:rsidRPr="005816B9">
        <w:t>Det ble ved opprettelsen av utvalget uttalt:</w:t>
      </w:r>
    </w:p>
    <w:p w14:paraId="7BCF9036" w14:textId="6638965D" w:rsidR="00A6016F" w:rsidRPr="00CD439F" w:rsidRDefault="00CD439F" w:rsidP="00393223">
      <w:pPr>
        <w:pStyle w:val="blokksit"/>
        <w:ind w:left="757"/>
      </w:pPr>
      <w:r>
        <w:t>«</w:t>
      </w:r>
      <w:r w:rsidR="00A6016F" w:rsidRPr="00CD439F">
        <w:t>Tilstedeværelse av rovvilt påvirker reindriften, eksempelvis i form av tap av tamrein til rovvilt. Antall tamrein som erstattes som tapt til rovvilt har variert noe over år, men ligger i nærheten av 2</w:t>
      </w:r>
      <w:r w:rsidRPr="00CD439F">
        <w:t>0</w:t>
      </w:r>
      <w:r>
        <w:t> </w:t>
      </w:r>
      <w:r w:rsidRPr="00CD439F">
        <w:t>000</w:t>
      </w:r>
      <w:r w:rsidR="00A6016F" w:rsidRPr="00CD439F">
        <w:t xml:space="preserve"> dyr årlig. Gaupe og jerv har tradisjonelt vært største tapsårsak blant rovviltartene, men de senere årene erstattes tilsvarende andel dyr som tapt til kongeørn. Tapet av tamrein til ulv og bjørn er lite.</w:t>
      </w:r>
      <w:r>
        <w:t>»</w:t>
      </w:r>
    </w:p>
    <w:p w14:paraId="5E641B6A" w14:textId="77777777" w:rsidR="00A6016F" w:rsidRPr="005816B9" w:rsidRDefault="00A6016F" w:rsidP="00A6016F">
      <w:r w:rsidRPr="005816B9">
        <w:t>Om innholdet i utredningen heter det:</w:t>
      </w:r>
    </w:p>
    <w:p w14:paraId="65556302" w14:textId="4B7F9B50" w:rsidR="00A6016F" w:rsidRPr="00CD439F" w:rsidRDefault="00CD439F" w:rsidP="00393223">
      <w:pPr>
        <w:pStyle w:val="blokksit"/>
        <w:ind w:left="757"/>
      </w:pPr>
      <w:r>
        <w:t>«</w:t>
      </w:r>
      <w:r w:rsidR="00A6016F" w:rsidRPr="00CD439F">
        <w:t>Utvalget bes […] innledningsvis redegjøre for gjeldende rett knyttet til de relevante delene av henholdsvis Bernkonvensjonen og de folkerettslige forpliktelsene overfor reindriften. En slik redegjørelse kan med fordel bygge på eksisterende fremstillinger, der slike foreligger, i tillegg til øvrige relevante rettskilder. Dersom det anses nødvendig for å gjennomføre utredningen, kan det foretas grundigere vurderinger av de aspekter ved de respektive forpliktelsene som i mindre grad er behandlet tidligere.</w:t>
      </w:r>
    </w:p>
    <w:p w14:paraId="5C4CD737" w14:textId="0B10CACB" w:rsidR="00A6016F" w:rsidRPr="00CD439F" w:rsidRDefault="00A6016F" w:rsidP="00393223">
      <w:pPr>
        <w:pStyle w:val="blokksit"/>
        <w:ind w:left="757"/>
      </w:pPr>
      <w:r w:rsidRPr="00CD439F">
        <w:t>…</w:t>
      </w:r>
    </w:p>
    <w:p w14:paraId="2B567A8C" w14:textId="4789FEB5" w:rsidR="00303661" w:rsidRPr="00CD439F" w:rsidRDefault="00A6016F" w:rsidP="00393223">
      <w:pPr>
        <w:pStyle w:val="blokksit"/>
        <w:ind w:left="757"/>
      </w:pPr>
      <w:r w:rsidRPr="00CD439F">
        <w:t>Etter redegjørelsen for gjeldende rett, bes det om at det foretas en vurdering av forholdet mellom de respektive folkerettslige forpliktelsene, og at det deretter foretas en vurdering av hvorvidt Norges folkerettslige forpliktelser nødvendiggjør eller gir rom for endringer i det gjeldende nasjonale regelverket om forvaltningen av rovvilt.</w:t>
      </w:r>
      <w:r w:rsidR="00CD439F">
        <w:t>»</w:t>
      </w:r>
    </w:p>
    <w:p w14:paraId="3FC558C5" w14:textId="3478CA9B" w:rsidR="00CD439F" w:rsidRDefault="00A6016F" w:rsidP="00A6016F">
      <w:r>
        <w:t xml:space="preserve">Medlemmene av ekspertutvalget har vært professor emeritus Geir Ulfstein, Universitetet i Oslo (leder), Jon Gauslaa, leder av Finnmarkskommisjonen og professor Christina </w:t>
      </w:r>
      <w:proofErr w:type="spellStart"/>
      <w:r>
        <w:t>Voigt</w:t>
      </w:r>
      <w:proofErr w:type="spellEnd"/>
      <w:r>
        <w:t>, Universitetet i Oslo.</w:t>
      </w:r>
    </w:p>
    <w:p w14:paraId="56D894FF" w14:textId="16480867" w:rsidR="0008667A" w:rsidRDefault="0008667A" w:rsidP="0008667A">
      <w:pPr>
        <w:pStyle w:val="Overskrift2"/>
      </w:pPr>
      <w:bookmarkStart w:id="3" w:name="_Toc223433066"/>
      <w:r>
        <w:lastRenderedPageBreak/>
        <w:t>Problemstillinger behandlet av utvalget</w:t>
      </w:r>
      <w:bookmarkEnd w:id="3"/>
    </w:p>
    <w:p w14:paraId="5E32719B" w14:textId="77777777" w:rsidR="00303661" w:rsidRDefault="0008667A" w:rsidP="0008667A">
      <w:r>
        <w:t>Den offentlige debatten har i stor grad dreiet seg om forholdet mellom bevaring av ulv og på den andre siden beskyttelse av sauehold. Men rovdyrtrusselen mot reindrift reiser til dels andre problemstillinger og involverer de folkerettslige reglene som skal beskytte samisk kulturutøvelse og deltakelse i rovdyrforvaltningen. Tapene av rein til rovvilt må også ses i sammenheng med andre utfordringer, først og fremst tilpasning av reindriften til beitegrunnlaget, arealinngrep som veier, hyttebygging og energiinstallasjoner, og klimaendringene.</w:t>
      </w:r>
    </w:p>
    <w:p w14:paraId="57FBF4A2" w14:textId="4ADB8BE7" w:rsidR="00303661" w:rsidRDefault="0008667A" w:rsidP="0008667A">
      <w:r w:rsidRPr="1755F46F">
        <w:t xml:space="preserve">Utvalget går inn på omfanget av tapene av rein til rovvilt og konsekvensene for reindriften; innholdet i forpliktelsene i de konvensjonene som beskytter reindrift og i konvensjonene som beskytter rovvilt, og forholdet mellom disse to gruppene av konvensjoner; hvorvidt de norske reguleringene er i samsvar med de folkerettslige forpliktelsene; og om de norske reguleringene bør endres innenfor de folkerettslige rammene. </w:t>
      </w:r>
      <w:r w:rsidRPr="00A006BC">
        <w:t>Vi går også inn på</w:t>
      </w:r>
      <w:r w:rsidRPr="00C419E4">
        <w:t xml:space="preserve"> </w:t>
      </w:r>
      <w:r w:rsidRPr="00A006BC">
        <w:t xml:space="preserve">Grunnlovens bestemmelser </w:t>
      </w:r>
      <w:r w:rsidR="00CD439F">
        <w:t>§ </w:t>
      </w:r>
      <w:r w:rsidR="00CD439F" w:rsidRPr="00A006BC">
        <w:t>1</w:t>
      </w:r>
      <w:r w:rsidRPr="00A006BC">
        <w:t xml:space="preserve">12 om retten til miljø og </w:t>
      </w:r>
      <w:r w:rsidR="00CD439F">
        <w:t>§ </w:t>
      </w:r>
      <w:r w:rsidR="00CD439F" w:rsidRPr="00A006BC">
        <w:t>1</w:t>
      </w:r>
      <w:r w:rsidRPr="00A006BC">
        <w:t>08 om retten til samisk kultur hvor dette er relevant.</w:t>
      </w:r>
      <w:r w:rsidRPr="00CD439F">
        <w:rPr>
          <w:rStyle w:val="halvfet"/>
        </w:rPr>
        <w:t xml:space="preserve"> </w:t>
      </w:r>
      <w:r w:rsidRPr="1755F46F">
        <w:t>I samsvar med mandatet, går utvalget ikke inn på ikke-samisk reindrift, og heller ikke trusler fra rovvilt mot annet samisk landbruk, som sauehold.</w:t>
      </w:r>
    </w:p>
    <w:p w14:paraId="58D706CD" w14:textId="503D3A8C" w:rsidR="0008667A" w:rsidRDefault="0008667A" w:rsidP="0008667A">
      <w:pPr>
        <w:pStyle w:val="Overskrift2"/>
      </w:pPr>
      <w:bookmarkStart w:id="4" w:name="_Toc223433067"/>
      <w:r>
        <w:t>Utvalgets arbeid, inkludert møter med eksterne</w:t>
      </w:r>
      <w:bookmarkEnd w:id="4"/>
    </w:p>
    <w:p w14:paraId="2CB605C7" w14:textId="77777777" w:rsidR="0008667A" w:rsidRDefault="0008667A" w:rsidP="0008667A">
      <w:r>
        <w:t xml:space="preserve">Utvalget begynte sitt arbeid med et seminar 21. mars 2025 i Oslo med deltakelse av relevante departementer, direktorater, statsforvaltere, rovviltnemnder, Sametinget og Norske Reindriftssamers Landsforbund, flere miljøorganisasjoner, Rovdata, Norsk Institutt for naturforskning (NINA) og Norsk institutt for bioøkonomi (NIBIO). Et åpent møte ble arrangert i Alta 9. september 2025 med bred deltakelse, blant annet fra Sametinget og Samerådet, reinbeitenæringen, statsforvalterne, Finnmark Bondelag, Lierne kommune og miljøorganisasjonene. Utvalget har også hatt møter med Klima- og miljødepartementet, Kommunal- og </w:t>
      </w:r>
      <w:proofErr w:type="spellStart"/>
      <w:r>
        <w:t>distriktsdepartementet</w:t>
      </w:r>
      <w:proofErr w:type="spellEnd"/>
      <w:r>
        <w:t xml:space="preserve"> og Miljødirektoratet, Landbruks- og matdepartementet og Landbruksdirektoratet, Statens Naturoppsyn og Mattilsynet. Utvalget har mottatt flere nyttige muntlige og skriftlige innspill. Utvalget har hatt 18 interne møter.</w:t>
      </w:r>
    </w:p>
    <w:p w14:paraId="41B6FE1F" w14:textId="7320476D" w:rsidR="0008667A" w:rsidRDefault="0008667A" w:rsidP="0008667A">
      <w:pPr>
        <w:pStyle w:val="Overskrift2"/>
      </w:pPr>
      <w:bookmarkStart w:id="5" w:name="_Toc223433068"/>
      <w:r>
        <w:t>Oversikt over framstillingen</w:t>
      </w:r>
      <w:bookmarkEnd w:id="5"/>
    </w:p>
    <w:p w14:paraId="0034F068" w14:textId="2979B2B6" w:rsidR="00D26AE1" w:rsidRDefault="0008667A" w:rsidP="0008667A">
      <w:r>
        <w:t>Utredningen gir først en oversikt over t</w:t>
      </w:r>
      <w:r w:rsidRPr="00E16A27">
        <w:t xml:space="preserve">ap av rein til rovvilt </w:t>
      </w:r>
      <w:r>
        <w:t xml:space="preserve">i </w:t>
      </w:r>
      <w:r w:rsidRPr="00E16A27">
        <w:t>kap</w:t>
      </w:r>
      <w:r>
        <w:t>ittel</w:t>
      </w:r>
      <w:r w:rsidRPr="00E16A27">
        <w:t xml:space="preserve"> 2</w:t>
      </w:r>
      <w:r>
        <w:t xml:space="preserve">. </w:t>
      </w:r>
      <w:r w:rsidRPr="00E16A27">
        <w:t xml:space="preserve">Deretter drøftes de folkerettslige forpliktelsene. Det gis først en oversikt over de folkerettslige forpliktelser som beskytter reindriften i kapittel 3 og deretter forpliktelsene som beskytter rovvilt i kapittel 4. I begge sammenhenger utdypes de spesielle problemstillingene som oppstår i beskyttelsen av samisk reindrift mot rovdyr. </w:t>
      </w:r>
      <w:r>
        <w:t xml:space="preserve">Deretter drøftes det om </w:t>
      </w:r>
      <w:r w:rsidRPr="005816B9">
        <w:t xml:space="preserve">den norske forvaltningen </w:t>
      </w:r>
      <w:r>
        <w:t xml:space="preserve">er </w:t>
      </w:r>
      <w:r w:rsidRPr="005816B9">
        <w:t xml:space="preserve">i samsvar med de folkerettslige </w:t>
      </w:r>
      <w:r w:rsidRPr="005816B9">
        <w:lastRenderedPageBreak/>
        <w:t>forpliktelsene</w:t>
      </w:r>
      <w:r>
        <w:t xml:space="preserve"> i </w:t>
      </w:r>
      <w:r w:rsidRPr="005816B9">
        <w:t>kap</w:t>
      </w:r>
      <w:r>
        <w:t>ittel</w:t>
      </w:r>
      <w:r w:rsidRPr="005816B9">
        <w:t xml:space="preserve"> </w:t>
      </w:r>
      <w:r>
        <w:t>5. Endelig vurderes det i kapittel 6 om den norske forvaltningen av rovvilt bør endres i lys av de folkerettslige forpliktelsene.</w:t>
      </w:r>
    </w:p>
    <w:p w14:paraId="01006C8D" w14:textId="471A48C6" w:rsidR="0008667A" w:rsidRDefault="0008667A" w:rsidP="0008667A">
      <w:pPr>
        <w:pStyle w:val="Overskrift1"/>
      </w:pPr>
      <w:bookmarkStart w:id="6" w:name="_Toc223433069"/>
      <w:r>
        <w:t>Tap av tamrein til rovvilt</w:t>
      </w:r>
      <w:bookmarkEnd w:id="6"/>
    </w:p>
    <w:p w14:paraId="3EA35387" w14:textId="4A4B4DA0" w:rsidR="0008667A" w:rsidRDefault="0008667A" w:rsidP="0008667A">
      <w:pPr>
        <w:pStyle w:val="Overskrift2"/>
      </w:pPr>
      <w:bookmarkStart w:id="7" w:name="_Toc223433070"/>
      <w:r>
        <w:t>Historisk bakgrunn</w:t>
      </w:r>
      <w:bookmarkEnd w:id="7"/>
    </w:p>
    <w:p w14:paraId="774FEC07" w14:textId="3D2CA476" w:rsidR="0008667A" w:rsidRPr="005816B9" w:rsidRDefault="0008667A" w:rsidP="0008667A">
      <w:r w:rsidRPr="005816B9">
        <w:t xml:space="preserve">Reindriften har alltid måttet forholde seg til rovdyrene bjørn, ulv, gaupe, jerv og </w:t>
      </w:r>
      <w:r>
        <w:t xml:space="preserve">til </w:t>
      </w:r>
      <w:r w:rsidRPr="005816B9">
        <w:t xml:space="preserve">kongeørn. I tidligere tider, da det fantes store bestander av disse artene i Norge, var driftsformene i stor grad tilpasset denne situasjonen. Omfattende jakt, til dels koblet til skuddpremier, førte til at rovviltet ble redusert til et minimum allerede på begynnelsen av 1900-tallet, og bjørn og ulv var i en periode på flere tiår </w:t>
      </w:r>
      <w:r>
        <w:t>nærmest</w:t>
      </w:r>
      <w:r w:rsidRPr="005816B9">
        <w:t xml:space="preserve"> utryddet.</w:t>
      </w:r>
      <w:r>
        <w:t xml:space="preserve"> S</w:t>
      </w:r>
      <w:r w:rsidRPr="005816B9">
        <w:t xml:space="preserve">amtidig økte tamreinantallet, blant annet på grunn av tilgang til motoriserte kjøretøy </w:t>
      </w:r>
      <w:r>
        <w:t>og</w:t>
      </w:r>
      <w:r w:rsidRPr="005816B9">
        <w:t xml:space="preserve"> reingjerder</w:t>
      </w:r>
      <w:r>
        <w:t>,</w:t>
      </w:r>
      <w:r w:rsidRPr="005816B9">
        <w:t xml:space="preserve"> som gjorde det mulig å kontrollere større flokker. Omleggingen av rovdyrpolitikken i de siste tiårene har imidlertid ført til økte konflikter med reindriften.</w:t>
      </w:r>
      <w:r w:rsidR="00CD439F" w:rsidRPr="00CD439F">
        <w:rPr>
          <w:rStyle w:val="Fotnotereferanse"/>
        </w:rPr>
        <w:footnoteReference w:id="3"/>
      </w:r>
    </w:p>
    <w:p w14:paraId="4DA67F5E" w14:textId="5987DA90" w:rsidR="0008667A" w:rsidRDefault="0008667A" w:rsidP="0008667A">
      <w:pPr>
        <w:pStyle w:val="Overskrift2"/>
      </w:pPr>
      <w:bookmarkStart w:id="8" w:name="_Toc223433071"/>
      <w:r>
        <w:t>Reindriften er spesielt utsatt for rovvilttap</w:t>
      </w:r>
      <w:bookmarkEnd w:id="8"/>
    </w:p>
    <w:p w14:paraId="5C0C9CEC" w14:textId="3E6C72EA" w:rsidR="0008667A" w:rsidRDefault="0008667A" w:rsidP="0008667A">
      <w:r w:rsidRPr="02645A7F">
        <w:t xml:space="preserve">Reindriften er spesielt utsatt for rovvilttap fordi reinen beiter </w:t>
      </w:r>
      <w:r>
        <w:t>over store områder som varierer i løpet av året, i samsvar med flyttemønsteret med sommer- og vinterbeite. Reinen</w:t>
      </w:r>
      <w:r w:rsidRPr="02645A7F">
        <w:t xml:space="preserve"> er </w:t>
      </w:r>
      <w:r>
        <w:t>utsatt for rovdyrangrep</w:t>
      </w:r>
      <w:r w:rsidRPr="02645A7F">
        <w:t xml:space="preserve"> hele året</w:t>
      </w:r>
      <w:r>
        <w:t>, både på barmark på sommeren og mørketid om vinteren. Dessuten er reinen som en semidomestisert art i liten grad håndtert av mennesker, sammenliknet med andre beitedyr.</w:t>
      </w:r>
      <w:r w:rsidR="00CD439F" w:rsidRPr="00CD439F">
        <w:rPr>
          <w:rStyle w:val="Fotnotereferanse"/>
        </w:rPr>
        <w:footnoteReference w:id="4"/>
      </w:r>
      <w:r>
        <w:t xml:space="preserve"> Endelig finnes det få effektive tapsforebyggende tiltak, og disse tiltakene er ofte kostnadskrevende og de kan komme i konflikt med </w:t>
      </w:r>
      <w:r w:rsidRPr="005816B9">
        <w:t>reindriftens tradisjonelle driftsmåter</w:t>
      </w:r>
      <w:r>
        <w:t>.</w:t>
      </w:r>
    </w:p>
    <w:p w14:paraId="02770720" w14:textId="0298EC49" w:rsidR="0008667A" w:rsidRDefault="0008667A" w:rsidP="0008667A">
      <w:pPr>
        <w:rPr>
          <w:rFonts w:cs="Times New Roman"/>
          <w:szCs w:val="24"/>
        </w:rPr>
      </w:pPr>
      <w:r>
        <w:rPr>
          <w:rFonts w:cs="Times New Roman"/>
          <w:szCs w:val="24"/>
        </w:rPr>
        <w:t xml:space="preserve">I </w:t>
      </w:r>
      <w:r w:rsidR="00CD439F" w:rsidRPr="00B639E0">
        <w:rPr>
          <w:rFonts w:cs="Times New Roman"/>
          <w:szCs w:val="24"/>
        </w:rPr>
        <w:t>Ot</w:t>
      </w:r>
      <w:r w:rsidR="00CD439F">
        <w:rPr>
          <w:rFonts w:cs="Times New Roman"/>
          <w:szCs w:val="24"/>
        </w:rPr>
        <w:t xml:space="preserve">.prp. nr. </w:t>
      </w:r>
      <w:r w:rsidR="00CD439F" w:rsidRPr="00B639E0">
        <w:rPr>
          <w:rFonts w:cs="Times New Roman"/>
          <w:szCs w:val="24"/>
        </w:rPr>
        <w:t>25</w:t>
      </w:r>
      <w:r w:rsidRPr="00B639E0">
        <w:rPr>
          <w:rFonts w:cs="Times New Roman"/>
          <w:szCs w:val="24"/>
        </w:rPr>
        <w:t xml:space="preserve"> (2006–2007) </w:t>
      </w:r>
      <w:r w:rsidRPr="00CD439F">
        <w:rPr>
          <w:rStyle w:val="kursiv"/>
        </w:rPr>
        <w:t xml:space="preserve">Om lov om reindrift (reindriftsloven) </w:t>
      </w:r>
      <w:r>
        <w:rPr>
          <w:rFonts w:cs="Times New Roman"/>
          <w:szCs w:val="24"/>
        </w:rPr>
        <w:t>sies det:</w:t>
      </w:r>
    </w:p>
    <w:p w14:paraId="064B9FFC" w14:textId="4BCC68CB" w:rsidR="00D26AE1" w:rsidRDefault="00CD439F" w:rsidP="00393223">
      <w:pPr>
        <w:pStyle w:val="blokksit"/>
        <w:ind w:left="757"/>
      </w:pPr>
      <w:r>
        <w:t>«</w:t>
      </w:r>
      <w:r w:rsidR="0008667A" w:rsidRPr="00CD439F">
        <w:t>Gjennom sin helårs utnyttelse av fjell og utmarksområder har reindriftsnæringen vært vant til å forholde seg til rovdyr. I de seinere årene har imidlertid rovdyrtapene i mange områder ligget på et fra næringen sett uakseptabelt høyt nivå. Det er en stor utfordring for næring og ansvarlige myndigheter å finne løsninger som reduserer rovdyrtapene, og som sikrer en opprettholdelse av den tradisjonelle nomadiske reindriften.</w:t>
      </w:r>
      <w:r>
        <w:t>»</w:t>
      </w:r>
      <w:r w:rsidRPr="00CD439F">
        <w:rPr>
          <w:rStyle w:val="Fotnotereferanse"/>
        </w:rPr>
        <w:footnoteReference w:id="5"/>
      </w:r>
    </w:p>
    <w:p w14:paraId="0550C2BE" w14:textId="05F4F1E2" w:rsidR="0008667A" w:rsidRDefault="0008667A" w:rsidP="0008667A">
      <w:pPr>
        <w:pStyle w:val="Overskrift2"/>
      </w:pPr>
      <w:bookmarkStart w:id="9" w:name="_Toc223433072"/>
      <w:r>
        <w:lastRenderedPageBreak/>
        <w:t>Totale tap til rovvilt</w:t>
      </w:r>
      <w:bookmarkEnd w:id="9"/>
    </w:p>
    <w:p w14:paraId="4B6D1E44" w14:textId="5D5D6AAC" w:rsidR="0008667A" w:rsidRDefault="0008667A" w:rsidP="0008667A">
      <w:r w:rsidRPr="1755F46F">
        <w:t xml:space="preserve">Reineierne taper dyr på grunn av variasjoner i beitegrunnlag, vær- og klimaforhold, angrep fra rovvilt, ulykker og sykdom. Disse årsakene kan samvirke, for eksempel slik at rovvilttapene kan øke fordi reinen er i dårlig form på grunn </w:t>
      </w:r>
      <w:r>
        <w:t xml:space="preserve">av </w:t>
      </w:r>
      <w:r w:rsidRPr="1755F46F">
        <w:t xml:space="preserve">manglende beiteområder eller periodiske islagte </w:t>
      </w:r>
      <w:r w:rsidR="00CD439F">
        <w:t>«</w:t>
      </w:r>
      <w:r w:rsidRPr="1755F46F">
        <w:t>låste beiter</w:t>
      </w:r>
      <w:r w:rsidR="00CD439F">
        <w:t>»</w:t>
      </w:r>
      <w:r>
        <w:t>, dels</w:t>
      </w:r>
      <w:r w:rsidRPr="1755F46F">
        <w:t xml:space="preserve"> som følge av klimaendringer.</w:t>
      </w:r>
    </w:p>
    <w:p w14:paraId="21A4C615" w14:textId="6B601F13" w:rsidR="00303661" w:rsidRDefault="0008667A" w:rsidP="0008667A">
      <w:r w:rsidRPr="005816B9">
        <w:t xml:space="preserve">I forskningsrapporten </w:t>
      </w:r>
      <w:r w:rsidRPr="00CD439F">
        <w:rPr>
          <w:rStyle w:val="kursiv"/>
        </w:rPr>
        <w:t>Kartlegging av forskning på reindriftsområdet – kunnskapsgrunnlag og forskningsbehov</w:t>
      </w:r>
      <w:r w:rsidRPr="005816B9">
        <w:t xml:space="preserve"> (2021) påpekes den store forskjellen mellom antall omsøkte rein som rovviltdrept og antall erstattede rein. </w:t>
      </w:r>
      <w:r w:rsidRPr="00CD439F">
        <w:rPr>
          <w:rStyle w:val="kursiv"/>
        </w:rPr>
        <w:t>Ressursregnskapet for reindriftsnæringen</w:t>
      </w:r>
      <w:r w:rsidRPr="005816B9">
        <w:t xml:space="preserve"> </w:t>
      </w:r>
      <w:r w:rsidR="00CD439F">
        <w:t>«</w:t>
      </w:r>
      <w:r w:rsidRPr="005816B9">
        <w:t>bygger hovedsakelig på de opplysninger som framkommer i reineiernes reindriftsmeldinger og søknader om erstatning for rovvilttap</w:t>
      </w:r>
      <w:r w:rsidR="00CD439F">
        <w:t>»</w:t>
      </w:r>
      <w:r w:rsidRPr="0008667A">
        <w:t>.</w:t>
      </w:r>
      <w:r w:rsidRPr="00CD439F">
        <w:rPr>
          <w:rStyle w:val="halvfet"/>
        </w:rPr>
        <w:t xml:space="preserve"> </w:t>
      </w:r>
      <w:r w:rsidRPr="005816B9">
        <w:t>I ressursregnskapet for reindriftsåret 1. april 202</w:t>
      </w:r>
      <w:r>
        <w:t>4</w:t>
      </w:r>
      <w:r w:rsidRPr="005816B9">
        <w:t xml:space="preserve"> – 31. mars 202</w:t>
      </w:r>
      <w:r>
        <w:t xml:space="preserve">5 refereres det til at det bare er </w:t>
      </w:r>
      <w:r w:rsidR="00CD439F">
        <w:t>5 %</w:t>
      </w:r>
      <w:r>
        <w:t xml:space="preserve"> av rein det blir søkt om rovvilterstatning for hvor det er mulig å fastslå dødsårsaken. Det er også stor forskjell mellom omsøkt tap av rein og det antallet som blir erstattet. I reindriftsåret 2023/2024 ble det søkt om erstatning for 9</w:t>
      </w:r>
      <w:r w:rsidR="00CD439F">
        <w:t>0 %</w:t>
      </w:r>
      <w:r>
        <w:t xml:space="preserve"> av all tapt tamrein, mens bare 2</w:t>
      </w:r>
      <w:r w:rsidR="00CD439F">
        <w:t>9 %</w:t>
      </w:r>
      <w:r>
        <w:t xml:space="preserve"> av det omsøkte kravet ble erstattet (tilsvarende 2</w:t>
      </w:r>
      <w:r w:rsidR="00CD439F">
        <w:t>6 %</w:t>
      </w:r>
      <w:r>
        <w:t xml:space="preserve"> av det totale tapet).</w:t>
      </w:r>
      <w:r w:rsidR="00CD439F" w:rsidRPr="00CD439F">
        <w:rPr>
          <w:rStyle w:val="Fotnotereferanse"/>
        </w:rPr>
        <w:footnoteReference w:id="6"/>
      </w:r>
    </w:p>
    <w:p w14:paraId="1A85F222" w14:textId="77E4DAA4" w:rsidR="0008667A" w:rsidRDefault="0008667A" w:rsidP="0008667A">
      <w:r>
        <w:t xml:space="preserve">Det er grunn til å påpeke at det har vært uenighet mellom næring, forskere og forvaltning om </w:t>
      </w:r>
      <w:r w:rsidRPr="005816B9">
        <w:t>forholdet mellom additivt og kompensatorisk tap</w:t>
      </w:r>
      <w:r>
        <w:t xml:space="preserve"> – det vil si hvor mye tap av rein til rovvilt netto betyr når det tas hensyn til at en del av denne reinen uansett ville omkommet av andre årsaker – så vel som andre forhold knyttet til tap av rein til rovvilt:</w:t>
      </w:r>
    </w:p>
    <w:p w14:paraId="00423187" w14:textId="7144E6E8" w:rsidR="0008667A" w:rsidRPr="00CD439F" w:rsidRDefault="00CD439F" w:rsidP="00393223">
      <w:pPr>
        <w:pStyle w:val="blokksit"/>
        <w:ind w:left="757"/>
      </w:pPr>
      <w:r>
        <w:t>«</w:t>
      </w:r>
      <w:r w:rsidR="0008667A" w:rsidRPr="00CD439F">
        <w:t>I Norge har det vært stor diskusjon mellom næring, forskere og forvaltning knyttet til predasjon som additivt tap (kommer i tillegg til annen dødelighet) eller kompensatorisk tap (dyret ville omkommet av andre tapsårsaker uansett). Diskusjonen knytter seg også til hvor godt antallet ynglende individer av rovvilt gjenspeiler den totale bestanden og hvor store tap hvert enkelt rovdyr påfører reindriftsnæringen […]. I tillegg mener næringen at det er mørketall når det gjelder oversikt over bestandsstørrelsen av bl.a. gaupe i deler av landet. Store deler av reindriftsnæringen mener også at kongeørn tar et betydelig antall reinkalver fra kalving og utover sommeren.</w:t>
      </w:r>
      <w:r>
        <w:t>»</w:t>
      </w:r>
      <w:r w:rsidRPr="00CD439F">
        <w:rPr>
          <w:rStyle w:val="Fotnotereferanse"/>
        </w:rPr>
        <w:footnoteReference w:id="7"/>
      </w:r>
    </w:p>
    <w:p w14:paraId="3FF29DF5" w14:textId="596E7320" w:rsidR="0008667A" w:rsidRDefault="0008667A" w:rsidP="0008667A">
      <w:r>
        <w:t xml:space="preserve">I en nylig rapport fra Veterinærinstituttet, </w:t>
      </w:r>
      <w:r w:rsidRPr="00CD439F">
        <w:rPr>
          <w:rStyle w:val="kursiv"/>
        </w:rPr>
        <w:t>Obduksjonsfunn og tapsårsaker hos tamrein (</w:t>
      </w:r>
      <w:proofErr w:type="spellStart"/>
      <w:r w:rsidRPr="00CD439F">
        <w:rPr>
          <w:rStyle w:val="kursiv"/>
        </w:rPr>
        <w:t>Rangifer</w:t>
      </w:r>
      <w:proofErr w:type="spellEnd"/>
      <w:r w:rsidRPr="00CD439F">
        <w:rPr>
          <w:rStyle w:val="kursiv"/>
        </w:rPr>
        <w:t xml:space="preserve"> </w:t>
      </w:r>
      <w:proofErr w:type="spellStart"/>
      <w:r w:rsidRPr="00CD439F">
        <w:rPr>
          <w:rStyle w:val="kursiv"/>
        </w:rPr>
        <w:t>tarandus</w:t>
      </w:r>
      <w:proofErr w:type="spellEnd"/>
      <w:r w:rsidRPr="00CD439F">
        <w:rPr>
          <w:rStyle w:val="kursiv"/>
        </w:rPr>
        <w:t xml:space="preserve"> </w:t>
      </w:r>
      <w:proofErr w:type="spellStart"/>
      <w:r w:rsidRPr="00CD439F">
        <w:rPr>
          <w:rStyle w:val="kursiv"/>
        </w:rPr>
        <w:t>tarandus</w:t>
      </w:r>
      <w:proofErr w:type="spellEnd"/>
      <w:r w:rsidRPr="00CD439F">
        <w:rPr>
          <w:rStyle w:val="kursiv"/>
        </w:rPr>
        <w:t>) i Nord-Norge</w:t>
      </w:r>
      <w:r>
        <w:t xml:space="preserve"> (2025), er hovedfunnet at rovvilt drepte rein i god og dårlig kondisjon på vinteren. Dessuten fant man at </w:t>
      </w:r>
      <w:r w:rsidR="00CD439F">
        <w:t>«</w:t>
      </w:r>
      <w:r>
        <w:t>[a]</w:t>
      </w:r>
      <w:proofErr w:type="spellStart"/>
      <w:r w:rsidRPr="004B120F">
        <w:t>vmagring</w:t>
      </w:r>
      <w:proofErr w:type="spellEnd"/>
      <w:r w:rsidRPr="004B120F">
        <w:t xml:space="preserve"> skyldes ikke alltid sult på grunn av manglende beite</w:t>
      </w:r>
      <w:r w:rsidRPr="00975D65">
        <w:t xml:space="preserve">, men kan også være på grunn av andre årsaker som sykdom eller høy parasittbelastning. Skader og stress fra rovvilt bidrar også til </w:t>
      </w:r>
      <w:r w:rsidRPr="00975D65">
        <w:lastRenderedPageBreak/>
        <w:t>negativ energibalanse hos reinen</w:t>
      </w:r>
      <w:r>
        <w:t>.</w:t>
      </w:r>
      <w:r w:rsidR="00CD439F">
        <w:t>»</w:t>
      </w:r>
      <w:r>
        <w:t xml:space="preserve"> Funnene indikerer at </w:t>
      </w:r>
      <w:r w:rsidR="00CD439F">
        <w:t>«</w:t>
      </w:r>
      <w:r>
        <w:t>tap til rovdyr i Norge er en kombinasjon av kompensatoriske og additive, selv om andre studier har konkludert med at kompensatorisk tap er dominerende.</w:t>
      </w:r>
      <w:r w:rsidR="00CD439F">
        <w:t>»</w:t>
      </w:r>
      <w:r w:rsidR="00CD439F" w:rsidRPr="00CD439F">
        <w:rPr>
          <w:rStyle w:val="Fotnotereferanse"/>
        </w:rPr>
        <w:footnoteReference w:id="8"/>
      </w:r>
    </w:p>
    <w:p w14:paraId="4B96406E" w14:textId="77777777" w:rsidR="0008667A" w:rsidRDefault="0008667A" w:rsidP="0008667A">
      <w:r w:rsidRPr="005816B9">
        <w:t xml:space="preserve">Det er erkjent at det er vanskelig å dokumentere tap av rein til rovvilt. I rapporten </w:t>
      </w:r>
      <w:r w:rsidRPr="00CD439F">
        <w:rPr>
          <w:rStyle w:val="kursiv"/>
        </w:rPr>
        <w:t>Oppdrag rovvilt og tamrein</w:t>
      </w:r>
      <w:r w:rsidRPr="005816B9">
        <w:t xml:space="preserve"> (2024) sier Miljødirektoratet og Landbruksdirektoratet:</w:t>
      </w:r>
    </w:p>
    <w:p w14:paraId="78D19C4F" w14:textId="3A910E6C" w:rsidR="0008667A" w:rsidRPr="00CD439F" w:rsidRDefault="00CD439F" w:rsidP="00393223">
      <w:pPr>
        <w:pStyle w:val="blokksit"/>
        <w:ind w:left="757"/>
      </w:pPr>
      <w:r>
        <w:t>«</w:t>
      </w:r>
      <w:r w:rsidR="0008667A" w:rsidRPr="00CD439F">
        <w:t>På landsbasis blir 1- 2 prosent av alle rein som søkes erstattet påvist tapt til rovvilt. Skjønnsrommet for utmåling av erstatning, fordeling på alders- og kjønnskategorier av tamrein og aktuell rovviltart som dødsårsak er svært stort, og baserer seg på mange usikre parametere.</w:t>
      </w:r>
      <w:r>
        <w:t>»</w:t>
      </w:r>
      <w:r w:rsidRPr="00CD439F">
        <w:rPr>
          <w:rStyle w:val="Fotnotereferanse"/>
        </w:rPr>
        <w:footnoteReference w:id="9"/>
      </w:r>
    </w:p>
    <w:p w14:paraId="178D0657" w14:textId="77777777" w:rsidR="00303661" w:rsidRDefault="00C804A6" w:rsidP="00C804A6">
      <w:r>
        <w:t>Men selv om det ikke er mulig å fastslå dødsårsaken til den enkelte rein, er det krav om at det sannsynliggjøres at reinen er tatt av rovvilt dersom erstatning skal utbetales. Dette framgår av f</w:t>
      </w:r>
      <w:r w:rsidRPr="005816B9">
        <w:t>orskrift om erstatning for tap og følgekostnader når tamrein blir drept eller skadet av rovvilt (FOR-2001-05</w:t>
      </w:r>
      <w:r>
        <w:t>-</w:t>
      </w:r>
      <w:r w:rsidRPr="005816B9">
        <w:t>04-468)</w:t>
      </w:r>
      <w:r>
        <w:t>.</w:t>
      </w:r>
    </w:p>
    <w:p w14:paraId="7C76A718" w14:textId="7F464E38" w:rsidR="00C804A6" w:rsidRPr="00393223" w:rsidRDefault="00C804A6" w:rsidP="00C804A6">
      <w:r w:rsidRPr="00393223">
        <w:t xml:space="preserve">I denne forskriften fastsettes følgende kriterier for innvilgelse av erstatning. </w:t>
      </w:r>
      <w:r w:rsidR="00CD439F">
        <w:t>§ </w:t>
      </w:r>
      <w:r w:rsidR="00CD439F" w:rsidRPr="00393223">
        <w:t>7</w:t>
      </w:r>
      <w:r w:rsidRPr="00393223">
        <w:t xml:space="preserve"> er knyttet til gjenfunnet rein hvor dødsårsaken kan fastslås:</w:t>
      </w:r>
    </w:p>
    <w:p w14:paraId="2CD55856" w14:textId="625CC95E" w:rsidR="00C804A6" w:rsidRPr="00CD439F" w:rsidRDefault="00CD439F" w:rsidP="00393223">
      <w:pPr>
        <w:pStyle w:val="blokksit"/>
        <w:ind w:left="757"/>
      </w:pPr>
      <w:r>
        <w:t>§ </w:t>
      </w:r>
      <w:r w:rsidRPr="00CD439F">
        <w:t>7</w:t>
      </w:r>
      <w:r w:rsidR="00C804A6" w:rsidRPr="00CD439F">
        <w:t>. Undersøkelse som konstaterer rovvilttap</w:t>
      </w:r>
    </w:p>
    <w:p w14:paraId="0FAAA0B4" w14:textId="77777777" w:rsidR="00C804A6" w:rsidRPr="00CD439F" w:rsidRDefault="00C804A6" w:rsidP="00393223">
      <w:pPr>
        <w:pStyle w:val="blokksit"/>
        <w:ind w:left="757"/>
      </w:pPr>
      <w:r w:rsidRPr="00CD439F">
        <w:t>Det skal ytes erstatning når tamrein er gjenfunnet og undersøkelse foretatt av Statens naturoppsyn, eller den departementet bestemmer, viser en sannsynlighetsovervekt for at dyret er drept eller skadet av rovvilt.</w:t>
      </w:r>
    </w:p>
    <w:p w14:paraId="59F54CD9" w14:textId="652DEC22" w:rsidR="00C804A6" w:rsidRPr="00393223" w:rsidRDefault="00CD439F" w:rsidP="00C804A6">
      <w:r>
        <w:t>§ </w:t>
      </w:r>
      <w:r w:rsidRPr="00393223">
        <w:t>8</w:t>
      </w:r>
      <w:r w:rsidR="00C804A6" w:rsidRPr="00393223">
        <w:t xml:space="preserve"> fastsetter at erstatning kan utbetales også i andre tilfeller, men betingelsen er at det er sannsynliggjort at tapet skyldes rovvilt:</w:t>
      </w:r>
    </w:p>
    <w:p w14:paraId="43B61541" w14:textId="6AE6F6A7" w:rsidR="00C804A6" w:rsidRPr="00CD439F" w:rsidRDefault="00CD439F" w:rsidP="00393223">
      <w:pPr>
        <w:pStyle w:val="blokksit"/>
        <w:ind w:left="757"/>
      </w:pPr>
      <w:r>
        <w:t>§ </w:t>
      </w:r>
      <w:r w:rsidRPr="00CD439F">
        <w:t>8</w:t>
      </w:r>
      <w:r w:rsidR="00C804A6" w:rsidRPr="00CD439F">
        <w:t>. Øvrige omstendigheter som tilsier rovvilttap</w:t>
      </w:r>
    </w:p>
    <w:p w14:paraId="75647864" w14:textId="77777777" w:rsidR="00303661" w:rsidRPr="00CD439F" w:rsidRDefault="00C804A6" w:rsidP="00393223">
      <w:pPr>
        <w:pStyle w:val="blokksit"/>
        <w:ind w:left="757"/>
      </w:pPr>
      <w:r w:rsidRPr="00CD439F">
        <w:t>Det skal ytes erstatning også i øvrige tilfeller der omstendighetene tilsier at tamrein er tapt som følge av rovvilt.</w:t>
      </w:r>
    </w:p>
    <w:p w14:paraId="3D211B49" w14:textId="0DFE71E8" w:rsidR="00C804A6" w:rsidRPr="00CD439F" w:rsidRDefault="00C804A6" w:rsidP="00393223">
      <w:pPr>
        <w:pStyle w:val="blokksit"/>
        <w:ind w:left="757"/>
      </w:pPr>
      <w:r w:rsidRPr="00CD439F">
        <w:t>Forhold som enkeltvis eller i sammenheng kan bidra til å sannsynliggjøre tap er blant annet:</w:t>
      </w:r>
    </w:p>
    <w:p w14:paraId="3A20A32D" w14:textId="30BC53DE" w:rsidR="00C804A6" w:rsidRPr="00CD439F" w:rsidRDefault="00C804A6" w:rsidP="00393223">
      <w:pPr>
        <w:pStyle w:val="blokksit"/>
      </w:pPr>
      <w:r w:rsidRPr="00CD439F">
        <w:t>At tamrein er tapt i et område der det er dokumentert forekomst av rovvilt.</w:t>
      </w:r>
    </w:p>
    <w:p w14:paraId="1120BF28" w14:textId="632F05FA" w:rsidR="00C804A6" w:rsidRPr="00CD439F" w:rsidRDefault="00C804A6" w:rsidP="00393223">
      <w:pPr>
        <w:pStyle w:val="blokksit"/>
      </w:pPr>
      <w:r w:rsidRPr="00CD439F">
        <w:t>At tamrein er tapt i et område eller på et tidspunkt som kan knyttes opp mot tilfeller der undersøkelse i samsvar med</w:t>
      </w:r>
      <w:r w:rsidR="00303661" w:rsidRPr="00CD439F">
        <w:t xml:space="preserve"> </w:t>
      </w:r>
      <w:r w:rsidR="00CD439F">
        <w:t>§ </w:t>
      </w:r>
      <w:r w:rsidR="00CD439F" w:rsidRPr="00CD439F">
        <w:t>7</w:t>
      </w:r>
      <w:r w:rsidR="00303661" w:rsidRPr="00CD439F">
        <w:t xml:space="preserve"> </w:t>
      </w:r>
      <w:r w:rsidRPr="00CD439F">
        <w:t>har påvist rovvilttap.</w:t>
      </w:r>
    </w:p>
    <w:p w14:paraId="305211C9" w14:textId="49B6839F" w:rsidR="00C804A6" w:rsidRPr="00CD439F" w:rsidRDefault="00C804A6" w:rsidP="00393223">
      <w:pPr>
        <w:pStyle w:val="blokksit"/>
      </w:pPr>
      <w:r w:rsidRPr="00CD439F">
        <w:t xml:space="preserve">At tamrein er tapt i en </w:t>
      </w:r>
      <w:proofErr w:type="spellStart"/>
      <w:r w:rsidRPr="00CD439F">
        <w:t>siidaandel</w:t>
      </w:r>
      <w:proofErr w:type="spellEnd"/>
      <w:r w:rsidRPr="00CD439F">
        <w:t xml:space="preserve"> der undersøkelse i samsvar med</w:t>
      </w:r>
      <w:r w:rsidR="00303661" w:rsidRPr="00CD439F">
        <w:t xml:space="preserve"> </w:t>
      </w:r>
      <w:r w:rsidR="00CD439F">
        <w:rPr>
          <w:rFonts w:eastAsiaTheme="majorEastAsia"/>
        </w:rPr>
        <w:t>§ </w:t>
      </w:r>
      <w:r w:rsidR="00CD439F" w:rsidRPr="00CD439F">
        <w:rPr>
          <w:rFonts w:eastAsiaTheme="majorEastAsia"/>
        </w:rPr>
        <w:t>7</w:t>
      </w:r>
      <w:r w:rsidR="00303661" w:rsidRPr="00CD439F">
        <w:t xml:space="preserve"> </w:t>
      </w:r>
      <w:r w:rsidRPr="00CD439F">
        <w:t>i ett eller flere foregående år har påvist rovvilttap.</w:t>
      </w:r>
    </w:p>
    <w:p w14:paraId="5E3CECA8" w14:textId="77777777" w:rsidR="00303661" w:rsidRDefault="00C804A6" w:rsidP="00C804A6">
      <w:r w:rsidRPr="005816B9">
        <w:lastRenderedPageBreak/>
        <w:t>Dette innebærer at erstatning bare skal betales dersom kravet er tilstrekkelig sannsynliggjort.</w:t>
      </w:r>
    </w:p>
    <w:p w14:paraId="2B3E1C4D" w14:textId="5D21DF23" w:rsidR="00303661" w:rsidRDefault="00C804A6" w:rsidP="00C804A6">
      <w:r>
        <w:t>Totalt erstattet antall tamrein var 2</w:t>
      </w:r>
      <w:r w:rsidR="00CD439F">
        <w:t>0 974</w:t>
      </w:r>
      <w:r>
        <w:t xml:space="preserve"> i reindriftsåret 2023/2024 (2</w:t>
      </w:r>
      <w:r w:rsidR="00CD439F">
        <w:t>0 613</w:t>
      </w:r>
      <w:r>
        <w:t xml:space="preserve"> i 2022/2023 og 2</w:t>
      </w:r>
      <w:r w:rsidR="00CD439F">
        <w:t>2 915</w:t>
      </w:r>
      <w:r>
        <w:t xml:space="preserve"> i 20221/2022).</w:t>
      </w:r>
      <w:r w:rsidR="00CD439F" w:rsidRPr="00CD439F">
        <w:rPr>
          <w:rStyle w:val="Fotnotereferanse"/>
        </w:rPr>
        <w:footnoteReference w:id="10"/>
      </w:r>
      <w:r>
        <w:t xml:space="preserve"> </w:t>
      </w:r>
      <w:r w:rsidRPr="005816B9">
        <w:t>Vi vil i vår utredning legge til grunn at det årlige omfanget av tap av rein til rovvilt er på omtrent 2</w:t>
      </w:r>
      <w:r w:rsidR="00CD439F" w:rsidRPr="005816B9">
        <w:t>0</w:t>
      </w:r>
      <w:r w:rsidR="00CD439F">
        <w:t> </w:t>
      </w:r>
      <w:r w:rsidR="00CD439F" w:rsidRPr="005816B9">
        <w:t>000</w:t>
      </w:r>
      <w:r w:rsidRPr="005816B9">
        <w:t xml:space="preserve"> dyr, i samsvar med det som årlig blir erstattet. Dette tallet angis også som bakgrunn for oppnevningen av utvalget.</w:t>
      </w:r>
    </w:p>
    <w:p w14:paraId="2ACCF4C7" w14:textId="624FD227" w:rsidR="00B6406F" w:rsidRDefault="00B6406F" w:rsidP="00B6406F">
      <w:pPr>
        <w:pStyle w:val="Overskrift2"/>
      </w:pPr>
      <w:bookmarkStart w:id="10" w:name="_Toc223433073"/>
      <w:r>
        <w:t>Hvilke rovdyr står for tapene?</w:t>
      </w:r>
      <w:bookmarkEnd w:id="10"/>
    </w:p>
    <w:p w14:paraId="7D94C914" w14:textId="3BA40E59" w:rsidR="00B6406F" w:rsidRPr="006D03E1" w:rsidRDefault="00B6406F" w:rsidP="00B6406F">
      <w:r w:rsidRPr="005816B9">
        <w:t xml:space="preserve">I rapporten </w:t>
      </w:r>
      <w:r w:rsidRPr="00CD439F">
        <w:rPr>
          <w:rStyle w:val="kursiv"/>
        </w:rPr>
        <w:t>Oppdrag rovvilt og tamrein</w:t>
      </w:r>
      <w:r w:rsidRPr="005816B9">
        <w:t xml:space="preserve"> (2024)</w:t>
      </w:r>
      <w:r w:rsidR="00CD439F" w:rsidRPr="00CD439F">
        <w:rPr>
          <w:rStyle w:val="Fotnotereferanse"/>
        </w:rPr>
        <w:footnoteReference w:id="11"/>
      </w:r>
      <w:r w:rsidRPr="005816B9">
        <w:t xml:space="preserve"> </w:t>
      </w:r>
      <w:r>
        <w:t>konstaterer</w:t>
      </w:r>
      <w:r w:rsidRPr="005816B9">
        <w:t xml:space="preserve"> Miljødirektoratet og Landbruksdirektoratet</w:t>
      </w:r>
      <w:r>
        <w:t xml:space="preserve"> at gaupe, jerv og kongeørn er de viktigste tapsårsakene for rovvilt, mens det bare er en liten andel av tamreintapene som erstattes som tapt til bjørn og ulv.</w:t>
      </w:r>
      <w:r w:rsidR="00CD439F" w:rsidRPr="00CD439F">
        <w:rPr>
          <w:rStyle w:val="Fotnotereferanse"/>
        </w:rPr>
        <w:footnoteReference w:id="12"/>
      </w:r>
      <w:r>
        <w:t xml:space="preserve"> Dette bekreftes av tall fra </w:t>
      </w:r>
      <w:r w:rsidRPr="00CD439F">
        <w:rPr>
          <w:rStyle w:val="kursiv"/>
        </w:rPr>
        <w:t>Rovdata</w:t>
      </w:r>
      <w:r>
        <w:t>, som viser at gaupe, jerv og kongeørn sto for snaut 1/3 hver av reintapene i reindriftsåret 2023/2024 (henholdsvis 28,</w:t>
      </w:r>
      <w:r w:rsidR="00CD439F">
        <w:t>1 %</w:t>
      </w:r>
      <w:r>
        <w:t>, 32,</w:t>
      </w:r>
      <w:r w:rsidR="00CD439F">
        <w:t>5 %</w:t>
      </w:r>
      <w:r>
        <w:t xml:space="preserve"> og 32,</w:t>
      </w:r>
      <w:r w:rsidR="00CD439F">
        <w:t>4 %</w:t>
      </w:r>
      <w:r>
        <w:t xml:space="preserve">). Denne oversikten </w:t>
      </w:r>
      <w:r w:rsidRPr="005816B9">
        <w:t>vise</w:t>
      </w:r>
      <w:r>
        <w:t xml:space="preserve">r også </w:t>
      </w:r>
      <w:r w:rsidRPr="005816B9">
        <w:t>at en meget stor andel av tapene er kalver</w:t>
      </w:r>
      <w:r>
        <w:t>.</w:t>
      </w:r>
      <w:r w:rsidR="00CD439F" w:rsidRPr="00CD439F">
        <w:rPr>
          <w:rStyle w:val="Fotnotereferanse"/>
        </w:rPr>
        <w:footnoteReference w:id="13"/>
      </w:r>
    </w:p>
    <w:p w14:paraId="44972B52" w14:textId="0F98DA37" w:rsidR="00303661" w:rsidRDefault="00B6406F" w:rsidP="00B6406F">
      <w:r w:rsidRPr="00CD439F">
        <w:rPr>
          <w:rStyle w:val="kursiv"/>
        </w:rPr>
        <w:t xml:space="preserve">Ressursregnskap for reindriften for reindriftsåret 2024-25 </w:t>
      </w:r>
      <w:r>
        <w:t>viser at kongeørn generelt sett er den største trusselen mot reinkalvene, med en tapsandel på 4</w:t>
      </w:r>
      <w:r w:rsidR="00CD439F">
        <w:t>9 %</w:t>
      </w:r>
      <w:r>
        <w:t>, mens gaupe og jerv også tar en betydelig andel av kalvene:</w:t>
      </w:r>
    </w:p>
    <w:p w14:paraId="48EFF4B3" w14:textId="19428337" w:rsidR="008607E9" w:rsidRPr="00CD439F" w:rsidRDefault="00CD439F" w:rsidP="00393223">
      <w:pPr>
        <w:pStyle w:val="blokksit"/>
        <w:ind w:left="757"/>
      </w:pPr>
      <w:r>
        <w:t>«</w:t>
      </w:r>
      <w:r w:rsidR="008607E9" w:rsidRPr="00CD439F">
        <w:t>I alle områder utenom Nordland og Nord-Trøndelag er kongeørn meldt å være det rovviltet som tar mest kalv. I Nordland er det i stedet gaupe som tar mest kalv (35%), mens i Nord-Trøndelag er det jerv (44%). Gaupe og jerv tar også mye kalv i andre områder, med tapsandeler i hele reindriften på henholdsvis 23% og 25%. … Bjørn og ulv er samlet sett de minst vanlige tapsårsakene for kalv, med tapsandeler på henholdsvis 2% og 1% i hele reindriften samlet.</w:t>
      </w:r>
      <w:r>
        <w:t>»</w:t>
      </w:r>
      <w:r w:rsidRPr="00CD439F">
        <w:rPr>
          <w:rStyle w:val="Fotnotereferanse"/>
        </w:rPr>
        <w:footnoteReference w:id="14"/>
      </w:r>
    </w:p>
    <w:p w14:paraId="4E7A9E54" w14:textId="5E7FECC0" w:rsidR="008607E9" w:rsidRDefault="008607E9" w:rsidP="008607E9">
      <w:pPr>
        <w:pStyle w:val="Overskrift2"/>
      </w:pPr>
      <w:bookmarkStart w:id="11" w:name="_Toc223433074"/>
      <w:r>
        <w:t>Lokale tap</w:t>
      </w:r>
      <w:bookmarkEnd w:id="11"/>
    </w:p>
    <w:p w14:paraId="2BBAFE1A" w14:textId="770B7288" w:rsidR="008607E9" w:rsidRPr="005816B9" w:rsidRDefault="008607E9" w:rsidP="008607E9">
      <w:r w:rsidRPr="005816B9">
        <w:t xml:space="preserve">De lokale tapene kan være betydelig større enn de totale tapene kan gi inntrykk av, og kan innebære trusler mot reineieres virksomhet. Det ble allerede i </w:t>
      </w:r>
      <w:r w:rsidR="00CD439F">
        <w:t xml:space="preserve">St.meld. nr. </w:t>
      </w:r>
      <w:r w:rsidR="00CD439F" w:rsidRPr="005816B9">
        <w:t>15</w:t>
      </w:r>
      <w:r w:rsidRPr="005816B9">
        <w:t xml:space="preserve"> </w:t>
      </w:r>
      <w:r w:rsidR="00303661" w:rsidRPr="005816B9">
        <w:t>(2003</w:t>
      </w:r>
      <w:r w:rsidR="00303661">
        <w:t>–</w:t>
      </w:r>
      <w:r w:rsidR="00303661" w:rsidRPr="005816B9">
        <w:t>2004)</w:t>
      </w:r>
      <w:r w:rsidRPr="005816B9">
        <w:t xml:space="preserve"> </w:t>
      </w:r>
      <w:r w:rsidRPr="00CD439F">
        <w:rPr>
          <w:rStyle w:val="kursiv"/>
        </w:rPr>
        <w:t>Rovvilt i norsk natur</w:t>
      </w:r>
      <w:r w:rsidRPr="005816B9">
        <w:t xml:space="preserve"> uttalt:</w:t>
      </w:r>
    </w:p>
    <w:p w14:paraId="1A80EA7E" w14:textId="331B696D" w:rsidR="008607E9" w:rsidRPr="00CD439F" w:rsidRDefault="00CD439F" w:rsidP="00393223">
      <w:pPr>
        <w:pStyle w:val="blokksit"/>
        <w:ind w:left="757"/>
      </w:pPr>
      <w:r>
        <w:t>«</w:t>
      </w:r>
      <w:r w:rsidR="008607E9" w:rsidRPr="00CD439F">
        <w:t xml:space="preserve">Reindriften har levd med rovvilttap så lenge den har eksistert, men tapene de senere år har for en del reineiere vært større enn hva som gir grunnlag for en </w:t>
      </w:r>
      <w:r w:rsidR="008607E9" w:rsidRPr="00CD439F">
        <w:lastRenderedPageBreak/>
        <w:t>bærekraftig reindrift. … Tapene i de mest tapsutsatte områdene er etter departementets [Miljøverndepartementet] vurdering ikke forenlig med et fremtidsrettet og dyreetisk forsvarlig dyrehold.</w:t>
      </w:r>
      <w:r>
        <w:t>»</w:t>
      </w:r>
      <w:r w:rsidRPr="00CD439F">
        <w:rPr>
          <w:rStyle w:val="Fotnotereferanse"/>
        </w:rPr>
        <w:footnoteReference w:id="15"/>
      </w:r>
    </w:p>
    <w:p w14:paraId="385E725E" w14:textId="20473E2E" w:rsidR="00303661" w:rsidRDefault="008607E9" w:rsidP="008607E9">
      <w:r w:rsidRPr="005816B9">
        <w:t xml:space="preserve">I forskningsrapporten </w:t>
      </w:r>
      <w:r w:rsidRPr="00CD439F">
        <w:rPr>
          <w:rStyle w:val="kursiv"/>
        </w:rPr>
        <w:t xml:space="preserve">Kartlegging av forskning på reindriftsområdet – kunnskapsgrunnlag og forskningsbehov </w:t>
      </w:r>
      <w:r w:rsidRPr="005816B9">
        <w:t xml:space="preserve">(2021) sies det at </w:t>
      </w:r>
      <w:r>
        <w:t xml:space="preserve">rovvilt </w:t>
      </w:r>
      <w:r w:rsidR="00CD439F">
        <w:t>«</w:t>
      </w:r>
      <w:r>
        <w:t xml:space="preserve">utvilsomt [er] </w:t>
      </w:r>
      <w:r w:rsidRPr="005816B9">
        <w:t xml:space="preserve">en </w:t>
      </w:r>
      <w:r w:rsidRPr="00CD439F">
        <w:rPr>
          <w:rStyle w:val="kursiv"/>
        </w:rPr>
        <w:t>betydelig tapsfaktor</w:t>
      </w:r>
      <w:r w:rsidRPr="005816B9">
        <w:t xml:space="preserve"> i mange reinbeitedistrikter</w:t>
      </w:r>
      <w:r w:rsidR="00CD439F">
        <w:t>»</w:t>
      </w:r>
      <w:r>
        <w:t>.</w:t>
      </w:r>
      <w:r w:rsidR="00CD439F" w:rsidRPr="00CD439F">
        <w:rPr>
          <w:rStyle w:val="Fotnotereferanse"/>
        </w:rPr>
        <w:footnoteReference w:id="16"/>
      </w:r>
      <w:r>
        <w:t xml:space="preserve"> I enkelte reinbeitedistrikter har opp mot halvparten av kalveproduksjonen vært erstattet som tapt til rovvilt.</w:t>
      </w:r>
      <w:r w:rsidR="00CD439F" w:rsidRPr="00CD439F">
        <w:rPr>
          <w:rStyle w:val="Fotnotereferanse"/>
        </w:rPr>
        <w:footnoteReference w:id="17"/>
      </w:r>
      <w:r>
        <w:t xml:space="preserve"> Utvalget vil komme tilbake til omfanget av rovvilttap i utvalgte områder og tapenes betydning for overholdelse av Norges urfolksforpliktelser i kapittel 5.</w:t>
      </w:r>
    </w:p>
    <w:p w14:paraId="2D2E4C3A" w14:textId="7665BF07" w:rsidR="008607E9" w:rsidRDefault="00536857" w:rsidP="00536857">
      <w:pPr>
        <w:pStyle w:val="Overskrift2"/>
      </w:pPr>
      <w:bookmarkStart w:id="12" w:name="_Toc223433075"/>
      <w:r>
        <w:t>Virkningene for reindriften</w:t>
      </w:r>
      <w:bookmarkEnd w:id="12"/>
    </w:p>
    <w:p w14:paraId="7EA186C0" w14:textId="518CA223" w:rsidR="00303661" w:rsidRDefault="00536857" w:rsidP="00536857">
      <w:r w:rsidRPr="005816B9">
        <w:t>Tapet av 2</w:t>
      </w:r>
      <w:r w:rsidR="00CD439F" w:rsidRPr="005816B9">
        <w:t>0</w:t>
      </w:r>
      <w:r w:rsidR="00CD439F">
        <w:t> </w:t>
      </w:r>
      <w:r w:rsidR="00CD439F" w:rsidRPr="005816B9">
        <w:t>000</w:t>
      </w:r>
      <w:r w:rsidRPr="005816B9">
        <w:t xml:space="preserve"> rein årlig representerer nesten 1</w:t>
      </w:r>
      <w:r w:rsidR="00CD439F" w:rsidRPr="005816B9">
        <w:t>0</w:t>
      </w:r>
      <w:r w:rsidR="00CD439F">
        <w:t> %</w:t>
      </w:r>
      <w:r w:rsidRPr="005816B9">
        <w:t xml:space="preserve"> av det totale antallet tamrein i Norge, som </w:t>
      </w:r>
      <w:r>
        <w:t>per 31. mars 2025 var 21</w:t>
      </w:r>
      <w:r w:rsidR="00CD439F">
        <w:t>7 162</w:t>
      </w:r>
      <w:r>
        <w:t xml:space="preserve"> rein.</w:t>
      </w:r>
      <w:r w:rsidR="00CD439F" w:rsidRPr="00CD439F">
        <w:rPr>
          <w:rStyle w:val="Fotnotereferanse"/>
        </w:rPr>
        <w:footnoteReference w:id="18"/>
      </w:r>
      <w:r>
        <w:t xml:space="preserve"> </w:t>
      </w:r>
      <w:r w:rsidRPr="005816B9">
        <w:t>Det er ikke kjent hvor stort økonomisk tap dette totalt representerer for reindriften.</w:t>
      </w:r>
    </w:p>
    <w:p w14:paraId="46F3C656" w14:textId="5A7A3F38" w:rsidR="00536857" w:rsidRDefault="00536857" w:rsidP="00536857">
      <w:r w:rsidRPr="005816B9">
        <w:t>Men det er viktig å ta hensyn til at tapet av rein til rovvilt også har andre negative virkninger.</w:t>
      </w:r>
      <w:r>
        <w:t xml:space="preserve"> </w:t>
      </w:r>
      <w:r w:rsidRPr="005816B9">
        <w:t xml:space="preserve">I </w:t>
      </w:r>
      <w:proofErr w:type="spellStart"/>
      <w:r w:rsidR="00CD439F">
        <w:t>Prop</w:t>
      </w:r>
      <w:proofErr w:type="spellEnd"/>
      <w:r w:rsidR="00CD439F">
        <w:t xml:space="preserve">. </w:t>
      </w:r>
      <w:r w:rsidR="00CD439F" w:rsidRPr="00B5127E">
        <w:t>143</w:t>
      </w:r>
      <w:r w:rsidR="00CD439F">
        <w:t xml:space="preserve"> </w:t>
      </w:r>
      <w:r w:rsidR="00CD439F" w:rsidRPr="00B5127E">
        <w:t>S (2024</w:t>
      </w:r>
      <w:r w:rsidRPr="00B5127E">
        <w:t>–2025)</w:t>
      </w:r>
      <w:r w:rsidRPr="00CD439F">
        <w:rPr>
          <w:rStyle w:val="kursiv"/>
        </w:rPr>
        <w:t xml:space="preserve"> Endringer i statsbudsjettet 2025 under Landbruks- og matdepartementet (Reindriftsavtalen 2025/2026)</w:t>
      </w:r>
      <w:r w:rsidRPr="005816B9">
        <w:t xml:space="preserve"> sies det</w:t>
      </w:r>
      <w:r>
        <w:t>:</w:t>
      </w:r>
    </w:p>
    <w:p w14:paraId="017D029E" w14:textId="6EA79F7E" w:rsidR="00536857" w:rsidRPr="00CD439F" w:rsidRDefault="00CD439F" w:rsidP="00393223">
      <w:pPr>
        <w:pStyle w:val="blokksit"/>
        <w:ind w:left="757"/>
      </w:pPr>
      <w:r>
        <w:t>«</w:t>
      </w:r>
      <w:r w:rsidR="00536857" w:rsidRPr="00CD439F">
        <w:t xml:space="preserve">Over flere år har miljøvernmyndighetene i enkelte reinbeitedistrikt erstattet opp mot halvparten av kalveproduksjonen som tap til rovvilt. Selv om tapene erstattes, vil tapene kunne ha negative konsekvenser for den enkelte </w:t>
      </w:r>
      <w:proofErr w:type="spellStart"/>
      <w:r w:rsidR="00536857" w:rsidRPr="00CD439F">
        <w:t>siidaandel</w:t>
      </w:r>
      <w:proofErr w:type="spellEnd"/>
      <w:r w:rsidR="00536857" w:rsidRPr="00CD439F">
        <w:t xml:space="preserve"> og reindriftsfamilie. Først og fremst fordi endret aldersstruktur i simleflokken vil kunne gi lavere kalvetilgang påfølgende år, som fører til tapte produksjonsinntekter. I tillegg medfører tapene også en betydelig psykisk belastning.</w:t>
      </w:r>
      <w:r>
        <w:t>»</w:t>
      </w:r>
      <w:r w:rsidRPr="00CD439F">
        <w:rPr>
          <w:rStyle w:val="Fotnotereferanse"/>
        </w:rPr>
        <w:footnoteReference w:id="19"/>
      </w:r>
    </w:p>
    <w:p w14:paraId="52597507" w14:textId="69480F97" w:rsidR="00303661" w:rsidRDefault="00536857" w:rsidP="00536857">
      <w:r>
        <w:t xml:space="preserve">Det har også vært påpekt at reduksjon i kalveproduksjonen svekker muligheten til genetisk seleksjon (valg av de beste kalvene for videre avl) og i siste instans kan tapet av rein føre til kollaps av flokken dersom antall kalv som overlever er for få til å erstatte voksen rein som dør eller blir for gammel til å formere seg. Fra reindriftsnæringa vektlegges det dessuten at tilstedeværelse av rovvilt kan medføre at reinflokker spres, </w:t>
      </w:r>
      <w:r>
        <w:lastRenderedPageBreak/>
        <w:t xml:space="preserve">beitebruk, trekk og forflytninger blir forstyrret og at rein som er samlet (i oppsamlingsområder før flytting) kan bli spredd. Videre blir det kanskje ikke mulig å bruke de beste beitene, ved vanskelig beiteforhold kan man ikke </w:t>
      </w:r>
      <w:r w:rsidR="00CD439F">
        <w:t>«</w:t>
      </w:r>
      <w:r>
        <w:t>slippe reinen</w:t>
      </w:r>
      <w:r w:rsidR="00CD439F">
        <w:t>»</w:t>
      </w:r>
      <w:r>
        <w:t xml:space="preserve"> over større beiteområder og reinens kondisjon blir redusert på grunn av manglende </w:t>
      </w:r>
      <w:proofErr w:type="spellStart"/>
      <w:r>
        <w:t>beitero</w:t>
      </w:r>
      <w:proofErr w:type="spellEnd"/>
      <w:r>
        <w:t xml:space="preserve">. Kalvingen kan bli forstyrret og simler kan bli skilt fra kalvene. Endelig kan rovvilt innvirke negativt på </w:t>
      </w:r>
      <w:proofErr w:type="spellStart"/>
      <w:r>
        <w:t>gjetingen</w:t>
      </w:r>
      <w:proofErr w:type="spellEnd"/>
      <w:r>
        <w:t>, ved at det kan bli vanskelig å holde kontroll over flokker og samle og flytte flokkene til nye beiteområder og gjerdeanlegg.</w:t>
      </w:r>
      <w:r w:rsidR="00CD439F" w:rsidRPr="00CD439F">
        <w:rPr>
          <w:rStyle w:val="Fotnotereferanse"/>
        </w:rPr>
        <w:footnoteReference w:id="20"/>
      </w:r>
    </w:p>
    <w:p w14:paraId="6115166C" w14:textId="7B4FA99A" w:rsidR="00536857" w:rsidRPr="005816B9" w:rsidRDefault="00536857" w:rsidP="00536857">
      <w:r>
        <w:t xml:space="preserve">Endelig er det grunn til å trekke fram </w:t>
      </w:r>
      <w:r w:rsidRPr="005816B9">
        <w:t>Sannhets- og forsoningskommisjonen</w:t>
      </w:r>
      <w:r>
        <w:t>s</w:t>
      </w:r>
      <w:r w:rsidRPr="005816B9">
        <w:t xml:space="preserve"> (2023)</w:t>
      </w:r>
      <w:r>
        <w:t xml:space="preserve"> bekymring over at mange reindriftssamer </w:t>
      </w:r>
      <w:r w:rsidR="00CD439F">
        <w:t>«</w:t>
      </w:r>
      <w:r w:rsidRPr="005816B9">
        <w:t>opplever at de står i fare for å miste livsgrunnlaget, og at de i tillegg blir beskyldt for erstatningssvindel. Erstatning til reindriftssamer for rovdyrtap er i dag blitt en del av den nordnorske latterliggjøringen av samene og inngår i den allmenne stigmatiseringen som reindriften utsettes for</w:t>
      </w:r>
      <w:r w:rsidR="00CD439F">
        <w:t>»</w:t>
      </w:r>
      <w:r w:rsidRPr="005816B9">
        <w:t>.</w:t>
      </w:r>
      <w:r w:rsidR="00CD439F" w:rsidRPr="00CD439F">
        <w:rPr>
          <w:rStyle w:val="Fotnotereferanse"/>
        </w:rPr>
        <w:footnoteReference w:id="21"/>
      </w:r>
    </w:p>
    <w:p w14:paraId="086FAA6A" w14:textId="5E38C741" w:rsidR="00536857" w:rsidRDefault="00536857" w:rsidP="00536857">
      <w:pPr>
        <w:pStyle w:val="Overskrift2"/>
      </w:pPr>
      <w:bookmarkStart w:id="13" w:name="_Toc223433076"/>
      <w:r>
        <w:t>Tilpasning av reintall til beiteressursene</w:t>
      </w:r>
      <w:bookmarkEnd w:id="13"/>
    </w:p>
    <w:p w14:paraId="1CCFC4BD" w14:textId="401D2E2D" w:rsidR="00536857" w:rsidRDefault="00536857" w:rsidP="00536857">
      <w:r w:rsidRPr="005816B9">
        <w:t xml:space="preserve">Det er viktig at antallet rein er tilpasset beitegrunnlaget. Dette har særlig vært et problem i Finnmark. Men i </w:t>
      </w:r>
      <w:r w:rsidR="00CD439F">
        <w:t xml:space="preserve">Meld. St. </w:t>
      </w:r>
      <w:r w:rsidR="00CD439F" w:rsidRPr="005816B9">
        <w:t>3</w:t>
      </w:r>
      <w:r w:rsidRPr="005816B9">
        <w:t xml:space="preserve">2 (2016 –2017) </w:t>
      </w:r>
      <w:r w:rsidRPr="00CD439F">
        <w:rPr>
          <w:rStyle w:val="kursiv"/>
        </w:rPr>
        <w:t>Reindrift. Lang tradisjon – unike muligheter</w:t>
      </w:r>
      <w:r w:rsidRPr="005816B9">
        <w:t xml:space="preserve"> sies det at </w:t>
      </w:r>
      <w:r w:rsidR="00CD439F">
        <w:t>«</w:t>
      </w:r>
      <w:r w:rsidRPr="005816B9">
        <w:t>en har nå langt på vei lykkes med å sikre bærekraftige reintall i hele Finnmark.</w:t>
      </w:r>
      <w:r w:rsidR="00CD439F">
        <w:t>»</w:t>
      </w:r>
      <w:r w:rsidR="00CD439F" w:rsidRPr="00CD439F">
        <w:rPr>
          <w:rStyle w:val="Fotnotereferanse"/>
        </w:rPr>
        <w:footnoteReference w:id="22"/>
      </w:r>
    </w:p>
    <w:p w14:paraId="7CFB5701" w14:textId="672FBAB5" w:rsidR="00303661" w:rsidRDefault="00536857" w:rsidP="00536857">
      <w:r w:rsidRPr="005816B9">
        <w:t xml:space="preserve">I </w:t>
      </w:r>
      <w:proofErr w:type="spellStart"/>
      <w:r w:rsidR="00CD439F">
        <w:t>Prop</w:t>
      </w:r>
      <w:proofErr w:type="spellEnd"/>
      <w:r w:rsidR="00CD439F">
        <w:t xml:space="preserve">. </w:t>
      </w:r>
      <w:r w:rsidR="00CD439F" w:rsidRPr="007C3247">
        <w:t>143</w:t>
      </w:r>
      <w:r w:rsidR="00CD439F">
        <w:t xml:space="preserve"> </w:t>
      </w:r>
      <w:r w:rsidR="00CD439F" w:rsidRPr="007C3247">
        <w:t>S (2024</w:t>
      </w:r>
      <w:r w:rsidRPr="007C3247">
        <w:t>–2025)</w:t>
      </w:r>
      <w:r w:rsidRPr="00CD439F">
        <w:rPr>
          <w:rStyle w:val="kursiv"/>
        </w:rPr>
        <w:t xml:space="preserve"> Endringer i statsbudsjettet 2025 under Landbruks- og matdepartementet (Reindriftsavtalen 2025/2026)</w:t>
      </w:r>
      <w:r w:rsidRPr="005816B9">
        <w:t xml:space="preserve"> sies det</w:t>
      </w:r>
      <w:r>
        <w:t xml:space="preserve"> at etter at gjeldende reindriftslov ble iverksatt, ble det gjennomført reintallsreduksjoner i Finnmark og at </w:t>
      </w:r>
      <w:proofErr w:type="spellStart"/>
      <w:r>
        <w:t>siidaandelene</w:t>
      </w:r>
      <w:proofErr w:type="spellEnd"/>
      <w:r>
        <w:t xml:space="preserve"> </w:t>
      </w:r>
      <w:r w:rsidR="00CD439F">
        <w:t>«</w:t>
      </w:r>
      <w:r w:rsidRPr="00841AF7">
        <w:t xml:space="preserve">i all hovedsak [har] fulgt opp gitte reduksjonsvedtak </w:t>
      </w:r>
      <w:r w:rsidR="00303661">
        <w:t>…</w:t>
      </w:r>
      <w:r w:rsidRPr="00841AF7">
        <w:t xml:space="preserve"> Fremdeles ligger noen få </w:t>
      </w:r>
      <w:r w:rsidRPr="000B35E7">
        <w:t>reinbeitedistrikter i Finnmark over sitt øvre reintall</w:t>
      </w:r>
      <w:r w:rsidR="00CD439F">
        <w:t>»</w:t>
      </w:r>
      <w:r w:rsidRPr="00841AF7">
        <w:t>.</w:t>
      </w:r>
      <w:r w:rsidR="00CD439F" w:rsidRPr="00CD439F">
        <w:rPr>
          <w:rStyle w:val="Fotnotereferanse"/>
        </w:rPr>
        <w:footnoteReference w:id="23"/>
      </w:r>
      <w:r>
        <w:t xml:space="preserve"> I </w:t>
      </w:r>
      <w:r w:rsidRPr="00CD439F">
        <w:rPr>
          <w:rStyle w:val="kursiv"/>
        </w:rPr>
        <w:t>Ressursregnskap for reindriftsnæringen. For reindriftsåret 1. april 2024 – 31. mars 2025</w:t>
      </w:r>
      <w:r>
        <w:t xml:space="preserve"> opplyses det at </w:t>
      </w:r>
      <w:r w:rsidRPr="00052298">
        <w:t>Karasjok</w:t>
      </w:r>
      <w:r w:rsidR="00807B1F">
        <w:t xml:space="preserve"> </w:t>
      </w:r>
      <w:r w:rsidRPr="00052298">
        <w:t xml:space="preserve">østre og vestre sone </w:t>
      </w:r>
      <w:r>
        <w:t xml:space="preserve">og </w:t>
      </w:r>
      <w:r w:rsidRPr="0074310D">
        <w:t xml:space="preserve">Kautokeino midtre og vestre sone </w:t>
      </w:r>
      <w:r>
        <w:t xml:space="preserve">ligger </w:t>
      </w:r>
      <w:r w:rsidRPr="0074310D">
        <w:t>over</w:t>
      </w:r>
      <w:r>
        <w:t xml:space="preserve"> </w:t>
      </w:r>
      <w:r w:rsidRPr="0074310D">
        <w:t>si</w:t>
      </w:r>
      <w:r>
        <w:t>ne</w:t>
      </w:r>
      <w:r w:rsidRPr="0074310D">
        <w:t xml:space="preserve"> fastsatte reintal</w:t>
      </w:r>
      <w:r>
        <w:t>l.</w:t>
      </w:r>
      <w:r w:rsidR="00CD439F" w:rsidRPr="00CD439F">
        <w:rPr>
          <w:rStyle w:val="Fotnotereferanse"/>
        </w:rPr>
        <w:footnoteReference w:id="24"/>
      </w:r>
    </w:p>
    <w:p w14:paraId="1A0F2B04" w14:textId="4CEB612A" w:rsidR="00807B1F" w:rsidRDefault="00807B1F" w:rsidP="00807B1F">
      <w:pPr>
        <w:pStyle w:val="Overskrift2"/>
      </w:pPr>
      <w:bookmarkStart w:id="14" w:name="_Toc223433077"/>
      <w:r>
        <w:lastRenderedPageBreak/>
        <w:t>Arealinngrep</w:t>
      </w:r>
      <w:bookmarkEnd w:id="14"/>
    </w:p>
    <w:p w14:paraId="3811BA3B" w14:textId="77777777" w:rsidR="00807B1F" w:rsidRDefault="00807B1F" w:rsidP="00807B1F">
      <w:r>
        <w:t xml:space="preserve">Det er dokumentert i forskningen og erkjent i politiske dokumenter at økende fysisk inngrep i reindriftsarealer er en alvorlig trussel mot reindriften. </w:t>
      </w:r>
      <w:r w:rsidRPr="005816B9">
        <w:t xml:space="preserve">I forskningsrapporten </w:t>
      </w:r>
      <w:r w:rsidRPr="00CD439F">
        <w:rPr>
          <w:rStyle w:val="kursiv"/>
        </w:rPr>
        <w:t>Tap av tamrein – et kunnskapsgrunnlag</w:t>
      </w:r>
      <w:r w:rsidRPr="005816B9">
        <w:t xml:space="preserve"> (2019) påpekes det:</w:t>
      </w:r>
    </w:p>
    <w:p w14:paraId="7A7CB0A6" w14:textId="36F00092" w:rsidR="00807B1F" w:rsidRPr="00CD439F" w:rsidRDefault="00CD439F" w:rsidP="00393223">
      <w:pPr>
        <w:pStyle w:val="blokksit"/>
        <w:ind w:left="757"/>
      </w:pPr>
      <w:r>
        <w:t>«</w:t>
      </w:r>
      <w:r w:rsidR="00807B1F" w:rsidRPr="00CD439F">
        <w:t>I tillegg til tap av rein til rovdyr, sykdom/</w:t>
      </w:r>
      <w:proofErr w:type="spellStart"/>
      <w:r w:rsidR="00807B1F" w:rsidRPr="00CD439F">
        <w:t>næringssvikt</w:t>
      </w:r>
      <w:proofErr w:type="spellEnd"/>
      <w:r w:rsidR="00807B1F" w:rsidRPr="00CD439F">
        <w:t xml:space="preserve"> og ulykker, er direkte og indirekte tap av beiteareal et økende problem for reindrifta. Over tid har arealene tilgjengelig for reindrift blitt vesentlig påvirket og redusert […]. Både NRL og regional forvaltning peker på at den viktigste utfordringen for norsk reindriftsnæring framover er å sikre reinbeitearealene. </w:t>
      </w:r>
      <w:r w:rsidR="00303661" w:rsidRPr="00CD439F">
        <w:t>…</w:t>
      </w:r>
      <w:r w:rsidR="00807B1F" w:rsidRPr="00CD439F">
        <w:t xml:space="preserve"> Studier i Sverige og Norge viser at reindriften er sterkt presset av konkurranse fra annen arealbruk. Konkurrerende virksomhet utgjør skogbruk, vannkraft, vindkraft, kraftledninger, gruvedrift, torvbrytning, veier, jernbaner, turisme, rekreasjon og annen virksomhet […]. Inngrep har medført at flere samebyer og reinbeitedistrikt ikke lenger har tilgang til sammenhengende beiteområder, hvilket er en nødvendig forutsetning for å kunne bedrive en tradisjonell reindrift.</w:t>
      </w:r>
      <w:r>
        <w:t>»</w:t>
      </w:r>
      <w:r w:rsidRPr="00CD439F">
        <w:rPr>
          <w:rStyle w:val="Fotnotereferanse"/>
        </w:rPr>
        <w:footnoteReference w:id="25"/>
      </w:r>
    </w:p>
    <w:p w14:paraId="3A8B2139" w14:textId="6757363E" w:rsidR="009177EC" w:rsidRPr="005816B9" w:rsidRDefault="009177EC" w:rsidP="009177EC">
      <w:r w:rsidRPr="005816B9">
        <w:t xml:space="preserve">I </w:t>
      </w:r>
      <w:r w:rsidR="00CD439F">
        <w:t xml:space="preserve">Meld. St. </w:t>
      </w:r>
      <w:r w:rsidR="00CD439F" w:rsidRPr="005816B9">
        <w:t>3</w:t>
      </w:r>
      <w:r w:rsidRPr="005816B9">
        <w:t xml:space="preserve">2 </w:t>
      </w:r>
      <w:r w:rsidR="00303661" w:rsidRPr="005816B9">
        <w:t>(2016</w:t>
      </w:r>
      <w:r w:rsidR="00303661">
        <w:t>–</w:t>
      </w:r>
      <w:r w:rsidR="00303661" w:rsidRPr="005816B9">
        <w:t>2017)</w:t>
      </w:r>
      <w:r w:rsidRPr="005816B9">
        <w:t xml:space="preserve"> </w:t>
      </w:r>
      <w:r w:rsidRPr="00CD439F">
        <w:rPr>
          <w:rStyle w:val="kursiv"/>
        </w:rPr>
        <w:t>Reindrift. Lang tradisjon</w:t>
      </w:r>
      <w:r w:rsidR="00303661" w:rsidRPr="00CD439F">
        <w:rPr>
          <w:rStyle w:val="kursiv"/>
        </w:rPr>
        <w:t xml:space="preserve"> – </w:t>
      </w:r>
      <w:r w:rsidRPr="00CD439F">
        <w:rPr>
          <w:rStyle w:val="kursiv"/>
        </w:rPr>
        <w:t xml:space="preserve">unike muligheter </w:t>
      </w:r>
      <w:r w:rsidRPr="005816B9">
        <w:t>skilles det mellom direkte, indirekte og kumulative effekter av arealinngrep:</w:t>
      </w:r>
    </w:p>
    <w:p w14:paraId="01BCE89F" w14:textId="47D86EFE" w:rsidR="009177EC" w:rsidRPr="00CD439F" w:rsidRDefault="00CD439F" w:rsidP="00393223">
      <w:pPr>
        <w:pStyle w:val="blokksit"/>
        <w:ind w:left="757"/>
      </w:pPr>
      <w:r>
        <w:t>«</w:t>
      </w:r>
      <w:r w:rsidR="009177EC" w:rsidRPr="00CD439F">
        <w:t>Reinen er et byttedyr og reagerer med flukt ved forstyrrelser. Dersom de stadig møter på for eksempel menneskelig aktivitet, vil de bruke mer energi, få mindre tid til å beite og få lavere kroppsvekt enn dyr som får gå i fred. Dette er kritisk om våren når dyrene er i dårligere kondisjon og simlene har stort energibehov både før og etter kalving.</w:t>
      </w:r>
      <w:r>
        <w:t>»</w:t>
      </w:r>
      <w:r w:rsidRPr="00CD439F">
        <w:rPr>
          <w:rStyle w:val="Fotnotereferanse"/>
        </w:rPr>
        <w:footnoteReference w:id="26"/>
      </w:r>
    </w:p>
    <w:p w14:paraId="79B21C05" w14:textId="77777777" w:rsidR="009177EC" w:rsidRPr="005816B9" w:rsidRDefault="009177EC" w:rsidP="009177EC">
      <w:r>
        <w:t>F</w:t>
      </w:r>
      <w:r w:rsidRPr="005816B9">
        <w:t xml:space="preserve">orskningsrapporten </w:t>
      </w:r>
      <w:r w:rsidRPr="00CD439F">
        <w:rPr>
          <w:rStyle w:val="kursiv"/>
        </w:rPr>
        <w:t>Kartlegging av forskning på reindriftsområdet – kunnskapsgrunnlag og forskningsbehov</w:t>
      </w:r>
      <w:r w:rsidRPr="005816B9">
        <w:t xml:space="preserve"> (2021) </w:t>
      </w:r>
      <w:r>
        <w:t>gir en oversikt over omfanget av inngrepene</w:t>
      </w:r>
      <w:r w:rsidRPr="005816B9">
        <w:t>:</w:t>
      </w:r>
    </w:p>
    <w:p w14:paraId="739A2193" w14:textId="4C603A8B" w:rsidR="009177EC" w:rsidRPr="00CD439F" w:rsidRDefault="00CD439F" w:rsidP="00393223">
      <w:pPr>
        <w:pStyle w:val="blokksit"/>
        <w:ind w:left="757"/>
      </w:pPr>
      <w:r>
        <w:t>«</w:t>
      </w:r>
      <w:r w:rsidR="009177EC" w:rsidRPr="00CD439F">
        <w:t>Reindrift er en arealavhengig næring med behov for store, sammenhengende områder. Over tid har arealene tilgjengelig for reindrift blitt vesentlig påvirket, oppstykket/fragmentert og redusert …. Arealet av urørt beiteland (&gt; 5 km fra infrastruktur) innen de samiske reindriftsområdene er redusert med hele 7</w:t>
      </w:r>
      <w:r w:rsidRPr="00CD439F">
        <w:t>1</w:t>
      </w:r>
      <w:r>
        <w:t> %</w:t>
      </w:r>
      <w:r w:rsidR="009177EC" w:rsidRPr="00CD439F">
        <w:t xml:space="preserve"> fra år 1900 til 2019. Menneskelige inngrep medfører en signifikant reduksjon i fleksibilitet av beitebruk og gjør reindriften mer sårbar, blant annet for klimaendringer. Ifølge forskning … og Sametinget er </w:t>
      </w:r>
      <w:r>
        <w:t>«</w:t>
      </w:r>
      <w:r w:rsidR="009177EC" w:rsidRPr="00CD439F">
        <w:t>tap av areal den største trusselen mot en fremtidig livskraftig reindrift, og det er behov for et sterkere fokus på sikring av arealgrunnlaget for reindrift</w:t>
      </w:r>
      <w:r>
        <w:t>»</w:t>
      </w:r>
      <w:r w:rsidR="009177EC" w:rsidRPr="00CD439F">
        <w:t xml:space="preserve"> … .</w:t>
      </w:r>
      <w:r>
        <w:t>»</w:t>
      </w:r>
      <w:r w:rsidRPr="00CD439F">
        <w:rPr>
          <w:rStyle w:val="Fotnotereferanse"/>
        </w:rPr>
        <w:footnoteReference w:id="27"/>
      </w:r>
    </w:p>
    <w:p w14:paraId="130E6A34" w14:textId="77777777" w:rsidR="009177EC" w:rsidRPr="005816B9" w:rsidRDefault="009177EC" w:rsidP="009177EC">
      <w:r w:rsidRPr="005816B9">
        <w:lastRenderedPageBreak/>
        <w:t xml:space="preserve">I </w:t>
      </w:r>
      <w:r w:rsidRPr="00CD439F">
        <w:rPr>
          <w:rStyle w:val="kursiv"/>
        </w:rPr>
        <w:t>Ressursregnskap for reindriftsåret 1. april 2024 – 31. mars 2025</w:t>
      </w:r>
      <w:r w:rsidRPr="005816B9">
        <w:t xml:space="preserve"> sies det:</w:t>
      </w:r>
    </w:p>
    <w:p w14:paraId="1F7ED246" w14:textId="738E7D71" w:rsidR="009177EC" w:rsidRPr="00CD439F" w:rsidRDefault="00CD439F" w:rsidP="00393223">
      <w:pPr>
        <w:pStyle w:val="blokksit"/>
        <w:ind w:left="757"/>
      </w:pPr>
      <w:r>
        <w:t>«</w:t>
      </w:r>
      <w:r w:rsidR="009177EC" w:rsidRPr="00CD439F">
        <w:t xml:space="preserve">Arealtap som følge av reinens unnvikelsesatferd kan variere og er vanskelig å måle. For tekniske anlegg er effekten ofte ulik i etablerings- og driftsfase. Forskning på vill- og tamrein viser at reinsdyr unngår arealer med menneskelig aktivitet og infrastruktur på mellom 1-12 kilometers avstand. Dyr påvirkes i ulik grad av inngrep og forstyrrelser, og simler og kalv er i kalvingstida spesielt utsatt. Et område med forstyrrelser kan imidlertid ha andre kvaliteter, som få insekter, og rein vil under visse forutsetninger velge å bruke områder med forstyrrelser for å få dekket et behov. Dyr som oppholder seg i områder med forstyrrelser har imidlertid risiko for å bli mer urolige og få mindre </w:t>
      </w:r>
      <w:proofErr w:type="spellStart"/>
      <w:r w:rsidR="009177EC" w:rsidRPr="00CD439F">
        <w:t>beitero</w:t>
      </w:r>
      <w:proofErr w:type="spellEnd"/>
      <w:r w:rsidR="009177EC" w:rsidRPr="00CD439F">
        <w:t>.</w:t>
      </w:r>
      <w:r>
        <w:t>»</w:t>
      </w:r>
      <w:r w:rsidRPr="00CD439F">
        <w:rPr>
          <w:rStyle w:val="Fotnotereferanse"/>
        </w:rPr>
        <w:footnoteReference w:id="28"/>
      </w:r>
    </w:p>
    <w:p w14:paraId="27E89DED" w14:textId="1C860480" w:rsidR="009177EC" w:rsidRDefault="009177EC" w:rsidP="009177EC">
      <w:pPr>
        <w:pStyle w:val="Overskrift2"/>
      </w:pPr>
      <w:bookmarkStart w:id="15" w:name="_Toc223433078"/>
      <w:r>
        <w:t>Klimaendringer</w:t>
      </w:r>
      <w:bookmarkEnd w:id="15"/>
    </w:p>
    <w:p w14:paraId="258D7B33" w14:textId="77777777" w:rsidR="009177EC" w:rsidRPr="005816B9" w:rsidRDefault="009177EC" w:rsidP="009177EC">
      <w:r w:rsidRPr="005816B9">
        <w:t xml:space="preserve">Klimaendringene kan føre til redusert tilgang til beiteområder. I forskningsrapporten </w:t>
      </w:r>
      <w:r w:rsidRPr="00CD439F">
        <w:rPr>
          <w:rStyle w:val="kursiv"/>
        </w:rPr>
        <w:t>Tap av tamrein – et kunnskapsgrunnlag</w:t>
      </w:r>
      <w:r w:rsidRPr="005816B9">
        <w:t xml:space="preserve"> (2019) sies det:</w:t>
      </w:r>
    </w:p>
    <w:p w14:paraId="494EC608" w14:textId="157EEC71" w:rsidR="009177EC" w:rsidRPr="00CD439F" w:rsidRDefault="00CD439F" w:rsidP="00393223">
      <w:pPr>
        <w:pStyle w:val="blokksit"/>
        <w:ind w:left="757"/>
      </w:pPr>
      <w:r>
        <w:t>«</w:t>
      </w:r>
      <w:r w:rsidR="009177EC" w:rsidRPr="00CD439F">
        <w:t>Klimaendringene forsterker effektene av de sammensatte utfordringene knyttet til kumulative effekter, fordi klimaendringer gir ugunstige snø- og isforhold som fører til økt grad av nedising og tap av vinterbeiter.</w:t>
      </w:r>
      <w:r>
        <w:t>»</w:t>
      </w:r>
      <w:r w:rsidRPr="00CD439F">
        <w:rPr>
          <w:rStyle w:val="Fotnotereferanse"/>
        </w:rPr>
        <w:footnoteReference w:id="29"/>
      </w:r>
    </w:p>
    <w:p w14:paraId="6B1005B4" w14:textId="77777777" w:rsidR="009177EC" w:rsidRPr="005816B9" w:rsidRDefault="009177EC" w:rsidP="009177EC">
      <w:r w:rsidRPr="005816B9">
        <w:t xml:space="preserve">Forskningsrapporten </w:t>
      </w:r>
      <w:r w:rsidRPr="00CD439F">
        <w:rPr>
          <w:rStyle w:val="kursiv"/>
        </w:rPr>
        <w:t xml:space="preserve">Kartlegging av forskning på reindriftsområdet – kunnskapsgrunnlag og forskningsbehov </w:t>
      </w:r>
      <w:r w:rsidRPr="005816B9">
        <w:t>(2021) påpeker:</w:t>
      </w:r>
    </w:p>
    <w:p w14:paraId="68F642A4" w14:textId="659A23BD" w:rsidR="009177EC" w:rsidRPr="00CD439F" w:rsidRDefault="00CD439F" w:rsidP="00393223">
      <w:pPr>
        <w:pStyle w:val="blokksit"/>
        <w:ind w:left="757"/>
      </w:pPr>
      <w:r>
        <w:t>«</w:t>
      </w:r>
      <w:r w:rsidR="009177EC" w:rsidRPr="00CD439F">
        <w:t>Antagelsen om at det er høye reintall som er årsak til reduserte beiteressurser har fått mye motbør fra reinnæringa, som mener at tap av arealer er en vel så viktig årsak. Her påpeker vi nok en årsak til at et ensidig fokus på reintallet må utfordres; nemlig de</w:t>
      </w:r>
      <w:r w:rsidR="009177EC" w:rsidRPr="00CD439F">
        <w:rPr>
          <w:rStyle w:val="halvfet"/>
        </w:rPr>
        <w:t xml:space="preserve"> </w:t>
      </w:r>
      <w:r w:rsidR="009177EC" w:rsidRPr="00CD439F">
        <w:t>klimarelaterte endringene som skjer i de gjenværende beitene. Reindriften kan få store tap på grunn av reduserte beiteressurser i de arealene som reindriften har til disposisjon.</w:t>
      </w:r>
      <w:r>
        <w:t>»</w:t>
      </w:r>
      <w:r w:rsidR="009177EC" w:rsidRPr="00CD439F">
        <w:t xml:space="preserve"> (32)</w:t>
      </w:r>
    </w:p>
    <w:p w14:paraId="2760333C" w14:textId="00A1EB24" w:rsidR="00811A5C" w:rsidRDefault="00811A5C" w:rsidP="00811A5C">
      <w:r w:rsidRPr="005816B9">
        <w:t xml:space="preserve">I </w:t>
      </w:r>
      <w:proofErr w:type="spellStart"/>
      <w:r w:rsidR="00CD439F">
        <w:t>Prop</w:t>
      </w:r>
      <w:proofErr w:type="spellEnd"/>
      <w:r w:rsidR="00CD439F">
        <w:t xml:space="preserve">. 143 </w:t>
      </w:r>
      <w:r w:rsidR="00CD439F" w:rsidRPr="005816B9">
        <w:t>S (202</w:t>
      </w:r>
      <w:r w:rsidR="00CD439F">
        <w:t>4</w:t>
      </w:r>
      <w:r w:rsidRPr="005816B9">
        <w:t>–202</w:t>
      </w:r>
      <w:r>
        <w:t>5</w:t>
      </w:r>
      <w:r w:rsidRPr="005816B9">
        <w:t xml:space="preserve">) </w:t>
      </w:r>
      <w:r w:rsidRPr="00603647">
        <w:t>Endringer i statsbudsjettet 2025 under Landbruks- og matdepartementet Reindriftsavtalen 202</w:t>
      </w:r>
      <w:r>
        <w:t>5</w:t>
      </w:r>
      <w:r w:rsidRPr="00603647">
        <w:t>/202</w:t>
      </w:r>
      <w:r>
        <w:t>6</w:t>
      </w:r>
      <w:r w:rsidRPr="00603647">
        <w:t>)</w:t>
      </w:r>
      <w:r w:rsidRPr="005816B9">
        <w:t xml:space="preserve"> sies det:</w:t>
      </w:r>
    </w:p>
    <w:p w14:paraId="7F31F600" w14:textId="1F88E5D7" w:rsidR="00811A5C" w:rsidRPr="00CD439F" w:rsidRDefault="00CD439F" w:rsidP="00393223">
      <w:pPr>
        <w:pStyle w:val="blokksit"/>
        <w:ind w:left="757"/>
      </w:pPr>
      <w:r>
        <w:t>«</w:t>
      </w:r>
      <w:r w:rsidR="00811A5C" w:rsidRPr="00CD439F">
        <w:t>Reindriften har siden 2020 i større eller mindre grad opplevd beitekriser hver vinter. Klimaendringene vil sannsynligvis gi høyere frekvens av vintre med vanskelige beiteforhold.</w:t>
      </w:r>
      <w:r>
        <w:t>»</w:t>
      </w:r>
      <w:r w:rsidRPr="00CD439F">
        <w:rPr>
          <w:rStyle w:val="Fotnotereferanse"/>
        </w:rPr>
        <w:footnoteReference w:id="30"/>
      </w:r>
    </w:p>
    <w:p w14:paraId="072279C7" w14:textId="0AE1A2E9" w:rsidR="00811A5C" w:rsidRDefault="00811A5C" w:rsidP="00811A5C">
      <w:pPr>
        <w:pStyle w:val="Overskrift2"/>
      </w:pPr>
      <w:bookmarkStart w:id="16" w:name="_Toc223433079"/>
      <w:r>
        <w:lastRenderedPageBreak/>
        <w:t>Kumulative vilkår</w:t>
      </w:r>
      <w:bookmarkEnd w:id="16"/>
    </w:p>
    <w:p w14:paraId="3CFB2BCD" w14:textId="77777777" w:rsidR="00811A5C" w:rsidRPr="005816B9" w:rsidRDefault="00811A5C" w:rsidP="00811A5C">
      <w:r>
        <w:t xml:space="preserve">Når rovviltforvaltningen skal vurderes, er det nødvendig å ta hensyn til hvilke andre trusler reindriften står overfor, altså de samlede inngrepene i denne virksomheten. </w:t>
      </w:r>
      <w:r w:rsidRPr="005816B9">
        <w:t xml:space="preserve">I forskningsrapporten </w:t>
      </w:r>
      <w:r w:rsidRPr="00CD439F">
        <w:rPr>
          <w:rStyle w:val="kursiv"/>
        </w:rPr>
        <w:t>Tap av tamrein – et kunnskapsgrunnlag</w:t>
      </w:r>
      <w:r w:rsidRPr="005816B9">
        <w:t xml:space="preserve"> (2019) påpekes det:</w:t>
      </w:r>
    </w:p>
    <w:p w14:paraId="42DCEF09" w14:textId="6CFCBF86" w:rsidR="00811A5C" w:rsidRPr="00CD439F" w:rsidRDefault="00CD439F" w:rsidP="00393223">
      <w:pPr>
        <w:pStyle w:val="blokksit"/>
        <w:ind w:left="757"/>
      </w:pPr>
      <w:r>
        <w:t>«</w:t>
      </w:r>
      <w:r w:rsidR="00811A5C" w:rsidRPr="00CD439F">
        <w:t>Det finnes per i dag svært begrenset kunnskap rundt kumulative effekter av en rekke arealinngrep, økt menneskelig aktivitet, og hvordan dette påvirker reindriftens evne til å håndtere effekter av klimaendringer og rovdyrpress. Det er også store kunnskapshull i forhold til hvordan kumulative effekter påvirker reinens adferd og arealutnyttelse. […] Det er behov for bedre kartlegging av de totale arealinngrepene i reinbeiteområder og estimering/modellering av influenssonene ved ulike tiltak.</w:t>
      </w:r>
      <w:r>
        <w:t>»</w:t>
      </w:r>
      <w:r w:rsidRPr="00CD439F">
        <w:rPr>
          <w:rStyle w:val="Fotnotereferanse"/>
        </w:rPr>
        <w:footnoteReference w:id="31"/>
      </w:r>
    </w:p>
    <w:p w14:paraId="0A8E4F32" w14:textId="652C5157" w:rsidR="00811A5C" w:rsidRDefault="00380A94" w:rsidP="00380A94">
      <w:pPr>
        <w:pStyle w:val="Overskrift1"/>
      </w:pPr>
      <w:bookmarkStart w:id="17" w:name="_Toc223433080"/>
      <w:r>
        <w:t>Konvensjoner som beskytter samisk tamreindrift</w:t>
      </w:r>
      <w:bookmarkEnd w:id="17"/>
    </w:p>
    <w:p w14:paraId="2735E81A" w14:textId="655E692C" w:rsidR="007A4982" w:rsidRDefault="007A4982" w:rsidP="007A4982">
      <w:pPr>
        <w:pStyle w:val="Overskrift2"/>
      </w:pPr>
      <w:bookmarkStart w:id="18" w:name="_Toc223433081"/>
      <w:r>
        <w:t>Innledning</w:t>
      </w:r>
      <w:bookmarkEnd w:id="18"/>
    </w:p>
    <w:p w14:paraId="7B92CFD5" w14:textId="77777777" w:rsidR="00303661" w:rsidRDefault="007A4982" w:rsidP="007A4982">
      <w:r w:rsidRPr="0E32E05E">
        <w:t>Utvalget vil i dette kapitlet omtale internasjonale konvensjoner som beskytter samisk reindrift. Hovedvekten vil bli lagt på FNs konvensjon om sivile og politiske rettigheter (SP) som ble vedtatt i 1966, og som trådte i kraft i 1976.</w:t>
      </w:r>
    </w:p>
    <w:p w14:paraId="7D37C56D" w14:textId="77777777" w:rsidR="00303661" w:rsidRDefault="007A4982" w:rsidP="007A4982">
      <w:r w:rsidRPr="00863372">
        <w:t>Den sentrale bestemmelsen i SP når det gjelder vern av samisk reindrift er bestemmelsen om kulturvern i artikkel 27</w:t>
      </w:r>
      <w:r w:rsidRPr="0E32E05E">
        <w:t>, som i første rekke gir materielle rettigheter. Håndhevelsesorganet, FNs menneskerettskomité, har imidlertid tolket artikkel 27 i lys av SP artikkel 1 om folkenes selvbestemmelsesrett, og også innfortolket visse prosessuelle rettigheter i bestemmelsen.</w:t>
      </w:r>
    </w:p>
    <w:p w14:paraId="19AD1D6E" w14:textId="4A3C0FD2" w:rsidR="007A4982" w:rsidRPr="005816B9" w:rsidRDefault="007A4982" w:rsidP="007A4982">
      <w:r w:rsidRPr="1755F46F">
        <w:t xml:space="preserve">Utvalget vil </w:t>
      </w:r>
      <w:r>
        <w:t>i tillegg</w:t>
      </w:r>
      <w:r w:rsidRPr="1755F46F">
        <w:t xml:space="preserve"> omtale noen av de sentrale bestemmelsene i ILO konvensjon nr. 169 om urfolk og stammefolk i selvstendige stater. Konvensjonen ble vedtatt i 1989 og trådte i kraft i 1991. Særlig viktig i denne sammenhengen er de prosessuelle bestemmelser om urfolks rett til konsultasjoner og deltakelse i beslutningsprosesser i artikkel 6, 7 og 15 (1).</w:t>
      </w:r>
    </w:p>
    <w:p w14:paraId="44E0587F" w14:textId="77777777" w:rsidR="00303661" w:rsidRDefault="007A4982" w:rsidP="007A4982">
      <w:r w:rsidRPr="005816B9">
        <w:t xml:space="preserve">Det finnes også </w:t>
      </w:r>
      <w:r w:rsidRPr="00757BE6">
        <w:t>andre internasjonale konvensjoner som har enkeltbestemmelser</w:t>
      </w:r>
      <w:r w:rsidRPr="005816B9">
        <w:t xml:space="preserve"> om rettigheter for eller beskyttelse av urfolk. Som eksempler på slike konvensjoner og bestemmelser kan nevnes FNs biodiversitetskonvensjon artikkel 8 (j) og 10 (c) og FNs barnekonvensjon artikkel 29 og 30. Disse bestemmelsenes materielle innhold </w:t>
      </w:r>
      <w:r>
        <w:t xml:space="preserve">på denne utredningens saksområde </w:t>
      </w:r>
      <w:r w:rsidRPr="005816B9">
        <w:t>går imidlertid ikke lenger enn det som følger av SP og ILO-konvensjon nr. 169. Derfor vil de ikke bli omtalt i det følgende.</w:t>
      </w:r>
    </w:p>
    <w:p w14:paraId="0EDCB6E6" w14:textId="2CCEB6B3" w:rsidR="00303661" w:rsidRDefault="007A4982" w:rsidP="007A4982">
      <w:r w:rsidRPr="2FB46E9B">
        <w:lastRenderedPageBreak/>
        <w:t>Derimot er det naturlig med en kort omtale av FNs urfolkserklæring vedtatt i 2007.</w:t>
      </w:r>
      <w:r w:rsidR="00CD439F" w:rsidRPr="00CD439F">
        <w:rPr>
          <w:rStyle w:val="Fotnotereferanse"/>
        </w:rPr>
        <w:footnoteReference w:id="32"/>
      </w:r>
      <w:r w:rsidRPr="2FB46E9B">
        <w:t xml:space="preserve"> Erklæringen er ikke formelt rettslig bindende, men på grunn av sin globale tilslutning er den et viktig urfolksrettslig instrument. Dels kan erklæringen være et moment ved tolkningen av rettslig bindende bestemmelser, og dels kan den etter forholdene gi uttrykk for folkerettslig sedvanerett og dermed få konkret rettslig betydning blant annet for stater som ikke har ratifisert ILO-konvensjon nr. 169.</w:t>
      </w:r>
    </w:p>
    <w:p w14:paraId="662CA7B1" w14:textId="77777777" w:rsidR="00303661" w:rsidRDefault="007A4982" w:rsidP="007A4982">
      <w:pPr>
        <w:pStyle w:val="Overskrift2"/>
      </w:pPr>
      <w:bookmarkStart w:id="19" w:name="_Toc223433082"/>
      <w:r>
        <w:t>FN-konvensjonen om sivile og politiske rettigheter</w:t>
      </w:r>
      <w:bookmarkEnd w:id="19"/>
    </w:p>
    <w:p w14:paraId="03E61AF2" w14:textId="44615CA9" w:rsidR="007A4982" w:rsidRDefault="007A4982" w:rsidP="007A4982">
      <w:pPr>
        <w:pStyle w:val="Overskrift3"/>
      </w:pPr>
      <w:bookmarkStart w:id="20" w:name="_Toc223433083"/>
      <w:r>
        <w:t>Oversikt</w:t>
      </w:r>
      <w:bookmarkEnd w:id="20"/>
    </w:p>
    <w:p w14:paraId="1ED3FDE2" w14:textId="77777777" w:rsidR="00303661" w:rsidRDefault="007A4982" w:rsidP="007A4982">
      <w:r w:rsidRPr="005816B9">
        <w:t>FNs konvensjon om sivile og politiske rettigheter (SP) ble vedtatt av FNs generalforsamling 19. desember 1966, og trådte i samsvar med SP artikkel 49 i kraft 23. mars 1976 etter at 35 stater hadde ratifisert konvensjonen. Den er per juli 2025 ratifisert av 174 stater, og signert av ytterligere seks (deriblant Cuba og Kina). Av de 17 statene som verken har ratifisert eller signert SP, er Saudi Arabia, Oman, De forente arabiske emirater og Myanmar de viktigste. Norge ratifiserte SP i 1972, og har dermed vært folkerettsrettslig bundet av SP siden ikrafttredelsen</w:t>
      </w:r>
      <w:r>
        <w:t xml:space="preserve"> i 1976</w:t>
      </w:r>
      <w:r w:rsidRPr="005816B9">
        <w:t xml:space="preserve">. Samme år ratifiserte Norge også den valgfrie tilleggsprotokollen til SP som åpner for at </w:t>
      </w:r>
      <w:proofErr w:type="spellStart"/>
      <w:r w:rsidRPr="005816B9">
        <w:t>SPs</w:t>
      </w:r>
      <w:proofErr w:type="spellEnd"/>
      <w:r w:rsidRPr="005816B9">
        <w:t xml:space="preserve"> håndhevelsesorgan, FNs Menneskerettskomité (MRK), kan behandle individklager og med det ta stilling til om noen av bestemmelsene i SP er overtrådt i enkeltsaker.</w:t>
      </w:r>
    </w:p>
    <w:p w14:paraId="6126EAE6" w14:textId="41C3E9E4" w:rsidR="00303661" w:rsidRDefault="007A4982" w:rsidP="007A4982">
      <w:r w:rsidRPr="005816B9">
        <w:t xml:space="preserve">Norge inkorporerte ved menneskerettsloven 21. mai 1999 nr. 30 de tre viktigste generelle menneskerettskonvensjonene i norsk rett; SP, dennes </w:t>
      </w:r>
      <w:r w:rsidR="00CD439F">
        <w:t>«</w:t>
      </w:r>
      <w:r w:rsidRPr="005816B9">
        <w:t>tvillingskonvensjon</w:t>
      </w:r>
      <w:r w:rsidR="00CD439F">
        <w:t>»</w:t>
      </w:r>
      <w:r w:rsidRPr="005816B9">
        <w:t xml:space="preserve"> om økonomiske, sosiale og kulturelle rettigheter (ØSK) og Den europeiske menneskerettskonvensjonen (EMK). Med dette ble konvensjonene gjort gjeldende som norsk lov, og de går foran (annen) norsk lovgivning ved motstrid, jf. menneskerettsloven §</w:t>
      </w:r>
      <w:r w:rsidR="00CD439F">
        <w:t>§ </w:t>
      </w:r>
      <w:r w:rsidR="00CD439F" w:rsidRPr="005816B9">
        <w:t>2</w:t>
      </w:r>
      <w:r w:rsidRPr="005816B9">
        <w:t xml:space="preserve"> og 3. Utviklingen etter 1999 viser at </w:t>
      </w:r>
      <w:proofErr w:type="spellStart"/>
      <w:r w:rsidRPr="005816B9">
        <w:t>EMKs</w:t>
      </w:r>
      <w:proofErr w:type="spellEnd"/>
      <w:r w:rsidRPr="005816B9">
        <w:t xml:space="preserve"> gjennomslagskraft i intern rett, som på grunn av </w:t>
      </w:r>
      <w:r>
        <w:t>henvisningen til folkeretten</w:t>
      </w:r>
      <w:r w:rsidRPr="005816B9">
        <w:t xml:space="preserve"> i prosesslovgivningen og straffeloven sto sterkt i norsk rett også før inkorporasjonen, har økt de siste drøyt 25 årene. Bildet er ikke det samme for de to andre konvensjonene som ble inkorporert i 1999.</w:t>
      </w:r>
    </w:p>
    <w:p w14:paraId="248D91A1" w14:textId="73C58291" w:rsidR="007A4982" w:rsidRPr="007A4982" w:rsidRDefault="007A4982" w:rsidP="007A4982">
      <w:r w:rsidRPr="00836F21">
        <w:t>Fordi mange av bestemmelsene i ØSK er vage og i større grad uttrykker målsettinger enn konkrete rettigheter, har ØSK ikke ofte vært påberopt av private parter. Norske domstoler har dessuten vært tilbakeholdne med å gi privatpersoner anledning til å påberope seg brudd på ØSK.</w:t>
      </w:r>
      <w:r w:rsidR="00CD439F" w:rsidRPr="00CD439F">
        <w:rPr>
          <w:rStyle w:val="Fotnotereferanse"/>
        </w:rPr>
        <w:footnoteReference w:id="33"/>
      </w:r>
      <w:r w:rsidRPr="00836F21">
        <w:t xml:space="preserve"> </w:t>
      </w:r>
      <w:r w:rsidRPr="310DDEC5">
        <w:t xml:space="preserve">Når det gjelder SP, er hovedgrunnen at mange av </w:t>
      </w:r>
      <w:r w:rsidRPr="310DDEC5">
        <w:lastRenderedPageBreak/>
        <w:t xml:space="preserve">bestemmelsene i SP overlappes av tilsvarende bestemmelser i EMK. Blant annet gjelder dette </w:t>
      </w:r>
      <w:proofErr w:type="spellStart"/>
      <w:r w:rsidRPr="310DDEC5">
        <w:t>SPs</w:t>
      </w:r>
      <w:proofErr w:type="spellEnd"/>
      <w:r w:rsidRPr="310DDEC5">
        <w:t xml:space="preserve"> bestemmelser om ytringsfrihet, religionsfrihet og prosessuelle rettigheter.</w:t>
      </w:r>
    </w:p>
    <w:p w14:paraId="197F9CEB" w14:textId="77777777" w:rsidR="00303661" w:rsidRDefault="007A4982" w:rsidP="007A4982">
      <w:r w:rsidRPr="310DDEC5">
        <w:t xml:space="preserve">Inkorporasjonen av SP har imidlertid i høy grad bidratt til å heve den formelle rettslige statusen til og den konkrete rettslige betydningen av bestemmelsen om kulturvern i SP artikkel 27. </w:t>
      </w:r>
      <w:r w:rsidRPr="00836F21">
        <w:t xml:space="preserve">Bestemmelsen </w:t>
      </w:r>
      <w:r w:rsidRPr="310DDEC5">
        <w:t xml:space="preserve">gjelder direkte spørsmålet om vern av </w:t>
      </w:r>
      <w:r w:rsidRPr="00836F21">
        <w:t xml:space="preserve">minoriteters </w:t>
      </w:r>
      <w:r w:rsidRPr="310DDEC5">
        <w:t>kulturelle rettigheter, og er uten motstykke i andre konvensjoner.</w:t>
      </w:r>
    </w:p>
    <w:p w14:paraId="7E616639" w14:textId="2F04D252" w:rsidR="007A4982" w:rsidRDefault="007A4982" w:rsidP="007A4982">
      <w:r w:rsidRPr="04C45840">
        <w:t>Et annet forhold som har bidratt til å øke betydningen av SP artikkel 27</w:t>
      </w:r>
      <w:r>
        <w:t>,</w:t>
      </w:r>
      <w:r w:rsidRPr="04C45840">
        <w:t xml:space="preserve"> er at bestemmelsen </w:t>
      </w:r>
      <w:r w:rsidRPr="00F962AB">
        <w:t>i betydelig grad er konkretisert og utviklet gjennom praksis i håndhevelsesorganet, MRK.</w:t>
      </w:r>
      <w:r w:rsidRPr="04C45840">
        <w:t xml:space="preserve"> I motsetning til Den europeiske menneskerettsdomstolen (EMD), avsier ikke MRK rettslig bindende avgjørelser i enkeltsaker, men avgir ikke-bindende uttalelser (</w:t>
      </w:r>
      <w:r w:rsidR="00CD439F">
        <w:t>«</w:t>
      </w:r>
      <w:proofErr w:type="spellStart"/>
      <w:r w:rsidRPr="04C45840">
        <w:t>views</w:t>
      </w:r>
      <w:proofErr w:type="spellEnd"/>
      <w:r w:rsidR="00CD439F">
        <w:t>»</w:t>
      </w:r>
      <w:r w:rsidRPr="04C45840">
        <w:t xml:space="preserve">). Uttalelsene til MRK har likevel stor </w:t>
      </w:r>
      <w:proofErr w:type="spellStart"/>
      <w:r w:rsidRPr="04C45840">
        <w:t>rettskildemessig</w:t>
      </w:r>
      <w:proofErr w:type="spellEnd"/>
      <w:r w:rsidRPr="04C45840">
        <w:t xml:space="preserve"> betydning. I den enstemmige storkammerkjennelsen i HR-2008-2175-S (</w:t>
      </w:r>
      <w:proofErr w:type="spellStart"/>
      <w:r w:rsidRPr="04C45840">
        <w:t>Rt</w:t>
      </w:r>
      <w:proofErr w:type="spellEnd"/>
      <w:r w:rsidRPr="04C45840">
        <w:t>. 2008 s. 1764) uttalte førstvoterende:</w:t>
      </w:r>
      <w:r w:rsidR="00CD439F" w:rsidRPr="00CD439F">
        <w:rPr>
          <w:rStyle w:val="Fotnotereferanse"/>
        </w:rPr>
        <w:footnoteReference w:id="34"/>
      </w:r>
    </w:p>
    <w:p w14:paraId="1CA65F7C" w14:textId="39BDB7FE" w:rsidR="007A4982" w:rsidRPr="00CD439F" w:rsidRDefault="00CD439F" w:rsidP="00393223">
      <w:pPr>
        <w:pStyle w:val="blokksit"/>
        <w:ind w:left="757"/>
      </w:pPr>
      <w:r>
        <w:t>«</w:t>
      </w:r>
      <w:r w:rsidR="007A4982" w:rsidRPr="00CD439F">
        <w:t xml:space="preserve">På bakgrunn av det jeg her har gjennomgått av forarbeidene til menneskerettsloven, finner jeg det klart at en konvensjonstolking foretatt av FNs menneskerettskomité må ha betydelig vekt som rettskilde. At avgjørelser i enkeltsaker truffet av FNs menneskerettskomité fra 1. januar 2004 kan gi grunnlag for gjenåpning på lik linje med avgjørelser av internasjonale domstoler, jf. straffeprosessloven </w:t>
      </w:r>
      <w:r>
        <w:t>§ </w:t>
      </w:r>
      <w:r w:rsidRPr="00CD439F">
        <w:t>3</w:t>
      </w:r>
      <w:r w:rsidR="007A4982" w:rsidRPr="00CD439F">
        <w:t>91</w:t>
      </w:r>
      <w:r w:rsidR="00303661" w:rsidRPr="00CD439F">
        <w:t xml:space="preserve"> </w:t>
      </w:r>
      <w:r w:rsidR="007A4982" w:rsidRPr="00CD439F">
        <w:t>første ledd nr. 2, er ytterligere egnet til å understreke dette.</w:t>
      </w:r>
      <w:r>
        <w:t>»</w:t>
      </w:r>
    </w:p>
    <w:p w14:paraId="39470224" w14:textId="77777777" w:rsidR="00303661" w:rsidRDefault="007A4982" w:rsidP="0085334D">
      <w:r w:rsidRPr="310DDEC5">
        <w:t>Praksisen til MRK viser dessuten at SP artikkel 27 statuerer en dynamisk rettighet, som har undergått en betydelig utvikling i løpet av de nesten 50 årene bestemmelsen har vært rettslig binden</w:t>
      </w:r>
      <w:r>
        <w:t>d</w:t>
      </w:r>
      <w:r w:rsidRPr="310DDEC5">
        <w:t>e. De senere årene har SP artikkel 27 derfor vært påberopt av reindriftsutøvere i flere saker for Høyesterett. Se blant annet HR-2017-2247-A (</w:t>
      </w:r>
      <w:proofErr w:type="spellStart"/>
      <w:r w:rsidRPr="310DDEC5">
        <w:t>Reinøya</w:t>
      </w:r>
      <w:proofErr w:type="spellEnd"/>
      <w:r w:rsidRPr="310DDEC5">
        <w:t>), HR-2017-2428-A (</w:t>
      </w:r>
      <w:proofErr w:type="spellStart"/>
      <w:r w:rsidRPr="04C45840">
        <w:t>Jovsset</w:t>
      </w:r>
      <w:proofErr w:type="spellEnd"/>
      <w:r w:rsidRPr="04C45840">
        <w:t xml:space="preserve"> Ante Sara</w:t>
      </w:r>
      <w:r w:rsidRPr="310DDEC5">
        <w:t xml:space="preserve">), HR-2018-872-A (Femund </w:t>
      </w:r>
      <w:proofErr w:type="spellStart"/>
      <w:r w:rsidRPr="310DDEC5">
        <w:t>Sitje</w:t>
      </w:r>
      <w:proofErr w:type="spellEnd"/>
      <w:r w:rsidRPr="310DDEC5">
        <w:t>) og HR-2021-1975-S (Fosen). Selv om Høyesterett bare i den sistnevnte saken konkluderte med at reindriftssamenes rettigheter etter SP artikkel 27 var krenket, viser Høyesteretts praksis at SP artikkel 27 har økende betydning i norsk rett.</w:t>
      </w:r>
    </w:p>
    <w:p w14:paraId="07B832A3" w14:textId="7CD0E9FE" w:rsidR="00303661" w:rsidRDefault="007A4982" w:rsidP="0085334D">
      <w:r w:rsidRPr="310DDEC5">
        <w:t xml:space="preserve">Betydningen av </w:t>
      </w:r>
      <w:proofErr w:type="spellStart"/>
      <w:r w:rsidRPr="310DDEC5">
        <w:t>MRKs</w:t>
      </w:r>
      <w:proofErr w:type="spellEnd"/>
      <w:r w:rsidRPr="310DDEC5">
        <w:t xml:space="preserve"> praksis illustreres også av at Høyesterett både i </w:t>
      </w:r>
      <w:proofErr w:type="spellStart"/>
      <w:r w:rsidRPr="04C45840">
        <w:t>Jovsset</w:t>
      </w:r>
      <w:proofErr w:type="spellEnd"/>
      <w:r w:rsidRPr="04C45840">
        <w:t xml:space="preserve"> Ante Sara-</w:t>
      </w:r>
      <w:r w:rsidRPr="310DDEC5">
        <w:t>saken</w:t>
      </w:r>
      <w:r w:rsidRPr="04C45840">
        <w:t>,</w:t>
      </w:r>
      <w:r>
        <w:t xml:space="preserve"> </w:t>
      </w:r>
      <w:r w:rsidRPr="310DDEC5">
        <w:t>der flertallet (4-1) la til grunn at SP ikke var krenket, men der reineierens etterfølgende klage til MRK førte frem,</w:t>
      </w:r>
      <w:r w:rsidR="00CD439F" w:rsidRPr="00CD439F">
        <w:rPr>
          <w:rStyle w:val="Fotnotereferanse"/>
        </w:rPr>
        <w:footnoteReference w:id="35"/>
      </w:r>
      <w:r w:rsidRPr="310DDEC5">
        <w:t xml:space="preserve"> og i Fosen-saken, bruker relativt mye plass på komiteens praksis.</w:t>
      </w:r>
      <w:r w:rsidR="00CD439F" w:rsidRPr="00CD439F">
        <w:rPr>
          <w:rStyle w:val="Fotnotereferanse"/>
        </w:rPr>
        <w:footnoteReference w:id="36"/>
      </w:r>
      <w:r w:rsidRPr="310DDEC5">
        <w:t xml:space="preserve"> Førstvoterende i </w:t>
      </w:r>
      <w:proofErr w:type="spellStart"/>
      <w:r w:rsidRPr="04C45840">
        <w:t>Jovsset</w:t>
      </w:r>
      <w:proofErr w:type="spellEnd"/>
      <w:r w:rsidRPr="04C45840">
        <w:t xml:space="preserve"> Ante Sara-</w:t>
      </w:r>
      <w:r w:rsidRPr="310DDEC5">
        <w:t xml:space="preserve">saken uttaler som talsperson for flertallet med henvisning til den ovenfor siterte uttalelsen fra HR-2008-2175-S at </w:t>
      </w:r>
      <w:r w:rsidR="00CD439F">
        <w:t>«</w:t>
      </w:r>
      <w:r w:rsidRPr="001B5812">
        <w:t xml:space="preserve">det er </w:t>
      </w:r>
      <w:r w:rsidRPr="001B5812">
        <w:lastRenderedPageBreak/>
        <w:t>naturlig å hente holdepunkter for forståelsen [av SP artikkel 27] i komiteens generelle kommentarer og dens praksis i individklagesaker</w:t>
      </w:r>
      <w:r w:rsidR="00CD439F">
        <w:t>»</w:t>
      </w:r>
      <w:r w:rsidRPr="310DDEC5">
        <w:t>.</w:t>
      </w:r>
      <w:r w:rsidR="00CD439F" w:rsidRPr="00CD439F">
        <w:rPr>
          <w:rStyle w:val="Fotnotereferanse"/>
        </w:rPr>
        <w:footnoteReference w:id="37"/>
      </w:r>
    </w:p>
    <w:p w14:paraId="07C94974" w14:textId="7429EEB9" w:rsidR="007A4982" w:rsidRDefault="007A4982" w:rsidP="0085334D">
      <w:proofErr w:type="spellStart"/>
      <w:r w:rsidRPr="6B7E9414">
        <w:t>MRKs</w:t>
      </w:r>
      <w:proofErr w:type="spellEnd"/>
      <w:r w:rsidRPr="6B7E9414">
        <w:t xml:space="preserve"> praksis er ikke begrenset til uttalelser i individklagesaker og generelle kommentarer, der General </w:t>
      </w:r>
      <w:proofErr w:type="spellStart"/>
      <w:r w:rsidRPr="6B7E9414">
        <w:t>Comment</w:t>
      </w:r>
      <w:proofErr w:type="spellEnd"/>
      <w:r w:rsidRPr="6B7E9414">
        <w:t xml:space="preserve"> No. 23 fra 1994 spesielt gjelder forståelsen av SP artikkel 27, men omfatter også komiteens kommentarer til statenes periodiske rapporter om deres overholdelse av SP. </w:t>
      </w:r>
      <w:r>
        <w:t>Selv om</w:t>
      </w:r>
      <w:r w:rsidRPr="6B7E9414">
        <w:t xml:space="preserve"> dette er kommentarer som konkret gjelder situasjonen i et bestemt land, må det antas at også slike kommentarer er egnet til å belyse det rettslige innholdet i bestemmelsen.</w:t>
      </w:r>
    </w:p>
    <w:p w14:paraId="0E8FDF18" w14:textId="6DB418C4" w:rsidR="0085334D" w:rsidRDefault="0085334D" w:rsidP="0085334D">
      <w:pPr>
        <w:pStyle w:val="Overskrift3"/>
      </w:pPr>
      <w:bookmarkStart w:id="21" w:name="_Toc223433084"/>
      <w:r>
        <w:t>Artikkel 1</w:t>
      </w:r>
      <w:bookmarkEnd w:id="21"/>
    </w:p>
    <w:p w14:paraId="52A2D45B" w14:textId="77777777" w:rsidR="00303661" w:rsidRDefault="0085334D" w:rsidP="0085334D">
      <w:r w:rsidRPr="0085334D">
        <w:t>SP artikkel 1 om retten til selvbestemmelse har følgende ordlyd:</w:t>
      </w:r>
    </w:p>
    <w:p w14:paraId="4671F217" w14:textId="24EC9180" w:rsidR="0085334D" w:rsidRPr="00CD439F" w:rsidRDefault="00CD439F" w:rsidP="00393223">
      <w:pPr>
        <w:pStyle w:val="blokksit"/>
        <w:ind w:left="757"/>
        <w:rPr>
          <w:lang w:val="en-US"/>
        </w:rPr>
      </w:pPr>
      <w:r>
        <w:rPr>
          <w:lang w:val="en-US"/>
        </w:rPr>
        <w:t>«</w:t>
      </w:r>
      <w:r w:rsidR="0085334D" w:rsidRPr="00CD439F">
        <w:rPr>
          <w:lang w:val="en-US"/>
        </w:rPr>
        <w:t>1. All peoples have the right of self-determination. By virtue of that right they freely determine their political status and freely pursue their economic, social and cultural development.</w:t>
      </w:r>
    </w:p>
    <w:p w14:paraId="1C613393" w14:textId="77777777" w:rsidR="0085334D" w:rsidRPr="00CD439F" w:rsidRDefault="0085334D" w:rsidP="00393223">
      <w:pPr>
        <w:pStyle w:val="blokksit"/>
        <w:ind w:left="757"/>
        <w:rPr>
          <w:lang w:val="en-US"/>
        </w:rPr>
      </w:pPr>
      <w:r w:rsidRPr="00CD439F">
        <w:rPr>
          <w:lang w:val="en-US"/>
        </w:rPr>
        <w:t>2. 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w:t>
      </w:r>
    </w:p>
    <w:p w14:paraId="5804525C" w14:textId="4403C146" w:rsidR="00D26AE1" w:rsidRDefault="0085334D" w:rsidP="00393223">
      <w:pPr>
        <w:pStyle w:val="blokksit"/>
        <w:ind w:left="757"/>
        <w:rPr>
          <w:lang w:val="en-US"/>
        </w:rPr>
      </w:pPr>
      <w:r w:rsidRPr="00CD439F">
        <w:rPr>
          <w:lang w:val="en-US"/>
        </w:rPr>
        <w:t>3. The States Parties to the present Covenant, including those having responsibility for the administration of Non-Self-Governing and Trust Territories, shall promote the realization of the right of self-determination, and shall respect that right, in conformity with the provisions of the Charter of the United Nations.</w:t>
      </w:r>
      <w:r w:rsidR="00CD439F">
        <w:rPr>
          <w:lang w:val="en-US"/>
        </w:rPr>
        <w:t>»</w:t>
      </w:r>
    </w:p>
    <w:p w14:paraId="26030FB2" w14:textId="5933B5C8" w:rsidR="00303661" w:rsidRDefault="0085334D" w:rsidP="0085334D">
      <w:r w:rsidRPr="005816B9">
        <w:t xml:space="preserve">I motsetning til de øvrige rettighetene som er regulert i SP, regulerer artikkel 1 en kollektiv rettighet som tilligger </w:t>
      </w:r>
      <w:r w:rsidR="00CD439F">
        <w:t>«</w:t>
      </w:r>
      <w:r w:rsidRPr="005816B9">
        <w:t xml:space="preserve">all </w:t>
      </w:r>
      <w:proofErr w:type="spellStart"/>
      <w:r w:rsidRPr="005816B9">
        <w:t>peoples</w:t>
      </w:r>
      <w:proofErr w:type="spellEnd"/>
      <w:r w:rsidR="00CD439F">
        <w:t>»</w:t>
      </w:r>
      <w:r w:rsidRPr="005816B9">
        <w:t xml:space="preserve"> (alle folk). MRK har lagt til grunn at den klageordningen som er etablert med grunnlag i </w:t>
      </w:r>
      <w:proofErr w:type="spellStart"/>
      <w:r w:rsidRPr="005816B9">
        <w:t>SPs</w:t>
      </w:r>
      <w:proofErr w:type="spellEnd"/>
      <w:r w:rsidRPr="005816B9">
        <w:t xml:space="preserve"> tilleggsprotokoll</w:t>
      </w:r>
      <w:r>
        <w:t>,</w:t>
      </w:r>
      <w:r w:rsidRPr="005816B9">
        <w:t xml:space="preserve"> bare gjelder for konvensjonens bestemmelser om individuelle rettigheter (artikkel 6 til 27). Det forholdet at SP artikkel 1 gjelder en kollektiv rettighet har derfor begrenset mulighetene til å utvikle bestemmelsens rettslige innhold gjennom </w:t>
      </w:r>
      <w:proofErr w:type="spellStart"/>
      <w:r w:rsidRPr="005816B9">
        <w:t>MRKs</w:t>
      </w:r>
      <w:proofErr w:type="spellEnd"/>
      <w:r w:rsidRPr="005816B9">
        <w:t xml:space="preserve"> praksis.</w:t>
      </w:r>
    </w:p>
    <w:p w14:paraId="2AAD7CCE" w14:textId="2067B3A6" w:rsidR="0085334D" w:rsidRPr="005816B9" w:rsidRDefault="0085334D" w:rsidP="0085334D">
      <w:r w:rsidRPr="310DDEC5">
        <w:t xml:space="preserve">Verken individer eller grupper kan bringe påståtte krenkelser av SP artikkel 1 inn for MRK. Dette ble fastslått i saken </w:t>
      </w:r>
      <w:proofErr w:type="spellStart"/>
      <w:r w:rsidRPr="00CD439F">
        <w:rPr>
          <w:rStyle w:val="kursiv"/>
        </w:rPr>
        <w:t>Lubicon</w:t>
      </w:r>
      <w:proofErr w:type="spellEnd"/>
      <w:r w:rsidRPr="00CD439F">
        <w:rPr>
          <w:rStyle w:val="kursiv"/>
        </w:rPr>
        <w:t xml:space="preserve"> Lake Band mot Canada</w:t>
      </w:r>
      <w:r w:rsidRPr="310DDEC5">
        <w:t>, som ble avgjort i mars 1990.</w:t>
      </w:r>
      <w:r w:rsidR="00CD439F" w:rsidRPr="00CD439F">
        <w:rPr>
          <w:rStyle w:val="Fotnotereferanse"/>
        </w:rPr>
        <w:footnoteReference w:id="38"/>
      </w:r>
      <w:r w:rsidRPr="310DDEC5">
        <w:t xml:space="preserve"> I saken</w:t>
      </w:r>
      <w:r w:rsidRPr="00CD439F">
        <w:rPr>
          <w:rStyle w:val="kursiv"/>
        </w:rPr>
        <w:t xml:space="preserve"> E.P mot Colombia</w:t>
      </w:r>
      <w:r w:rsidRPr="310DDEC5">
        <w:t xml:space="preserve">, som ble avgjort i august samme år, </w:t>
      </w:r>
      <w:r w:rsidRPr="00836F21">
        <w:t xml:space="preserve">kom MRK imidlertid med en uttalelse som indikerte at SP artikkel 1 vil ha betydning som tolkningsmoment </w:t>
      </w:r>
      <w:r w:rsidRPr="00836F21">
        <w:lastRenderedPageBreak/>
        <w:t>og kunne gi seg utslag i formålsorienterte og dynamiske tolkninger av bestemmelsene i SP, både generelt og når det gjelder artikkel 27</w:t>
      </w:r>
      <w:r w:rsidRPr="310DDEC5">
        <w:t>:</w:t>
      </w:r>
      <w:r w:rsidR="00CD439F" w:rsidRPr="00CD439F">
        <w:rPr>
          <w:rStyle w:val="Fotnotereferanse"/>
        </w:rPr>
        <w:footnoteReference w:id="39"/>
      </w:r>
    </w:p>
    <w:p w14:paraId="72EADB2C" w14:textId="513479D0" w:rsidR="0085334D" w:rsidRPr="00CD439F" w:rsidRDefault="00CD439F" w:rsidP="00393223">
      <w:pPr>
        <w:pStyle w:val="blokksit"/>
        <w:ind w:left="757"/>
        <w:rPr>
          <w:lang w:val="en-US"/>
        </w:rPr>
      </w:pPr>
      <w:r>
        <w:rPr>
          <w:lang w:val="en-US"/>
        </w:rPr>
        <w:t>«</w:t>
      </w:r>
      <w:r w:rsidR="0085334D" w:rsidRPr="00CD439F">
        <w:rPr>
          <w:lang w:val="en-US"/>
        </w:rPr>
        <w:t>With regard to the issue of the authors</w:t>
      </w:r>
      <w:r>
        <w:rPr>
          <w:lang w:val="en-US"/>
        </w:rPr>
        <w:t>’</w:t>
      </w:r>
      <w:r w:rsidR="0085334D" w:rsidRPr="00CD439F">
        <w:rPr>
          <w:lang w:val="en-US"/>
        </w:rPr>
        <w:t xml:space="preserve"> standing, the Committee reaffirms that the Covenant recognizes and protects in most resolute terms a people</w:t>
      </w:r>
      <w:r>
        <w:rPr>
          <w:lang w:val="en-US"/>
        </w:rPr>
        <w:t>’</w:t>
      </w:r>
      <w:r w:rsidR="0085334D" w:rsidRPr="00CD439F">
        <w:rPr>
          <w:lang w:val="en-US"/>
        </w:rPr>
        <w:t>s right to self-determination as an essential condition for the effective guarantee of observance of individual human rights and for the promotion and strengthening of those rights. However, the Committee reiterates that the authors cannot claim under the Optional Protocol to be victims of a violation of the right self-determination enshrined in article 1 of the Covenant.</w:t>
      </w:r>
      <w:r>
        <w:rPr>
          <w:lang w:val="en-US"/>
        </w:rPr>
        <w:t>»</w:t>
      </w:r>
    </w:p>
    <w:p w14:paraId="2ECDEE85" w14:textId="4264F0BA" w:rsidR="0085334D" w:rsidRPr="00836F21" w:rsidRDefault="0085334D" w:rsidP="0085334D">
      <w:pPr>
        <w:rPr>
          <w:sz w:val="16"/>
          <w:szCs w:val="16"/>
        </w:rPr>
      </w:pPr>
      <w:r w:rsidRPr="310DDEC5">
        <w:t xml:space="preserve">MRK har i flere senere saker vist til at SP artikkel 1 er et moment ved tolkningen av SP artikkel 27. </w:t>
      </w:r>
      <w:r w:rsidRPr="00836F21">
        <w:t xml:space="preserve">I </w:t>
      </w:r>
      <w:proofErr w:type="spellStart"/>
      <w:r w:rsidRPr="00CD439F">
        <w:rPr>
          <w:rStyle w:val="kursiv"/>
        </w:rPr>
        <w:t>Apirana</w:t>
      </w:r>
      <w:proofErr w:type="spellEnd"/>
      <w:r w:rsidRPr="00CD439F">
        <w:rPr>
          <w:rStyle w:val="kursiv"/>
        </w:rPr>
        <w:t xml:space="preserve"> </w:t>
      </w:r>
      <w:proofErr w:type="spellStart"/>
      <w:r w:rsidRPr="00CD439F">
        <w:rPr>
          <w:rStyle w:val="kursiv"/>
        </w:rPr>
        <w:t>Mahuika</w:t>
      </w:r>
      <w:proofErr w:type="spellEnd"/>
      <w:r w:rsidRPr="00CD439F">
        <w:rPr>
          <w:rStyle w:val="kursiv"/>
        </w:rPr>
        <w:t xml:space="preserve"> mot New Zealand</w:t>
      </w:r>
      <w:r w:rsidRPr="00836F21">
        <w:t xml:space="preserve">, som gjaldt en gruppe </w:t>
      </w:r>
      <w:proofErr w:type="spellStart"/>
      <w:r w:rsidRPr="00836F21">
        <w:t>maoriers</w:t>
      </w:r>
      <w:proofErr w:type="spellEnd"/>
      <w:r w:rsidRPr="00836F21">
        <w:t xml:space="preserve"> rett til å delta i (kommersielt) saltvannsfiske, uttalte MRK:</w:t>
      </w:r>
      <w:r w:rsidR="00CD439F" w:rsidRPr="00CD439F">
        <w:rPr>
          <w:rStyle w:val="Fotnotereferanse"/>
        </w:rPr>
        <w:footnoteReference w:id="40"/>
      </w:r>
    </w:p>
    <w:p w14:paraId="4FF3B0ED" w14:textId="7E70EECD" w:rsidR="00D26AE1" w:rsidRDefault="00CD439F" w:rsidP="00393223">
      <w:pPr>
        <w:pStyle w:val="blokksit"/>
        <w:ind w:left="757"/>
        <w:rPr>
          <w:lang w:val="en-US"/>
        </w:rPr>
      </w:pPr>
      <w:r>
        <w:rPr>
          <w:lang w:val="en-US"/>
        </w:rPr>
        <w:t>«</w:t>
      </w:r>
      <w:r w:rsidR="0085334D" w:rsidRPr="00CD439F">
        <w:rPr>
          <w:lang w:val="en-US"/>
        </w:rPr>
        <w:t>The Committee observes that</w:t>
      </w:r>
      <w:r w:rsidR="0085334D" w:rsidRPr="00CD439F">
        <w:rPr>
          <w:rStyle w:val="halvfet"/>
          <w:lang w:val="en-US"/>
        </w:rPr>
        <w:t xml:space="preserve"> </w:t>
      </w:r>
      <w:r w:rsidR="0085334D" w:rsidRPr="00CD439F">
        <w:rPr>
          <w:lang w:val="en-US"/>
        </w:rPr>
        <w:t>the Optional Protocol provides a procedure under which individuals can claim that their individual rights have been violated. These rights are set out in part III of the Covenant, articles 6 to 27, inclusive. As shown by the Committee</w:t>
      </w:r>
      <w:r>
        <w:rPr>
          <w:lang w:val="en-US"/>
        </w:rPr>
        <w:t>’</w:t>
      </w:r>
      <w:r w:rsidR="0085334D" w:rsidRPr="00CD439F">
        <w:rPr>
          <w:lang w:val="en-US"/>
        </w:rPr>
        <w:t>s jurisprudence, there is no objection to a group of individuals, who claim to be commonly affected, to submit a communication about alleged breaches of these rights. Furthermore, the provisions of article 1 may be relevant in the interpretation of other rights protected by the Covenant, in particular article 27.</w:t>
      </w:r>
      <w:r>
        <w:rPr>
          <w:lang w:val="en-US"/>
        </w:rPr>
        <w:t>»</w:t>
      </w:r>
    </w:p>
    <w:p w14:paraId="1E2AC5F5" w14:textId="638F44DB" w:rsidR="00303661" w:rsidRDefault="0085334D" w:rsidP="0085334D">
      <w:r w:rsidRPr="04C45840">
        <w:t xml:space="preserve">I </w:t>
      </w:r>
      <w:proofErr w:type="spellStart"/>
      <w:r w:rsidRPr="04C45840">
        <w:t>Mahuika</w:t>
      </w:r>
      <w:proofErr w:type="spellEnd"/>
      <w:r w:rsidRPr="04C45840">
        <w:t>-saken går ikke MRK spesifikt inn på den konkrete betydningen av SP artikkel 1 som moment ved tolkningen av artikkel 27. SP artikkel 1 later imidlertid til å ha vært en del av bakteppet for at MRK la stor vekt på at det var gjennomført reelle konsultasjoner med de berørte maori-gruppene før de omstridte reguleringstiltakene ble iverksatt.</w:t>
      </w:r>
      <w:r w:rsidR="00CD439F" w:rsidRPr="00CD439F">
        <w:rPr>
          <w:rStyle w:val="Fotnotereferanse"/>
        </w:rPr>
        <w:footnoteReference w:id="41"/>
      </w:r>
    </w:p>
    <w:p w14:paraId="5567D790" w14:textId="74845C6E" w:rsidR="0085334D" w:rsidRPr="00693A45" w:rsidRDefault="0085334D" w:rsidP="0085334D">
      <w:pPr>
        <w:rPr>
          <w:lang w:val="en-US"/>
        </w:rPr>
      </w:pPr>
      <w:r w:rsidRPr="0085334D">
        <w:t xml:space="preserve">Et nyere eksempel på at SP artikkel 1 er brukt som et moment ved tolkningen av artikkel 27, er </w:t>
      </w:r>
      <w:proofErr w:type="spellStart"/>
      <w:r w:rsidRPr="00CD439F">
        <w:rPr>
          <w:rStyle w:val="kursiv"/>
        </w:rPr>
        <w:t>Klemetti</w:t>
      </w:r>
      <w:proofErr w:type="spellEnd"/>
      <w:r w:rsidRPr="00CD439F">
        <w:rPr>
          <w:rStyle w:val="kursiv"/>
        </w:rPr>
        <w:t xml:space="preserve"> </w:t>
      </w:r>
      <w:proofErr w:type="spellStart"/>
      <w:r w:rsidRPr="00CD439F">
        <w:rPr>
          <w:rStyle w:val="kursiv"/>
        </w:rPr>
        <w:t>Käkkäläjärvi</w:t>
      </w:r>
      <w:proofErr w:type="spellEnd"/>
      <w:r w:rsidRPr="00CD439F">
        <w:rPr>
          <w:rStyle w:val="kursiv"/>
        </w:rPr>
        <w:t xml:space="preserve"> mot Finland</w:t>
      </w:r>
      <w:r w:rsidRPr="0085334D">
        <w:t xml:space="preserve"> som ble avgjort i 2019. Her anførte 23 finske og to norske samer at deres rettigheter etter artikkel 27, sammenholdt med artikkel 25 om rett til deltakelse i offentlige anliggender og artikkel 26 om rett til ikke-diskriminering, var krenket. De begrunnet anførselen med at finske myndigheter hadde gjort endringer som medførte at inntil 51</w:t>
      </w:r>
      <w:r w:rsidR="00CD439F" w:rsidRPr="0085334D">
        <w:t>2</w:t>
      </w:r>
      <w:r w:rsidR="00CD439F">
        <w:t> </w:t>
      </w:r>
      <w:r w:rsidR="00CD439F" w:rsidRPr="0085334D">
        <w:t>000</w:t>
      </w:r>
      <w:r w:rsidRPr="0085334D">
        <w:t xml:space="preserve"> ikke-samer i teorien kunne stemme ved det finske sametingsvalget. </w:t>
      </w:r>
      <w:r w:rsidRPr="00693A45">
        <w:rPr>
          <w:lang w:val="en-US"/>
        </w:rPr>
        <w:t xml:space="preserve">MRK </w:t>
      </w:r>
      <w:proofErr w:type="spellStart"/>
      <w:r w:rsidRPr="00693A45">
        <w:rPr>
          <w:lang w:val="en-US"/>
        </w:rPr>
        <w:t>konkluderte</w:t>
      </w:r>
      <w:proofErr w:type="spellEnd"/>
      <w:r w:rsidRPr="00693A45">
        <w:rPr>
          <w:lang w:val="en-US"/>
        </w:rPr>
        <w:t xml:space="preserve"> med at </w:t>
      </w:r>
      <w:proofErr w:type="spellStart"/>
      <w:r w:rsidRPr="00693A45">
        <w:rPr>
          <w:lang w:val="en-US"/>
        </w:rPr>
        <w:t>dette</w:t>
      </w:r>
      <w:proofErr w:type="spellEnd"/>
      <w:r w:rsidRPr="00693A45">
        <w:rPr>
          <w:lang w:val="en-US"/>
        </w:rPr>
        <w:t xml:space="preserve"> var </w:t>
      </w:r>
      <w:r w:rsidR="00CD439F">
        <w:rPr>
          <w:lang w:val="en-US"/>
        </w:rPr>
        <w:t>«</w:t>
      </w:r>
      <w:r w:rsidRPr="00693A45">
        <w:rPr>
          <w:lang w:val="en-US"/>
        </w:rPr>
        <w:t>a violation of the authors</w:t>
      </w:r>
      <w:r w:rsidR="00CD439F">
        <w:rPr>
          <w:lang w:val="en-US"/>
        </w:rPr>
        <w:t>’</w:t>
      </w:r>
      <w:r w:rsidRPr="00693A45">
        <w:rPr>
          <w:lang w:val="en-US"/>
        </w:rPr>
        <w:t xml:space="preserve"> rights under article 25, read alone and in conjunction with article 27, as interpreted in the light </w:t>
      </w:r>
      <w:r w:rsidRPr="00693A45">
        <w:rPr>
          <w:lang w:val="en-US"/>
        </w:rPr>
        <w:lastRenderedPageBreak/>
        <w:t>of article 1 of the Covenant</w:t>
      </w:r>
      <w:r w:rsidR="00CD439F">
        <w:rPr>
          <w:lang w:val="en-US"/>
        </w:rPr>
        <w:t>»</w:t>
      </w:r>
      <w:r w:rsidRPr="00693A45">
        <w:rPr>
          <w:lang w:val="en-US"/>
        </w:rPr>
        <w:t>.</w:t>
      </w:r>
      <w:r w:rsidR="00CD439F" w:rsidRPr="00CD439F">
        <w:rPr>
          <w:rStyle w:val="Fotnotereferanse"/>
        </w:rPr>
        <w:footnoteReference w:id="42"/>
      </w:r>
      <w:r w:rsidRPr="00693A45">
        <w:rPr>
          <w:lang w:val="en-US"/>
        </w:rPr>
        <w:t xml:space="preserve"> Om </w:t>
      </w:r>
      <w:proofErr w:type="spellStart"/>
      <w:r w:rsidRPr="00693A45">
        <w:rPr>
          <w:lang w:val="en-US"/>
        </w:rPr>
        <w:t>betydningen</w:t>
      </w:r>
      <w:proofErr w:type="spellEnd"/>
      <w:r w:rsidRPr="00693A45">
        <w:rPr>
          <w:lang w:val="en-US"/>
        </w:rPr>
        <w:t xml:space="preserve"> av SP </w:t>
      </w:r>
      <w:proofErr w:type="spellStart"/>
      <w:r w:rsidRPr="00693A45">
        <w:rPr>
          <w:lang w:val="en-US"/>
        </w:rPr>
        <w:t>artikkel</w:t>
      </w:r>
      <w:proofErr w:type="spellEnd"/>
      <w:r w:rsidRPr="00693A45">
        <w:rPr>
          <w:lang w:val="en-US"/>
        </w:rPr>
        <w:t xml:space="preserve"> 1 </w:t>
      </w:r>
      <w:proofErr w:type="spellStart"/>
      <w:r w:rsidRPr="00693A45">
        <w:rPr>
          <w:lang w:val="en-US"/>
        </w:rPr>
        <w:t>som</w:t>
      </w:r>
      <w:proofErr w:type="spellEnd"/>
      <w:r w:rsidRPr="00693A45">
        <w:rPr>
          <w:lang w:val="en-US"/>
        </w:rPr>
        <w:t xml:space="preserve"> </w:t>
      </w:r>
      <w:proofErr w:type="spellStart"/>
      <w:r w:rsidRPr="00693A45">
        <w:rPr>
          <w:lang w:val="en-US"/>
        </w:rPr>
        <w:t>tolkningsmoment</w:t>
      </w:r>
      <w:proofErr w:type="spellEnd"/>
      <w:r w:rsidRPr="00693A45">
        <w:rPr>
          <w:lang w:val="en-US"/>
        </w:rPr>
        <w:t xml:space="preserve">, </w:t>
      </w:r>
      <w:proofErr w:type="spellStart"/>
      <w:r w:rsidRPr="00693A45">
        <w:rPr>
          <w:lang w:val="en-US"/>
        </w:rPr>
        <w:t>uttalte</w:t>
      </w:r>
      <w:proofErr w:type="spellEnd"/>
      <w:r w:rsidRPr="00693A45">
        <w:rPr>
          <w:lang w:val="en-US"/>
        </w:rPr>
        <w:t xml:space="preserve"> MRK:</w:t>
      </w:r>
      <w:r w:rsidR="00CD439F" w:rsidRPr="00CD439F">
        <w:rPr>
          <w:rStyle w:val="Fotnotereferanse"/>
        </w:rPr>
        <w:footnoteReference w:id="43"/>
      </w:r>
    </w:p>
    <w:p w14:paraId="7B7998DC" w14:textId="3273DDFF" w:rsidR="0085334D" w:rsidRPr="00CD439F" w:rsidRDefault="00CD439F" w:rsidP="00393223">
      <w:pPr>
        <w:pStyle w:val="blokksit"/>
        <w:ind w:left="757"/>
        <w:rPr>
          <w:rFonts w:asciiTheme="majorBidi" w:hAnsiTheme="majorBidi" w:cstheme="majorBidi"/>
          <w:lang w:val="en-US"/>
        </w:rPr>
      </w:pPr>
      <w:r>
        <w:rPr>
          <w:rFonts w:asciiTheme="majorBidi" w:hAnsiTheme="majorBidi" w:cstheme="majorBidi"/>
          <w:lang w:val="en-US"/>
        </w:rPr>
        <w:t>«</w:t>
      </w:r>
      <w:r w:rsidR="0085334D" w:rsidRPr="00CD439F">
        <w:rPr>
          <w:lang w:val="en-US"/>
        </w:rPr>
        <w:t>The Committee further observes that article 27 of the Covenant, interpreted in the light of the United Nations Declaration on the Rights of Indigenous Peoples and article 1 of the Covenant, enshrines an inalienable right of indigenous peoples to freely determine their political status and freely pursue their economic, social and cultural development. Article 1 of the Covenant and the corresponding obligations concerning its implementation are interrelated with other provisions of the Covenant and rules of international law.</w:t>
      </w:r>
      <w:r>
        <w:rPr>
          <w:rFonts w:asciiTheme="majorBidi" w:hAnsiTheme="majorBidi" w:cstheme="majorBidi"/>
          <w:lang w:val="en-US"/>
        </w:rPr>
        <w:t>»</w:t>
      </w:r>
    </w:p>
    <w:p w14:paraId="5DD80BB5" w14:textId="6530D486" w:rsidR="004E5409" w:rsidRDefault="004E5409" w:rsidP="004E5409">
      <w:r w:rsidRPr="00693A45">
        <w:rPr>
          <w:lang w:val="en-US"/>
        </w:rPr>
        <w:t xml:space="preserve">Som det </w:t>
      </w:r>
      <w:proofErr w:type="spellStart"/>
      <w:r w:rsidRPr="00693A45">
        <w:rPr>
          <w:lang w:val="en-US"/>
        </w:rPr>
        <w:t>vil</w:t>
      </w:r>
      <w:proofErr w:type="spellEnd"/>
      <w:r w:rsidRPr="00693A45">
        <w:rPr>
          <w:lang w:val="en-US"/>
        </w:rPr>
        <w:t xml:space="preserve"> </w:t>
      </w:r>
      <w:proofErr w:type="spellStart"/>
      <w:r w:rsidRPr="00693A45">
        <w:rPr>
          <w:lang w:val="en-US"/>
        </w:rPr>
        <w:t>bli</w:t>
      </w:r>
      <w:proofErr w:type="spellEnd"/>
      <w:r w:rsidRPr="00693A45">
        <w:rPr>
          <w:lang w:val="en-US"/>
        </w:rPr>
        <w:t xml:space="preserve"> </w:t>
      </w:r>
      <w:proofErr w:type="spellStart"/>
      <w:r w:rsidRPr="00693A45">
        <w:rPr>
          <w:lang w:val="en-US"/>
        </w:rPr>
        <w:t>redegjort</w:t>
      </w:r>
      <w:proofErr w:type="spellEnd"/>
      <w:r w:rsidRPr="00693A45">
        <w:rPr>
          <w:lang w:val="en-US"/>
        </w:rPr>
        <w:t xml:space="preserve"> for </w:t>
      </w:r>
      <w:proofErr w:type="spellStart"/>
      <w:r w:rsidRPr="00693A45">
        <w:rPr>
          <w:lang w:val="en-US"/>
        </w:rPr>
        <w:t>umiddelbart</w:t>
      </w:r>
      <w:proofErr w:type="spellEnd"/>
      <w:r w:rsidRPr="00693A45">
        <w:rPr>
          <w:lang w:val="en-US"/>
        </w:rPr>
        <w:t xml:space="preserve"> </w:t>
      </w:r>
      <w:proofErr w:type="spellStart"/>
      <w:r w:rsidRPr="00693A45">
        <w:rPr>
          <w:lang w:val="en-US"/>
        </w:rPr>
        <w:t>nedenfor</w:t>
      </w:r>
      <w:proofErr w:type="spellEnd"/>
      <w:r w:rsidRPr="00693A45">
        <w:rPr>
          <w:lang w:val="en-US"/>
        </w:rPr>
        <w:t xml:space="preserve">, </w:t>
      </w:r>
      <w:proofErr w:type="spellStart"/>
      <w:r w:rsidRPr="00693A45">
        <w:rPr>
          <w:lang w:val="en-US"/>
        </w:rPr>
        <w:t>formulerer</w:t>
      </w:r>
      <w:proofErr w:type="spellEnd"/>
      <w:r w:rsidRPr="00693A45">
        <w:rPr>
          <w:lang w:val="en-US"/>
        </w:rPr>
        <w:t xml:space="preserve"> </w:t>
      </w:r>
      <w:proofErr w:type="spellStart"/>
      <w:r w:rsidRPr="00693A45">
        <w:rPr>
          <w:lang w:val="en-US"/>
        </w:rPr>
        <w:t>ordlyden</w:t>
      </w:r>
      <w:proofErr w:type="spellEnd"/>
      <w:r w:rsidRPr="00693A45">
        <w:rPr>
          <w:lang w:val="en-US"/>
        </w:rPr>
        <w:t xml:space="preserve"> </w:t>
      </w:r>
      <w:proofErr w:type="spellStart"/>
      <w:r w:rsidRPr="00693A45">
        <w:rPr>
          <w:lang w:val="en-US"/>
        </w:rPr>
        <w:t>i</w:t>
      </w:r>
      <w:proofErr w:type="spellEnd"/>
      <w:r w:rsidRPr="00693A45">
        <w:rPr>
          <w:lang w:val="en-US"/>
        </w:rPr>
        <w:t xml:space="preserve"> SP </w:t>
      </w:r>
      <w:proofErr w:type="spellStart"/>
      <w:r w:rsidRPr="00693A45">
        <w:rPr>
          <w:lang w:val="en-US"/>
        </w:rPr>
        <w:t>artikkel</w:t>
      </w:r>
      <w:proofErr w:type="spellEnd"/>
      <w:r w:rsidRPr="00693A45">
        <w:rPr>
          <w:lang w:val="en-US"/>
        </w:rPr>
        <w:t xml:space="preserve"> 27 </w:t>
      </w:r>
      <w:proofErr w:type="spellStart"/>
      <w:r w:rsidRPr="00693A45">
        <w:rPr>
          <w:lang w:val="en-US"/>
        </w:rPr>
        <w:t>en</w:t>
      </w:r>
      <w:proofErr w:type="spellEnd"/>
      <w:r w:rsidRPr="00693A45">
        <w:rPr>
          <w:lang w:val="en-US"/>
        </w:rPr>
        <w:t xml:space="preserve"> </w:t>
      </w:r>
      <w:proofErr w:type="spellStart"/>
      <w:r w:rsidRPr="00693A45">
        <w:rPr>
          <w:lang w:val="en-US"/>
        </w:rPr>
        <w:t>rett</w:t>
      </w:r>
      <w:proofErr w:type="spellEnd"/>
      <w:r w:rsidRPr="00693A45">
        <w:rPr>
          <w:lang w:val="en-US"/>
        </w:rPr>
        <w:t xml:space="preserve"> for </w:t>
      </w:r>
      <w:proofErr w:type="spellStart"/>
      <w:r w:rsidRPr="00693A45">
        <w:rPr>
          <w:lang w:val="en-US"/>
        </w:rPr>
        <w:t>personer</w:t>
      </w:r>
      <w:proofErr w:type="spellEnd"/>
      <w:r w:rsidRPr="00693A45">
        <w:rPr>
          <w:lang w:val="en-US"/>
        </w:rPr>
        <w:t xml:space="preserve"> </w:t>
      </w:r>
      <w:proofErr w:type="spellStart"/>
      <w:r w:rsidRPr="00693A45">
        <w:rPr>
          <w:lang w:val="en-US"/>
        </w:rPr>
        <w:t>tilhørende</w:t>
      </w:r>
      <w:proofErr w:type="spellEnd"/>
      <w:r w:rsidRPr="00693A45">
        <w:rPr>
          <w:lang w:val="en-US"/>
        </w:rPr>
        <w:t xml:space="preserve"> </w:t>
      </w:r>
      <w:proofErr w:type="spellStart"/>
      <w:r w:rsidRPr="00693A45">
        <w:rPr>
          <w:lang w:val="en-US"/>
        </w:rPr>
        <w:t>etniske</w:t>
      </w:r>
      <w:proofErr w:type="spellEnd"/>
      <w:r w:rsidRPr="00693A45">
        <w:rPr>
          <w:lang w:val="en-US"/>
        </w:rPr>
        <w:t xml:space="preserve">, </w:t>
      </w:r>
      <w:proofErr w:type="spellStart"/>
      <w:r w:rsidRPr="00693A45">
        <w:rPr>
          <w:lang w:val="en-US"/>
        </w:rPr>
        <w:t>religiøse</w:t>
      </w:r>
      <w:proofErr w:type="spellEnd"/>
      <w:r w:rsidRPr="00693A45">
        <w:rPr>
          <w:lang w:val="en-US"/>
        </w:rPr>
        <w:t xml:space="preserve"> </w:t>
      </w:r>
      <w:proofErr w:type="spellStart"/>
      <w:r w:rsidRPr="00693A45">
        <w:rPr>
          <w:lang w:val="en-US"/>
        </w:rPr>
        <w:t>eller</w:t>
      </w:r>
      <w:proofErr w:type="spellEnd"/>
      <w:r w:rsidRPr="00693A45">
        <w:rPr>
          <w:lang w:val="en-US"/>
        </w:rPr>
        <w:t xml:space="preserve"> </w:t>
      </w:r>
      <w:proofErr w:type="spellStart"/>
      <w:r w:rsidRPr="00693A45">
        <w:rPr>
          <w:lang w:val="en-US"/>
        </w:rPr>
        <w:t>språklige</w:t>
      </w:r>
      <w:proofErr w:type="spellEnd"/>
      <w:r w:rsidRPr="00693A45">
        <w:rPr>
          <w:lang w:val="en-US"/>
        </w:rPr>
        <w:t xml:space="preserve"> </w:t>
      </w:r>
      <w:proofErr w:type="spellStart"/>
      <w:r w:rsidRPr="00693A45">
        <w:rPr>
          <w:lang w:val="en-US"/>
        </w:rPr>
        <w:t>minoriteter</w:t>
      </w:r>
      <w:proofErr w:type="spellEnd"/>
      <w:r w:rsidRPr="00693A45">
        <w:rPr>
          <w:lang w:val="en-US"/>
        </w:rPr>
        <w:t xml:space="preserve">, </w:t>
      </w:r>
      <w:proofErr w:type="spellStart"/>
      <w:r w:rsidRPr="00693A45">
        <w:rPr>
          <w:lang w:val="en-US"/>
        </w:rPr>
        <w:t>til</w:t>
      </w:r>
      <w:proofErr w:type="spellEnd"/>
      <w:r w:rsidRPr="00693A45">
        <w:rPr>
          <w:lang w:val="en-US"/>
        </w:rPr>
        <w:t xml:space="preserve"> </w:t>
      </w:r>
      <w:proofErr w:type="spellStart"/>
      <w:r w:rsidRPr="00693A45">
        <w:rPr>
          <w:lang w:val="en-US"/>
        </w:rPr>
        <w:t>ikke</w:t>
      </w:r>
      <w:proofErr w:type="spellEnd"/>
      <w:r w:rsidRPr="00693A45">
        <w:rPr>
          <w:lang w:val="en-US"/>
        </w:rPr>
        <w:t xml:space="preserve"> å </w:t>
      </w:r>
      <w:proofErr w:type="spellStart"/>
      <w:r w:rsidRPr="00693A45">
        <w:rPr>
          <w:lang w:val="en-US"/>
        </w:rPr>
        <w:t>bli</w:t>
      </w:r>
      <w:proofErr w:type="spellEnd"/>
      <w:r w:rsidRPr="00693A45">
        <w:rPr>
          <w:lang w:val="en-US"/>
        </w:rPr>
        <w:t xml:space="preserve"> </w:t>
      </w:r>
      <w:proofErr w:type="spellStart"/>
      <w:r w:rsidRPr="00693A45">
        <w:rPr>
          <w:lang w:val="en-US"/>
        </w:rPr>
        <w:t>nektet</w:t>
      </w:r>
      <w:proofErr w:type="spellEnd"/>
      <w:r w:rsidRPr="00693A45">
        <w:rPr>
          <w:lang w:val="en-US"/>
        </w:rPr>
        <w:t xml:space="preserve"> </w:t>
      </w:r>
      <w:proofErr w:type="spellStart"/>
      <w:r w:rsidRPr="00693A45">
        <w:rPr>
          <w:lang w:val="en-US"/>
        </w:rPr>
        <w:t>retten</w:t>
      </w:r>
      <w:proofErr w:type="spellEnd"/>
      <w:r w:rsidRPr="00693A45">
        <w:rPr>
          <w:lang w:val="en-US"/>
        </w:rPr>
        <w:t xml:space="preserve"> (</w:t>
      </w:r>
      <w:r w:rsidR="00CD439F">
        <w:rPr>
          <w:lang w:val="en-US"/>
        </w:rPr>
        <w:t>«</w:t>
      </w:r>
      <w:r w:rsidRPr="00693A45">
        <w:rPr>
          <w:lang w:val="en-US"/>
        </w:rPr>
        <w:t>denied the right</w:t>
      </w:r>
      <w:r w:rsidR="00CD439F">
        <w:rPr>
          <w:lang w:val="en-US"/>
        </w:rPr>
        <w:t>»</w:t>
      </w:r>
      <w:r w:rsidRPr="00693A45">
        <w:rPr>
          <w:lang w:val="en-US"/>
        </w:rPr>
        <w:t xml:space="preserve">) </w:t>
      </w:r>
      <w:proofErr w:type="spellStart"/>
      <w:r w:rsidRPr="00693A45">
        <w:rPr>
          <w:lang w:val="en-US"/>
        </w:rPr>
        <w:t>til</w:t>
      </w:r>
      <w:proofErr w:type="spellEnd"/>
      <w:r w:rsidRPr="00693A45">
        <w:rPr>
          <w:lang w:val="en-US"/>
        </w:rPr>
        <w:t xml:space="preserve"> å </w:t>
      </w:r>
      <w:proofErr w:type="spellStart"/>
      <w:r w:rsidRPr="00693A45">
        <w:rPr>
          <w:lang w:val="en-US"/>
        </w:rPr>
        <w:t>dyrke</w:t>
      </w:r>
      <w:proofErr w:type="spellEnd"/>
      <w:r w:rsidRPr="00693A45">
        <w:rPr>
          <w:lang w:val="en-US"/>
        </w:rPr>
        <w:t xml:space="preserve"> sin </w:t>
      </w:r>
      <w:proofErr w:type="spellStart"/>
      <w:r w:rsidRPr="00693A45">
        <w:rPr>
          <w:lang w:val="en-US"/>
        </w:rPr>
        <w:t>egen</w:t>
      </w:r>
      <w:proofErr w:type="spellEnd"/>
      <w:r w:rsidRPr="00693A45">
        <w:rPr>
          <w:lang w:val="en-US"/>
        </w:rPr>
        <w:t xml:space="preserve"> kultur (</w:t>
      </w:r>
      <w:r w:rsidR="00CD439F">
        <w:rPr>
          <w:lang w:val="en-US"/>
        </w:rPr>
        <w:t>«</w:t>
      </w:r>
      <w:r w:rsidRPr="00693A45">
        <w:rPr>
          <w:lang w:val="en-US"/>
        </w:rPr>
        <w:t>enjoy their own culture</w:t>
      </w:r>
      <w:r w:rsidR="00CD439F">
        <w:rPr>
          <w:lang w:val="en-US"/>
        </w:rPr>
        <w:t>»</w:t>
      </w:r>
      <w:r w:rsidRPr="00693A45">
        <w:rPr>
          <w:lang w:val="en-US"/>
        </w:rPr>
        <w:t xml:space="preserve">) </w:t>
      </w:r>
      <w:proofErr w:type="spellStart"/>
      <w:r w:rsidRPr="00693A45">
        <w:rPr>
          <w:lang w:val="en-US"/>
        </w:rPr>
        <w:t>sammen</w:t>
      </w:r>
      <w:proofErr w:type="spellEnd"/>
      <w:r w:rsidRPr="00693A45">
        <w:rPr>
          <w:lang w:val="en-US"/>
        </w:rPr>
        <w:t xml:space="preserve"> med </w:t>
      </w:r>
      <w:proofErr w:type="spellStart"/>
      <w:r w:rsidRPr="00693A45">
        <w:rPr>
          <w:lang w:val="en-US"/>
        </w:rPr>
        <w:t>andre</w:t>
      </w:r>
      <w:proofErr w:type="spellEnd"/>
      <w:r w:rsidRPr="00693A45">
        <w:rPr>
          <w:lang w:val="en-US"/>
        </w:rPr>
        <w:t xml:space="preserve"> </w:t>
      </w:r>
      <w:proofErr w:type="spellStart"/>
      <w:r w:rsidRPr="00693A45">
        <w:rPr>
          <w:lang w:val="en-US"/>
        </w:rPr>
        <w:t>medlemmer</w:t>
      </w:r>
      <w:proofErr w:type="spellEnd"/>
      <w:r w:rsidRPr="00693A45">
        <w:rPr>
          <w:lang w:val="en-US"/>
        </w:rPr>
        <w:t xml:space="preserve"> av </w:t>
      </w:r>
      <w:proofErr w:type="spellStart"/>
      <w:r w:rsidRPr="00693A45">
        <w:rPr>
          <w:lang w:val="en-US"/>
        </w:rPr>
        <w:t>minoritetsgruppen</w:t>
      </w:r>
      <w:proofErr w:type="spellEnd"/>
      <w:r w:rsidRPr="00693A45">
        <w:rPr>
          <w:lang w:val="en-US"/>
        </w:rPr>
        <w:t xml:space="preserve">. Det er et </w:t>
      </w:r>
      <w:proofErr w:type="spellStart"/>
      <w:r w:rsidRPr="00693A45">
        <w:rPr>
          <w:lang w:val="en-US"/>
        </w:rPr>
        <w:t>langt</w:t>
      </w:r>
      <w:proofErr w:type="spellEnd"/>
      <w:r w:rsidRPr="00693A45">
        <w:rPr>
          <w:lang w:val="en-US"/>
        </w:rPr>
        <w:t xml:space="preserve"> </w:t>
      </w:r>
      <w:proofErr w:type="spellStart"/>
      <w:r w:rsidRPr="00693A45">
        <w:rPr>
          <w:lang w:val="en-US"/>
        </w:rPr>
        <w:t>steg</w:t>
      </w:r>
      <w:proofErr w:type="spellEnd"/>
      <w:r w:rsidRPr="00693A45">
        <w:rPr>
          <w:lang w:val="en-US"/>
        </w:rPr>
        <w:t xml:space="preserve"> </w:t>
      </w:r>
      <w:proofErr w:type="spellStart"/>
      <w:r w:rsidRPr="00693A45">
        <w:rPr>
          <w:lang w:val="en-US"/>
        </w:rPr>
        <w:t>derfra</w:t>
      </w:r>
      <w:proofErr w:type="spellEnd"/>
      <w:r w:rsidRPr="00693A45">
        <w:rPr>
          <w:lang w:val="en-US"/>
        </w:rPr>
        <w:t xml:space="preserve"> </w:t>
      </w:r>
      <w:proofErr w:type="spellStart"/>
      <w:r w:rsidRPr="00693A45">
        <w:rPr>
          <w:lang w:val="en-US"/>
        </w:rPr>
        <w:t>til</w:t>
      </w:r>
      <w:proofErr w:type="spellEnd"/>
      <w:r w:rsidRPr="00693A45">
        <w:rPr>
          <w:lang w:val="en-US"/>
        </w:rPr>
        <w:t xml:space="preserve"> det MRK </w:t>
      </w:r>
      <w:proofErr w:type="spellStart"/>
      <w:r w:rsidRPr="00693A45">
        <w:rPr>
          <w:lang w:val="en-US"/>
        </w:rPr>
        <w:t>i</w:t>
      </w:r>
      <w:proofErr w:type="spellEnd"/>
      <w:r w:rsidRPr="00693A45">
        <w:rPr>
          <w:lang w:val="en-US"/>
        </w:rPr>
        <w:t xml:space="preserve"> </w:t>
      </w:r>
      <w:proofErr w:type="spellStart"/>
      <w:r w:rsidRPr="00693A45">
        <w:rPr>
          <w:lang w:val="en-US"/>
        </w:rPr>
        <w:t>Käkkäläjärvi-saken</w:t>
      </w:r>
      <w:proofErr w:type="spellEnd"/>
      <w:r w:rsidRPr="00693A45">
        <w:rPr>
          <w:lang w:val="en-US"/>
        </w:rPr>
        <w:t xml:space="preserve"> </w:t>
      </w:r>
      <w:proofErr w:type="spellStart"/>
      <w:r w:rsidRPr="00693A45">
        <w:rPr>
          <w:lang w:val="en-US"/>
        </w:rPr>
        <w:t>omtaler</w:t>
      </w:r>
      <w:proofErr w:type="spellEnd"/>
      <w:r w:rsidRPr="00693A45">
        <w:rPr>
          <w:lang w:val="en-US"/>
        </w:rPr>
        <w:t xml:space="preserve"> </w:t>
      </w:r>
      <w:proofErr w:type="spellStart"/>
      <w:r w:rsidRPr="00693A45">
        <w:rPr>
          <w:lang w:val="en-US"/>
        </w:rPr>
        <w:t>som</w:t>
      </w:r>
      <w:proofErr w:type="spellEnd"/>
      <w:r w:rsidRPr="00693A45">
        <w:rPr>
          <w:lang w:val="en-US"/>
        </w:rPr>
        <w:t xml:space="preserve"> </w:t>
      </w:r>
      <w:proofErr w:type="spellStart"/>
      <w:r w:rsidRPr="00693A45">
        <w:rPr>
          <w:lang w:val="en-US"/>
        </w:rPr>
        <w:t>en</w:t>
      </w:r>
      <w:proofErr w:type="spellEnd"/>
      <w:r w:rsidRPr="00693A45">
        <w:rPr>
          <w:lang w:val="en-US"/>
        </w:rPr>
        <w:t xml:space="preserve"> </w:t>
      </w:r>
      <w:proofErr w:type="spellStart"/>
      <w:r w:rsidRPr="00693A45">
        <w:rPr>
          <w:lang w:val="en-US"/>
        </w:rPr>
        <w:t>umistelig</w:t>
      </w:r>
      <w:proofErr w:type="spellEnd"/>
      <w:r w:rsidRPr="00693A45">
        <w:rPr>
          <w:lang w:val="en-US"/>
        </w:rPr>
        <w:t xml:space="preserve"> (</w:t>
      </w:r>
      <w:r w:rsidR="00CD439F">
        <w:rPr>
          <w:lang w:val="en-US"/>
        </w:rPr>
        <w:t>«</w:t>
      </w:r>
      <w:r w:rsidRPr="00693A45">
        <w:rPr>
          <w:lang w:val="en-US"/>
        </w:rPr>
        <w:t>inalienable</w:t>
      </w:r>
      <w:r w:rsidR="00CD439F">
        <w:rPr>
          <w:lang w:val="en-US"/>
        </w:rPr>
        <w:t>»</w:t>
      </w:r>
      <w:r w:rsidRPr="00693A45">
        <w:rPr>
          <w:lang w:val="en-US"/>
        </w:rPr>
        <w:t xml:space="preserve">) </w:t>
      </w:r>
      <w:proofErr w:type="spellStart"/>
      <w:r w:rsidRPr="00693A45">
        <w:rPr>
          <w:lang w:val="en-US"/>
        </w:rPr>
        <w:t>rett</w:t>
      </w:r>
      <w:proofErr w:type="spellEnd"/>
      <w:r w:rsidRPr="00693A45">
        <w:rPr>
          <w:lang w:val="en-US"/>
        </w:rPr>
        <w:t xml:space="preserve"> for </w:t>
      </w:r>
      <w:proofErr w:type="spellStart"/>
      <w:r w:rsidRPr="00693A45">
        <w:rPr>
          <w:lang w:val="en-US"/>
        </w:rPr>
        <w:t>urfolk</w:t>
      </w:r>
      <w:proofErr w:type="spellEnd"/>
      <w:r w:rsidRPr="00693A45">
        <w:rPr>
          <w:lang w:val="en-US"/>
        </w:rPr>
        <w:t xml:space="preserve"> </w:t>
      </w:r>
      <w:proofErr w:type="spellStart"/>
      <w:r w:rsidRPr="00693A45">
        <w:rPr>
          <w:lang w:val="en-US"/>
        </w:rPr>
        <w:t>til</w:t>
      </w:r>
      <w:proofErr w:type="spellEnd"/>
      <w:r w:rsidRPr="00693A45">
        <w:rPr>
          <w:lang w:val="en-US"/>
        </w:rPr>
        <w:t xml:space="preserve"> </w:t>
      </w:r>
      <w:proofErr w:type="spellStart"/>
      <w:r w:rsidRPr="00693A45">
        <w:rPr>
          <w:lang w:val="en-US"/>
        </w:rPr>
        <w:t>fritt</w:t>
      </w:r>
      <w:proofErr w:type="spellEnd"/>
      <w:r w:rsidRPr="00693A45">
        <w:rPr>
          <w:lang w:val="en-US"/>
        </w:rPr>
        <w:t xml:space="preserve"> å </w:t>
      </w:r>
      <w:proofErr w:type="spellStart"/>
      <w:r w:rsidRPr="00693A45">
        <w:rPr>
          <w:lang w:val="en-US"/>
        </w:rPr>
        <w:t>kunne</w:t>
      </w:r>
      <w:proofErr w:type="spellEnd"/>
      <w:r w:rsidRPr="00693A45">
        <w:rPr>
          <w:lang w:val="en-US"/>
        </w:rPr>
        <w:t xml:space="preserve"> </w:t>
      </w:r>
      <w:proofErr w:type="spellStart"/>
      <w:r w:rsidRPr="00693A45">
        <w:rPr>
          <w:lang w:val="en-US"/>
        </w:rPr>
        <w:t>bestemme</w:t>
      </w:r>
      <w:proofErr w:type="spellEnd"/>
      <w:r w:rsidRPr="00693A45">
        <w:rPr>
          <w:lang w:val="en-US"/>
        </w:rPr>
        <w:t xml:space="preserve"> sin </w:t>
      </w:r>
      <w:proofErr w:type="spellStart"/>
      <w:r w:rsidRPr="00693A45">
        <w:rPr>
          <w:lang w:val="en-US"/>
        </w:rPr>
        <w:t>politiske</w:t>
      </w:r>
      <w:proofErr w:type="spellEnd"/>
      <w:r w:rsidRPr="00693A45">
        <w:rPr>
          <w:lang w:val="en-US"/>
        </w:rPr>
        <w:t xml:space="preserve"> status og </w:t>
      </w:r>
      <w:proofErr w:type="spellStart"/>
      <w:r w:rsidRPr="00693A45">
        <w:rPr>
          <w:lang w:val="en-US"/>
        </w:rPr>
        <w:t>fritt</w:t>
      </w:r>
      <w:proofErr w:type="spellEnd"/>
      <w:r w:rsidRPr="00693A45">
        <w:rPr>
          <w:lang w:val="en-US"/>
        </w:rPr>
        <w:t xml:space="preserve"> </w:t>
      </w:r>
      <w:proofErr w:type="spellStart"/>
      <w:r w:rsidRPr="00693A45">
        <w:rPr>
          <w:lang w:val="en-US"/>
        </w:rPr>
        <w:t>fremme</w:t>
      </w:r>
      <w:proofErr w:type="spellEnd"/>
      <w:r w:rsidRPr="00693A45">
        <w:rPr>
          <w:lang w:val="en-US"/>
        </w:rPr>
        <w:t xml:space="preserve"> sin </w:t>
      </w:r>
      <w:proofErr w:type="spellStart"/>
      <w:r w:rsidRPr="00693A45">
        <w:rPr>
          <w:lang w:val="en-US"/>
        </w:rPr>
        <w:t>økonomiske</w:t>
      </w:r>
      <w:proofErr w:type="spellEnd"/>
      <w:r w:rsidRPr="00693A45">
        <w:rPr>
          <w:lang w:val="en-US"/>
        </w:rPr>
        <w:t xml:space="preserve">, </w:t>
      </w:r>
      <w:proofErr w:type="spellStart"/>
      <w:r w:rsidRPr="00693A45">
        <w:rPr>
          <w:lang w:val="en-US"/>
        </w:rPr>
        <w:t>sosiale</w:t>
      </w:r>
      <w:proofErr w:type="spellEnd"/>
      <w:r w:rsidRPr="00693A45">
        <w:rPr>
          <w:lang w:val="en-US"/>
        </w:rPr>
        <w:t xml:space="preserve"> og </w:t>
      </w:r>
      <w:proofErr w:type="spellStart"/>
      <w:r w:rsidRPr="00693A45">
        <w:rPr>
          <w:lang w:val="en-US"/>
        </w:rPr>
        <w:t>kulturelle</w:t>
      </w:r>
      <w:proofErr w:type="spellEnd"/>
      <w:r w:rsidRPr="00693A45">
        <w:rPr>
          <w:lang w:val="en-US"/>
        </w:rPr>
        <w:t xml:space="preserve"> </w:t>
      </w:r>
      <w:proofErr w:type="spellStart"/>
      <w:r w:rsidRPr="00693A45">
        <w:rPr>
          <w:lang w:val="en-US"/>
        </w:rPr>
        <w:t>utvikling</w:t>
      </w:r>
      <w:proofErr w:type="spellEnd"/>
      <w:r w:rsidRPr="00693A45">
        <w:rPr>
          <w:lang w:val="en-US"/>
        </w:rPr>
        <w:t xml:space="preserve">. </w:t>
      </w:r>
      <w:proofErr w:type="spellStart"/>
      <w:r w:rsidRPr="007C3DD0">
        <w:t>Käkkäläjärvi</w:t>
      </w:r>
      <w:proofErr w:type="spellEnd"/>
      <w:r w:rsidRPr="007C3DD0">
        <w:t>-saken er derfor godt egnet til å illustrere at bruken av artikkel 1 som moment ved tolkningen av artikkel 27 har gitt seg utslag i dynamiske og formålsorienterte tolkninger, som har utviklet og konkretisert det materielle innholdet i artikkel 27</w:t>
      </w:r>
      <w:r>
        <w:t>.</w:t>
      </w:r>
    </w:p>
    <w:p w14:paraId="7EB3E55D" w14:textId="42D777BC" w:rsidR="004E5409" w:rsidRDefault="004E5409" w:rsidP="004E5409">
      <w:pPr>
        <w:pStyle w:val="Overskrift3"/>
      </w:pPr>
      <w:bookmarkStart w:id="22" w:name="_Toc223433085"/>
      <w:r>
        <w:t>Artikkel 27</w:t>
      </w:r>
      <w:bookmarkEnd w:id="22"/>
    </w:p>
    <w:p w14:paraId="6649745E" w14:textId="080787B0" w:rsidR="004E5409" w:rsidRDefault="004E5409" w:rsidP="004E5409">
      <w:pPr>
        <w:pStyle w:val="Overskrift4"/>
      </w:pPr>
      <w:r>
        <w:t>Ordlyd og forholdet til SP artikkel 26</w:t>
      </w:r>
    </w:p>
    <w:p w14:paraId="597E2825" w14:textId="6C54748E" w:rsidR="004E5409" w:rsidRDefault="004E5409" w:rsidP="004E5409">
      <w:r w:rsidRPr="310DDEC5">
        <w:t>SP artikkel 27 etablerer et kulturvern for etniske, religiøse eller språklige minoriteter, og lyder:</w:t>
      </w:r>
    </w:p>
    <w:p w14:paraId="1A662903" w14:textId="79CD14DC" w:rsidR="004E5409" w:rsidRPr="00CD439F" w:rsidRDefault="00CD439F" w:rsidP="00393223">
      <w:pPr>
        <w:pStyle w:val="blokksit"/>
        <w:ind w:left="757"/>
        <w:rPr>
          <w:lang w:val="en-US"/>
        </w:rPr>
      </w:pPr>
      <w:r>
        <w:rPr>
          <w:lang w:val="en-US"/>
        </w:rPr>
        <w:t>«</w:t>
      </w:r>
      <w:r w:rsidR="004E5409" w:rsidRPr="00CD439F">
        <w:rPr>
          <w:lang w:val="en-US"/>
        </w:rPr>
        <w:t>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Pr>
          <w:lang w:val="en-US"/>
        </w:rPr>
        <w:t>»</w:t>
      </w:r>
    </w:p>
    <w:p w14:paraId="61FD992B" w14:textId="10A8CB78" w:rsidR="0094403C" w:rsidRDefault="004E5409" w:rsidP="004E5409">
      <w:r w:rsidRPr="005816B9">
        <w:t>SP artikkel 27 har som alt er redegjort for, vært tolket i lys av SP artikkel 1.</w:t>
      </w:r>
      <w:r>
        <w:t xml:space="preserve"> </w:t>
      </w:r>
      <w:r w:rsidRPr="00693A45">
        <w:t>Bestemmelsen må også ses i sammenheng med ikke-diskrimineringsbestemmelsen i SP artikkel 26:</w:t>
      </w:r>
    </w:p>
    <w:p w14:paraId="111C209E" w14:textId="72497A53" w:rsidR="00303661" w:rsidRPr="00CD439F" w:rsidRDefault="00CD439F" w:rsidP="00393223">
      <w:pPr>
        <w:pStyle w:val="blokksit"/>
        <w:ind w:left="757"/>
        <w:rPr>
          <w:lang w:val="en-US"/>
        </w:rPr>
      </w:pPr>
      <w:r>
        <w:rPr>
          <w:lang w:val="en-US"/>
        </w:rPr>
        <w:t>«</w:t>
      </w:r>
      <w:r w:rsidR="004E5409" w:rsidRPr="00CD439F">
        <w:rPr>
          <w:lang w:val="en-US"/>
        </w:rPr>
        <w:t xml:space="preserve">All persons are equal before the law and are entitled without any discrimination to the equal protection of the law. In this respect, the law shall prohibit any discrimination and guarantee to all persons equal and effective protection against </w:t>
      </w:r>
      <w:r w:rsidR="004E5409" w:rsidRPr="00CD439F">
        <w:rPr>
          <w:lang w:val="en-US"/>
        </w:rPr>
        <w:lastRenderedPageBreak/>
        <w:t xml:space="preserve">discrimination on any ground such as race, </w:t>
      </w:r>
      <w:proofErr w:type="spellStart"/>
      <w:r w:rsidR="004E5409" w:rsidRPr="00CD439F">
        <w:rPr>
          <w:lang w:val="en-US"/>
        </w:rPr>
        <w:t>colour</w:t>
      </w:r>
      <w:proofErr w:type="spellEnd"/>
      <w:r w:rsidR="004E5409" w:rsidRPr="00CD439F">
        <w:rPr>
          <w:lang w:val="en-US"/>
        </w:rPr>
        <w:t>, sex, language, religion, political or other opinion, national or social origin, property, birth or other status.</w:t>
      </w:r>
      <w:r>
        <w:rPr>
          <w:lang w:val="en-US"/>
        </w:rPr>
        <w:t>»</w:t>
      </w:r>
    </w:p>
    <w:p w14:paraId="6EDEF41E" w14:textId="77777777" w:rsidR="00303661" w:rsidRDefault="004E5409" w:rsidP="004E5409">
      <w:r w:rsidRPr="005816B9">
        <w:t>SP artikkel 27 gjør unntak fra det likebehandlingsprinsippet som artikkel 26 uttrykker. Personer som er beskyttet av artikkel 27 har – i motsetning til flertallsbefolkningen – et særlig krav på vern mot inngrep i sin kulturutøvelse. Kravet om vern av minoriteters kulturutøvelse vil etter forholdene også kunne inneholde et krav om positiv forskjellsbehandling</w:t>
      </w:r>
      <w:r>
        <w:t>,</w:t>
      </w:r>
      <w:r w:rsidRPr="005816B9">
        <w:t xml:space="preserve"> dersom dette er nødvendig for å sikre personer tilhørende minoritetsbefolkningen reell likebehandling med majoritetsbefolkningen.</w:t>
      </w:r>
    </w:p>
    <w:p w14:paraId="1E64D24F" w14:textId="258C3610" w:rsidR="004E5409" w:rsidRDefault="004E5409" w:rsidP="004E5409">
      <w:r w:rsidRPr="04C45840">
        <w:t xml:space="preserve">Mens det tidvis har vært reist tvil om samene er et urfolk, har det aldri vært reist tvil om at samene er en minoritet i det norske samfunnet og derfor er beskyttet av SP artikkel 27. For eksempel uttalte Høyesterett under behandlingen av Alta-skjønnet i 1982, at det er uomtvistet at </w:t>
      </w:r>
      <w:r w:rsidR="00CD439F">
        <w:t>«</w:t>
      </w:r>
      <w:r w:rsidRPr="00A80CBD">
        <w:t>samene er en etnisk minoritet i det norske samfunn og dermed beskyttet av art. 27</w:t>
      </w:r>
      <w:r w:rsidR="00CD439F">
        <w:t>»</w:t>
      </w:r>
      <w:r w:rsidRPr="04C45840">
        <w:t>.</w:t>
      </w:r>
      <w:r w:rsidR="00CD439F" w:rsidRPr="00CD439F">
        <w:rPr>
          <w:rStyle w:val="Fotnotereferanse"/>
        </w:rPr>
        <w:footnoteReference w:id="44"/>
      </w:r>
      <w:r w:rsidRPr="04C45840">
        <w:t xml:space="preserve"> </w:t>
      </w:r>
      <w:proofErr w:type="spellStart"/>
      <w:r w:rsidRPr="04C45840">
        <w:t>MRKs</w:t>
      </w:r>
      <w:proofErr w:type="spellEnd"/>
      <w:r w:rsidRPr="04C45840">
        <w:t xml:space="preserve"> første </w:t>
      </w:r>
      <w:r w:rsidR="00CD439F">
        <w:t>«</w:t>
      </w:r>
      <w:r w:rsidRPr="04C45840">
        <w:t>samiske</w:t>
      </w:r>
      <w:r w:rsidR="00CD439F">
        <w:t>»</w:t>
      </w:r>
      <w:r w:rsidRPr="04C45840">
        <w:t xml:space="preserve"> sak var </w:t>
      </w:r>
      <w:proofErr w:type="spellStart"/>
      <w:r w:rsidRPr="00CD439F">
        <w:rPr>
          <w:rStyle w:val="kursiv"/>
        </w:rPr>
        <w:t>Kitok</w:t>
      </w:r>
      <w:proofErr w:type="spellEnd"/>
      <w:r w:rsidRPr="00CD439F">
        <w:rPr>
          <w:rStyle w:val="kursiv"/>
        </w:rPr>
        <w:t xml:space="preserve"> mot Sverige</w:t>
      </w:r>
      <w:r w:rsidRPr="04C45840">
        <w:t xml:space="preserve"> som ble avgjort i 1988, og der MRK uten videre vurdering legger til grunn at samer tilhører en </w:t>
      </w:r>
      <w:r w:rsidR="00CD439F">
        <w:t>«</w:t>
      </w:r>
      <w:proofErr w:type="spellStart"/>
      <w:r w:rsidRPr="00C8554E">
        <w:t>ethnic</w:t>
      </w:r>
      <w:proofErr w:type="spellEnd"/>
      <w:r w:rsidRPr="00C8554E">
        <w:t xml:space="preserve"> </w:t>
      </w:r>
      <w:proofErr w:type="spellStart"/>
      <w:r w:rsidRPr="00C8554E">
        <w:t>minority</w:t>
      </w:r>
      <w:proofErr w:type="spellEnd"/>
      <w:r w:rsidR="00CD439F">
        <w:t>»</w:t>
      </w:r>
      <w:r w:rsidRPr="04C45840">
        <w:t xml:space="preserve"> og derfor nyter godt av beskyttelsen i SP artikkel 27.</w:t>
      </w:r>
      <w:r w:rsidR="00CD439F" w:rsidRPr="00CD439F">
        <w:rPr>
          <w:rStyle w:val="Fotnotereferanse"/>
        </w:rPr>
        <w:footnoteReference w:id="45"/>
      </w:r>
      <w:r w:rsidRPr="04C45840">
        <w:t xml:space="preserve"> Etter hvert har MRK brukt betegnelser som </w:t>
      </w:r>
      <w:r w:rsidR="00CD439F">
        <w:t>«</w:t>
      </w:r>
      <w:proofErr w:type="spellStart"/>
      <w:r w:rsidRPr="00C8554E">
        <w:t>the</w:t>
      </w:r>
      <w:proofErr w:type="spellEnd"/>
      <w:r w:rsidRPr="00C8554E">
        <w:t xml:space="preserve"> </w:t>
      </w:r>
      <w:proofErr w:type="spellStart"/>
      <w:r w:rsidRPr="00C8554E">
        <w:t>indigenous</w:t>
      </w:r>
      <w:proofErr w:type="spellEnd"/>
      <w:r w:rsidRPr="00C8554E">
        <w:t xml:space="preserve"> Sami </w:t>
      </w:r>
      <w:proofErr w:type="spellStart"/>
      <w:r w:rsidRPr="00C8554E">
        <w:t>people</w:t>
      </w:r>
      <w:proofErr w:type="spellEnd"/>
      <w:r w:rsidR="00CD439F">
        <w:t>»</w:t>
      </w:r>
      <w:r w:rsidRPr="04C45840">
        <w:t xml:space="preserve"> og </w:t>
      </w:r>
      <w:r w:rsidR="00CD439F">
        <w:t>«</w:t>
      </w:r>
      <w:proofErr w:type="spellStart"/>
      <w:r w:rsidRPr="00C8554E">
        <w:t>the</w:t>
      </w:r>
      <w:proofErr w:type="spellEnd"/>
      <w:r w:rsidRPr="00C8554E">
        <w:t xml:space="preserve"> Sami </w:t>
      </w:r>
      <w:proofErr w:type="spellStart"/>
      <w:r w:rsidRPr="00C8554E">
        <w:t>indigenous</w:t>
      </w:r>
      <w:proofErr w:type="spellEnd"/>
      <w:r w:rsidRPr="00C8554E">
        <w:t xml:space="preserve"> </w:t>
      </w:r>
      <w:proofErr w:type="spellStart"/>
      <w:r w:rsidRPr="00C8554E">
        <w:t>community</w:t>
      </w:r>
      <w:proofErr w:type="spellEnd"/>
      <w:r w:rsidR="00CD439F">
        <w:t>»</w:t>
      </w:r>
      <w:r w:rsidRPr="04C45840">
        <w:t>.</w:t>
      </w:r>
      <w:r w:rsidR="00CD439F" w:rsidRPr="00CD439F">
        <w:rPr>
          <w:rStyle w:val="Fotnotereferanse"/>
        </w:rPr>
        <w:footnoteReference w:id="46"/>
      </w:r>
    </w:p>
    <w:p w14:paraId="7853EF6D" w14:textId="48BDDADF" w:rsidR="00364117" w:rsidRDefault="00364117" w:rsidP="00364117">
      <w:pPr>
        <w:pStyle w:val="Overskrift4"/>
      </w:pPr>
      <w:r>
        <w:t>Rettighetssubjekt og søksmålskompetanse</w:t>
      </w:r>
    </w:p>
    <w:p w14:paraId="44DFE8D6" w14:textId="1C53BBED" w:rsidR="00364117" w:rsidRDefault="00364117" w:rsidP="00364117">
      <w:r w:rsidRPr="242C6949">
        <w:t>Etter ordlyden regulerer SP artikkel 27 en individuell rettighet (</w:t>
      </w:r>
      <w:r w:rsidR="00CD439F">
        <w:t>«</w:t>
      </w:r>
      <w:r w:rsidRPr="002C46CE">
        <w:t xml:space="preserve">persons </w:t>
      </w:r>
      <w:proofErr w:type="spellStart"/>
      <w:r w:rsidRPr="002C46CE">
        <w:t>belonging</w:t>
      </w:r>
      <w:proofErr w:type="spellEnd"/>
      <w:r w:rsidRPr="002C46CE">
        <w:t xml:space="preserve"> to</w:t>
      </w:r>
      <w:r w:rsidR="00CD439F">
        <w:t>»</w:t>
      </w:r>
      <w:r w:rsidRPr="242C6949">
        <w:t xml:space="preserve">). Dette er også bekreftet ved </w:t>
      </w:r>
      <w:proofErr w:type="spellStart"/>
      <w:r w:rsidRPr="242C6949">
        <w:t>MRKs</w:t>
      </w:r>
      <w:proofErr w:type="spellEnd"/>
      <w:r w:rsidRPr="242C6949">
        <w:t xml:space="preserve"> praksis. Selv om individer er rettighetssubjekter, har imidlertid kulturvernet et kollektivt preg ved at </w:t>
      </w:r>
      <w:r w:rsidR="008641BF">
        <w:t xml:space="preserve">det </w:t>
      </w:r>
      <w:r w:rsidRPr="242C6949">
        <w:t>gjelder rettigheter som kan utøves sammen med andre medlemmer av minoritetsgruppen (</w:t>
      </w:r>
      <w:r w:rsidR="00CD439F">
        <w:t>«</w:t>
      </w:r>
      <w:r w:rsidRPr="002C46CE">
        <w:t xml:space="preserve">in </w:t>
      </w:r>
      <w:proofErr w:type="spellStart"/>
      <w:r w:rsidRPr="002C46CE">
        <w:t>community</w:t>
      </w:r>
      <w:proofErr w:type="spellEnd"/>
      <w:r w:rsidRPr="002C46CE">
        <w:t xml:space="preserve"> </w:t>
      </w:r>
      <w:proofErr w:type="spellStart"/>
      <w:r w:rsidRPr="002C46CE">
        <w:t>with</w:t>
      </w:r>
      <w:proofErr w:type="spellEnd"/>
      <w:r w:rsidRPr="002C46CE">
        <w:t xml:space="preserve"> </w:t>
      </w:r>
      <w:proofErr w:type="spellStart"/>
      <w:r w:rsidRPr="002C46CE">
        <w:t>the</w:t>
      </w:r>
      <w:proofErr w:type="spellEnd"/>
      <w:r w:rsidRPr="002C46CE">
        <w:t xml:space="preserve"> </w:t>
      </w:r>
      <w:proofErr w:type="spellStart"/>
      <w:r w:rsidRPr="002C46CE">
        <w:t>other</w:t>
      </w:r>
      <w:proofErr w:type="spellEnd"/>
      <w:r w:rsidRPr="002C46CE">
        <w:t xml:space="preserve"> </w:t>
      </w:r>
      <w:proofErr w:type="spellStart"/>
      <w:r w:rsidRPr="002C46CE">
        <w:t>members</w:t>
      </w:r>
      <w:proofErr w:type="spellEnd"/>
      <w:r w:rsidRPr="002C46CE">
        <w:t xml:space="preserve"> </w:t>
      </w:r>
      <w:proofErr w:type="spellStart"/>
      <w:r w:rsidRPr="002C46CE">
        <w:t>of</w:t>
      </w:r>
      <w:proofErr w:type="spellEnd"/>
      <w:r w:rsidRPr="002C46CE">
        <w:t xml:space="preserve"> </w:t>
      </w:r>
      <w:proofErr w:type="spellStart"/>
      <w:r w:rsidRPr="002C46CE">
        <w:t>their</w:t>
      </w:r>
      <w:proofErr w:type="spellEnd"/>
      <w:r w:rsidRPr="002C46CE">
        <w:t xml:space="preserve"> </w:t>
      </w:r>
      <w:proofErr w:type="spellStart"/>
      <w:r w:rsidRPr="002C46CE">
        <w:t>group</w:t>
      </w:r>
      <w:proofErr w:type="spellEnd"/>
      <w:r w:rsidR="00CD439F">
        <w:t>»</w:t>
      </w:r>
      <w:r w:rsidRPr="242C6949">
        <w:t>). I sin generelle tolkningsuttalelse om artikkel 27 fra 1994 uttrykker MRK dette på følgende måte:</w:t>
      </w:r>
      <w:r w:rsidR="00CD439F" w:rsidRPr="00CD439F">
        <w:rPr>
          <w:rStyle w:val="Fotnotereferanse"/>
        </w:rPr>
        <w:footnoteReference w:id="47"/>
      </w:r>
    </w:p>
    <w:p w14:paraId="4BC71B47" w14:textId="18401E43" w:rsidR="00364117" w:rsidRPr="00CD439F" w:rsidRDefault="00CD439F" w:rsidP="00393223">
      <w:pPr>
        <w:pStyle w:val="blokksit"/>
        <w:ind w:left="757"/>
        <w:rPr>
          <w:lang w:val="en-US"/>
        </w:rPr>
      </w:pPr>
      <w:r>
        <w:rPr>
          <w:lang w:val="en-US"/>
        </w:rPr>
        <w:t>«</w:t>
      </w:r>
      <w:r w:rsidR="00364117" w:rsidRPr="00CD439F">
        <w:rPr>
          <w:lang w:val="en-US"/>
        </w:rPr>
        <w:t>Although the rights protected under article 27 are individual rights, they depend in turn on the ability of the minority group to maintain its culture, language or religion.</w:t>
      </w:r>
      <w:r>
        <w:rPr>
          <w:lang w:val="en-US"/>
        </w:rPr>
        <w:t>»</w:t>
      </w:r>
    </w:p>
    <w:p w14:paraId="37B4A507" w14:textId="217AB39D" w:rsidR="00303661" w:rsidRPr="00D26AE1" w:rsidRDefault="00364117" w:rsidP="00364117">
      <w:r w:rsidRPr="04C45840">
        <w:t>Et spørsmål i forlengelsen av dette, er hvem som kan bringe en påstått krenkelse av SP artikkel 27 inn for nasjonale domstoler og MRK. I</w:t>
      </w:r>
      <w:r>
        <w:t xml:space="preserve"> norsk rett</w:t>
      </w:r>
      <w:r w:rsidRPr="04C45840">
        <w:t xml:space="preserve"> er det etter inkorporasjonen av SP klart at både enkeltindivider og sammenslutninger av samer kan gå til søksmål </w:t>
      </w:r>
      <w:r w:rsidRPr="04C45840">
        <w:lastRenderedPageBreak/>
        <w:t>med påstand om at deres rettigheter etter artikkel 27 er krenket (forutsatt at de ellers oppfyller tvistelovens krav om søksmålskompetanse).</w:t>
      </w:r>
      <w:r w:rsidR="00CD439F" w:rsidRPr="00CD439F">
        <w:rPr>
          <w:rStyle w:val="Fotnotereferanse"/>
        </w:rPr>
        <w:footnoteReference w:id="48"/>
      </w:r>
    </w:p>
    <w:p w14:paraId="52CFA2CB" w14:textId="45FFF5DE" w:rsidR="00364117" w:rsidRDefault="00364117" w:rsidP="00364117">
      <w:r w:rsidRPr="2FB46E9B">
        <w:t>Det ble tidligere antatt at bare enkeltindivider hadde rett til å reise sak for MRK, og bare på egne vegne.</w:t>
      </w:r>
      <w:r w:rsidR="00CD439F" w:rsidRPr="00CD439F">
        <w:rPr>
          <w:rStyle w:val="Fotnotereferanse"/>
        </w:rPr>
        <w:footnoteReference w:id="49"/>
      </w:r>
      <w:r w:rsidRPr="2FB46E9B">
        <w:t xml:space="preserve"> I </w:t>
      </w:r>
      <w:proofErr w:type="spellStart"/>
      <w:r w:rsidRPr="00CD439F">
        <w:rPr>
          <w:rStyle w:val="kursiv"/>
        </w:rPr>
        <w:t>Lubicon</w:t>
      </w:r>
      <w:proofErr w:type="spellEnd"/>
      <w:r w:rsidRPr="00CD439F">
        <w:rPr>
          <w:rStyle w:val="kursiv"/>
        </w:rPr>
        <w:t>-Lake Band mot Canada</w:t>
      </w:r>
      <w:r w:rsidRPr="2FB46E9B">
        <w:t xml:space="preserve">, godtok imidlertid MRK at stammens høvding, Bernard </w:t>
      </w:r>
      <w:proofErr w:type="spellStart"/>
      <w:r w:rsidRPr="2FB46E9B">
        <w:t>Ominayak</w:t>
      </w:r>
      <w:proofErr w:type="spellEnd"/>
      <w:r w:rsidRPr="2FB46E9B">
        <w:t>, reiste saken på vegne av stammen.</w:t>
      </w:r>
      <w:r w:rsidR="00CD439F" w:rsidRPr="00CD439F">
        <w:rPr>
          <w:rStyle w:val="Fotnotereferanse"/>
        </w:rPr>
        <w:footnoteReference w:id="50"/>
      </w:r>
      <w:r w:rsidRPr="2FB46E9B">
        <w:t xml:space="preserve"> Dette er senere fulgt opp blant annet i </w:t>
      </w:r>
      <w:r w:rsidRPr="00CD439F">
        <w:rPr>
          <w:rStyle w:val="kursiv"/>
        </w:rPr>
        <w:t>Jonassen mot Norge</w:t>
      </w:r>
      <w:r w:rsidRPr="2FB46E9B">
        <w:t xml:space="preserve">, der lederen for </w:t>
      </w:r>
      <w:proofErr w:type="spellStart"/>
      <w:r w:rsidRPr="2FB46E9B">
        <w:t>Riast</w:t>
      </w:r>
      <w:proofErr w:type="spellEnd"/>
      <w:r w:rsidRPr="2FB46E9B">
        <w:t>/Hylling reinbeitedistrikt anla sak på vegne av distriktet.</w:t>
      </w:r>
      <w:r w:rsidR="00CD439F" w:rsidRPr="00CD439F">
        <w:rPr>
          <w:rStyle w:val="Fotnotereferanse"/>
        </w:rPr>
        <w:footnoteReference w:id="51"/>
      </w:r>
    </w:p>
    <w:p w14:paraId="3354AEE6" w14:textId="57BB87C0" w:rsidR="00303661" w:rsidRDefault="00364117" w:rsidP="00364117">
      <w:r w:rsidRPr="2FB46E9B">
        <w:t>I saker som er reist av en representant for en urfolksgruppe på vegne av gruppen</w:t>
      </w:r>
      <w:r>
        <w:t>,</w:t>
      </w:r>
      <w:r w:rsidRPr="2FB46E9B">
        <w:t xml:space="preserve"> vil det imidlertid bli vurdert om klageren er representativ for den gruppen kravet reises på vegne av. Et eksempel på dette er </w:t>
      </w:r>
      <w:r w:rsidRPr="00CD439F">
        <w:rPr>
          <w:rStyle w:val="kursiv"/>
        </w:rPr>
        <w:t>Howard mot Canada</w:t>
      </w:r>
      <w:r w:rsidRPr="2FB46E9B">
        <w:t xml:space="preserve">, der klageren anførte at kanadiske reguleringer av retten til jakt og fiske både krenket hans individuelle rettigheter etter artikkel 27 og rettighetene til </w:t>
      </w:r>
      <w:r w:rsidR="00CD439F">
        <w:t>«</w:t>
      </w:r>
      <w:r w:rsidRPr="2FB46E9B">
        <w:t xml:space="preserve">all </w:t>
      </w:r>
      <w:proofErr w:type="spellStart"/>
      <w:r w:rsidRPr="2FB46E9B">
        <w:t>other</w:t>
      </w:r>
      <w:proofErr w:type="spellEnd"/>
      <w:r w:rsidRPr="2FB46E9B">
        <w:t xml:space="preserve"> </w:t>
      </w:r>
      <w:proofErr w:type="spellStart"/>
      <w:r w:rsidRPr="2FB46E9B">
        <w:t>members</w:t>
      </w:r>
      <w:proofErr w:type="spellEnd"/>
      <w:r w:rsidRPr="2FB46E9B">
        <w:t xml:space="preserve"> </w:t>
      </w:r>
      <w:proofErr w:type="spellStart"/>
      <w:r w:rsidRPr="2FB46E9B">
        <w:t>of</w:t>
      </w:r>
      <w:proofErr w:type="spellEnd"/>
      <w:r w:rsidRPr="2FB46E9B">
        <w:t xml:space="preserve"> his First </w:t>
      </w:r>
      <w:proofErr w:type="spellStart"/>
      <w:r w:rsidRPr="2FB46E9B">
        <w:t>Nation</w:t>
      </w:r>
      <w:proofErr w:type="spellEnd"/>
      <w:r w:rsidR="00CD439F">
        <w:t>»</w:t>
      </w:r>
      <w:r w:rsidRPr="2FB46E9B">
        <w:t>. Den sistnevnte delen av klagen ble avvist på grunn av manglende representativitet.</w:t>
      </w:r>
      <w:r w:rsidR="00CD439F" w:rsidRPr="00CD439F">
        <w:rPr>
          <w:rStyle w:val="Fotnotereferanse"/>
        </w:rPr>
        <w:footnoteReference w:id="52"/>
      </w:r>
    </w:p>
    <w:p w14:paraId="7BF97F3A" w14:textId="282BCC98" w:rsidR="00364117" w:rsidRDefault="00196278" w:rsidP="00196278">
      <w:pPr>
        <w:pStyle w:val="Overskrift4"/>
      </w:pPr>
      <w:r w:rsidRPr="00196278">
        <w:t>Kulturbegrepet i SP artikkel 27</w:t>
      </w:r>
    </w:p>
    <w:p w14:paraId="06020BCE" w14:textId="6802190C" w:rsidR="00196278" w:rsidRDefault="00196278" w:rsidP="00196278">
      <w:pPr>
        <w:rPr>
          <w:lang w:val="en-US"/>
        </w:rPr>
      </w:pPr>
      <w:r w:rsidRPr="00277518">
        <w:t xml:space="preserve">SP artikkel 27 beskytter ikke bare ideelle kulturytringer som språk og religionsutøvelse, men også tradisjonell næringsutøvelse. </w:t>
      </w:r>
      <w:r w:rsidRPr="00AF67D8">
        <w:rPr>
          <w:lang w:val="en-US"/>
        </w:rPr>
        <w:t xml:space="preserve">I MRKs </w:t>
      </w:r>
      <w:proofErr w:type="spellStart"/>
      <w:r w:rsidRPr="00AF67D8">
        <w:rPr>
          <w:lang w:val="en-US"/>
        </w:rPr>
        <w:t>tolkningsuttalelse</w:t>
      </w:r>
      <w:proofErr w:type="spellEnd"/>
      <w:r w:rsidRPr="00AF67D8">
        <w:rPr>
          <w:lang w:val="en-US"/>
        </w:rPr>
        <w:t xml:space="preserve"> </w:t>
      </w:r>
      <w:proofErr w:type="spellStart"/>
      <w:r w:rsidRPr="00AF67D8">
        <w:rPr>
          <w:lang w:val="en-US"/>
        </w:rPr>
        <w:t>fra</w:t>
      </w:r>
      <w:proofErr w:type="spellEnd"/>
      <w:r w:rsidRPr="00AF67D8">
        <w:rPr>
          <w:lang w:val="en-US"/>
        </w:rPr>
        <w:t xml:space="preserve"> 1994 </w:t>
      </w:r>
      <w:proofErr w:type="spellStart"/>
      <w:r w:rsidRPr="00AF67D8">
        <w:rPr>
          <w:lang w:val="en-US"/>
        </w:rPr>
        <w:t>heter</w:t>
      </w:r>
      <w:proofErr w:type="spellEnd"/>
      <w:r w:rsidRPr="00AF67D8">
        <w:rPr>
          <w:lang w:val="en-US"/>
        </w:rPr>
        <w:t xml:space="preserve"> det:</w:t>
      </w:r>
      <w:r w:rsidR="00CD439F" w:rsidRPr="00CD439F">
        <w:rPr>
          <w:rStyle w:val="Fotnotereferanse"/>
        </w:rPr>
        <w:footnoteReference w:id="53"/>
      </w:r>
    </w:p>
    <w:p w14:paraId="6D30EDB9" w14:textId="372B58DA" w:rsidR="00196278" w:rsidRPr="00CD439F" w:rsidRDefault="00CD439F" w:rsidP="00393223">
      <w:pPr>
        <w:pStyle w:val="blokksit"/>
        <w:ind w:left="757"/>
        <w:rPr>
          <w:lang w:val="en-US"/>
        </w:rPr>
      </w:pPr>
      <w:r>
        <w:rPr>
          <w:lang w:val="en-US"/>
        </w:rPr>
        <w:t>«</w:t>
      </w:r>
      <w:r w:rsidR="00196278" w:rsidRPr="00CD439F">
        <w:rPr>
          <w:lang w:val="en-US"/>
        </w:rPr>
        <w:t>3.2 The enjoyment of the rights to which article 27 relates does not prejudice the sovereignty and territorial integrity of a State party. At the same time, one or other aspect of the rights of individuals protected under that article</w:t>
      </w:r>
      <w:r w:rsidR="00303661" w:rsidRPr="00CD439F">
        <w:rPr>
          <w:lang w:val="en-US"/>
        </w:rPr>
        <w:t xml:space="preserve"> – </w:t>
      </w:r>
      <w:r w:rsidR="00196278" w:rsidRPr="00CD439F">
        <w:rPr>
          <w:lang w:val="en-US"/>
        </w:rPr>
        <w:t>for example, to enjoy a particular culture</w:t>
      </w:r>
      <w:r w:rsidR="00303661" w:rsidRPr="00CD439F">
        <w:rPr>
          <w:lang w:val="en-US"/>
        </w:rPr>
        <w:t xml:space="preserve"> – </w:t>
      </w:r>
      <w:r w:rsidR="00196278" w:rsidRPr="00CD439F">
        <w:rPr>
          <w:lang w:val="en-US"/>
        </w:rPr>
        <w:t>may consist in a way of life which is closely associated with territory and use of its resources. This may particularly be true of members of indigenous communities constituting a minority.</w:t>
      </w:r>
    </w:p>
    <w:p w14:paraId="091CC2E7" w14:textId="77777777" w:rsidR="00196278" w:rsidRPr="00CD439F" w:rsidRDefault="00196278" w:rsidP="00393223">
      <w:pPr>
        <w:pStyle w:val="blokksit"/>
        <w:ind w:left="757"/>
        <w:rPr>
          <w:lang w:val="en-GB"/>
        </w:rPr>
      </w:pPr>
      <w:r w:rsidRPr="00CD439F">
        <w:rPr>
          <w:lang w:val="en-GB"/>
        </w:rPr>
        <w:t>…</w:t>
      </w:r>
    </w:p>
    <w:p w14:paraId="2F6DD297" w14:textId="355593F1" w:rsidR="00196278" w:rsidRPr="00CD439F" w:rsidRDefault="00196278" w:rsidP="00393223">
      <w:pPr>
        <w:pStyle w:val="blokksit"/>
        <w:ind w:left="757"/>
        <w:rPr>
          <w:lang w:val="en-US"/>
        </w:rPr>
      </w:pPr>
      <w:r w:rsidRPr="00CD439F">
        <w:rPr>
          <w:lang w:val="en-US"/>
        </w:rPr>
        <w:t>7. With regard to the exercise of the cultural rights protected under article 27, the Committee observes that culture manifests itself in many forms, including a particular way of life associated with the use of land resources, especially in the case of indigenous peoples. That right may include such traditional activities as fishing or hunting and the right to live in reserves protected by law…</w:t>
      </w:r>
      <w:r w:rsidR="00CD439F">
        <w:rPr>
          <w:lang w:val="en-US"/>
        </w:rPr>
        <w:t>»</w:t>
      </w:r>
    </w:p>
    <w:p w14:paraId="2225E351" w14:textId="3FACE05A" w:rsidR="00303661" w:rsidRDefault="00196278" w:rsidP="00196278">
      <w:r w:rsidRPr="00693A45">
        <w:rPr>
          <w:lang w:val="en-US"/>
        </w:rPr>
        <w:lastRenderedPageBreak/>
        <w:t xml:space="preserve">Kulturbegrepet </w:t>
      </w:r>
      <w:proofErr w:type="spellStart"/>
      <w:r w:rsidRPr="00693A45">
        <w:rPr>
          <w:lang w:val="en-US"/>
        </w:rPr>
        <w:t>i</w:t>
      </w:r>
      <w:proofErr w:type="spellEnd"/>
      <w:r w:rsidRPr="00693A45">
        <w:rPr>
          <w:lang w:val="en-US"/>
        </w:rPr>
        <w:t xml:space="preserve"> </w:t>
      </w:r>
      <w:proofErr w:type="spellStart"/>
      <w:r w:rsidRPr="00693A45">
        <w:rPr>
          <w:lang w:val="en-US"/>
        </w:rPr>
        <w:t>artikkel</w:t>
      </w:r>
      <w:proofErr w:type="spellEnd"/>
      <w:r w:rsidRPr="00693A45">
        <w:rPr>
          <w:lang w:val="en-US"/>
        </w:rPr>
        <w:t xml:space="preserve"> 27 </w:t>
      </w:r>
      <w:proofErr w:type="spellStart"/>
      <w:r w:rsidRPr="00693A45">
        <w:rPr>
          <w:lang w:val="en-US"/>
        </w:rPr>
        <w:t>omfatter</w:t>
      </w:r>
      <w:proofErr w:type="spellEnd"/>
      <w:r w:rsidRPr="00693A45">
        <w:rPr>
          <w:lang w:val="en-US"/>
        </w:rPr>
        <w:t xml:space="preserve"> </w:t>
      </w:r>
      <w:proofErr w:type="spellStart"/>
      <w:r w:rsidRPr="00693A45">
        <w:rPr>
          <w:lang w:val="en-US"/>
        </w:rPr>
        <w:t>dermed</w:t>
      </w:r>
      <w:proofErr w:type="spellEnd"/>
      <w:r w:rsidRPr="00693A45">
        <w:rPr>
          <w:lang w:val="en-US"/>
        </w:rPr>
        <w:t xml:space="preserve"> </w:t>
      </w:r>
      <w:proofErr w:type="spellStart"/>
      <w:r w:rsidRPr="00693A45">
        <w:rPr>
          <w:lang w:val="en-US"/>
        </w:rPr>
        <w:t>også</w:t>
      </w:r>
      <w:proofErr w:type="spellEnd"/>
      <w:r w:rsidRPr="00693A45">
        <w:rPr>
          <w:lang w:val="en-US"/>
        </w:rPr>
        <w:t xml:space="preserve"> </w:t>
      </w:r>
      <w:proofErr w:type="spellStart"/>
      <w:r w:rsidRPr="00693A45">
        <w:rPr>
          <w:lang w:val="en-US"/>
        </w:rPr>
        <w:t>spesielle</w:t>
      </w:r>
      <w:proofErr w:type="spellEnd"/>
      <w:r w:rsidRPr="00693A45">
        <w:rPr>
          <w:lang w:val="en-US"/>
        </w:rPr>
        <w:t xml:space="preserve"> </w:t>
      </w:r>
      <w:proofErr w:type="spellStart"/>
      <w:r w:rsidRPr="00693A45">
        <w:rPr>
          <w:lang w:val="en-US"/>
        </w:rPr>
        <w:t>leveveier</w:t>
      </w:r>
      <w:proofErr w:type="spellEnd"/>
      <w:r w:rsidRPr="00693A45">
        <w:rPr>
          <w:lang w:val="en-US"/>
        </w:rPr>
        <w:t xml:space="preserve"> </w:t>
      </w:r>
      <w:proofErr w:type="spellStart"/>
      <w:r w:rsidRPr="00693A45">
        <w:rPr>
          <w:lang w:val="en-US"/>
        </w:rPr>
        <w:t>knyttet</w:t>
      </w:r>
      <w:proofErr w:type="spellEnd"/>
      <w:r w:rsidRPr="00693A45">
        <w:rPr>
          <w:lang w:val="en-US"/>
        </w:rPr>
        <w:t xml:space="preserve"> </w:t>
      </w:r>
      <w:proofErr w:type="spellStart"/>
      <w:r w:rsidRPr="00693A45">
        <w:rPr>
          <w:lang w:val="en-US"/>
        </w:rPr>
        <w:t>til</w:t>
      </w:r>
      <w:proofErr w:type="spellEnd"/>
      <w:r w:rsidRPr="00693A45">
        <w:rPr>
          <w:lang w:val="en-US"/>
        </w:rPr>
        <w:t xml:space="preserve"> bruk av land og </w:t>
      </w:r>
      <w:proofErr w:type="spellStart"/>
      <w:r w:rsidRPr="00693A45">
        <w:rPr>
          <w:lang w:val="en-US"/>
        </w:rPr>
        <w:t>naturressurser</w:t>
      </w:r>
      <w:proofErr w:type="spellEnd"/>
      <w:r w:rsidRPr="00693A45">
        <w:rPr>
          <w:lang w:val="en-US"/>
        </w:rPr>
        <w:t xml:space="preserve">, og </w:t>
      </w:r>
      <w:proofErr w:type="spellStart"/>
      <w:r w:rsidRPr="00693A45">
        <w:rPr>
          <w:lang w:val="en-US"/>
        </w:rPr>
        <w:t>særlig</w:t>
      </w:r>
      <w:proofErr w:type="spellEnd"/>
      <w:r w:rsidRPr="00693A45">
        <w:rPr>
          <w:lang w:val="en-US"/>
        </w:rPr>
        <w:t xml:space="preserve"> </w:t>
      </w:r>
      <w:proofErr w:type="spellStart"/>
      <w:r w:rsidRPr="00693A45">
        <w:rPr>
          <w:lang w:val="en-US"/>
        </w:rPr>
        <w:t>gjelder</w:t>
      </w:r>
      <w:proofErr w:type="spellEnd"/>
      <w:r w:rsidRPr="00693A45">
        <w:rPr>
          <w:lang w:val="en-US"/>
        </w:rPr>
        <w:t xml:space="preserve"> </w:t>
      </w:r>
      <w:proofErr w:type="spellStart"/>
      <w:r w:rsidRPr="00693A45">
        <w:rPr>
          <w:lang w:val="en-US"/>
        </w:rPr>
        <w:t>dette</w:t>
      </w:r>
      <w:proofErr w:type="spellEnd"/>
      <w:r w:rsidRPr="00693A45">
        <w:rPr>
          <w:lang w:val="en-US"/>
        </w:rPr>
        <w:t xml:space="preserve"> for </w:t>
      </w:r>
      <w:proofErr w:type="spellStart"/>
      <w:r w:rsidRPr="00693A45">
        <w:rPr>
          <w:lang w:val="en-US"/>
        </w:rPr>
        <w:t>urfolk</w:t>
      </w:r>
      <w:proofErr w:type="spellEnd"/>
      <w:r w:rsidRPr="00693A45">
        <w:rPr>
          <w:lang w:val="en-US"/>
        </w:rPr>
        <w:t xml:space="preserve">. </w:t>
      </w:r>
      <w:proofErr w:type="spellStart"/>
      <w:r w:rsidRPr="04C45840">
        <w:t>MRKs</w:t>
      </w:r>
      <w:proofErr w:type="spellEnd"/>
      <w:r w:rsidRPr="04C45840">
        <w:t xml:space="preserve"> klagepraksis viser dessuten at ikke bare selve leveveiene er beskyttet, men også de områdene hvor leveveiene utøves, og som utgjør det materielle grunnlaget for urfolkets tradisjonelle leveveier og virksomhet. Når det gjelder samisk reindrift, kan det blant annet vises til </w:t>
      </w:r>
      <w:proofErr w:type="spellStart"/>
      <w:r w:rsidRPr="00CD439F">
        <w:rPr>
          <w:rStyle w:val="kursiv"/>
        </w:rPr>
        <w:t>Länsman</w:t>
      </w:r>
      <w:proofErr w:type="spellEnd"/>
      <w:r w:rsidRPr="00CD439F">
        <w:rPr>
          <w:rStyle w:val="kursiv"/>
        </w:rPr>
        <w:t>-sakene mot Finland</w:t>
      </w:r>
      <w:r w:rsidRPr="04C45840">
        <w:t xml:space="preserve">, </w:t>
      </w:r>
      <w:proofErr w:type="spellStart"/>
      <w:r w:rsidRPr="00CD439F">
        <w:rPr>
          <w:rStyle w:val="kursiv"/>
        </w:rPr>
        <w:t>Ääralä</w:t>
      </w:r>
      <w:proofErr w:type="spellEnd"/>
      <w:r w:rsidRPr="00CD439F">
        <w:rPr>
          <w:rStyle w:val="kursiv"/>
        </w:rPr>
        <w:t xml:space="preserve"> og </w:t>
      </w:r>
      <w:proofErr w:type="spellStart"/>
      <w:r w:rsidRPr="00CD439F">
        <w:rPr>
          <w:rStyle w:val="kursiv"/>
        </w:rPr>
        <w:t>Näkkäläjärvi</w:t>
      </w:r>
      <w:proofErr w:type="spellEnd"/>
      <w:r w:rsidRPr="00CD439F">
        <w:rPr>
          <w:rStyle w:val="kursiv"/>
        </w:rPr>
        <w:t xml:space="preserve"> mot Finland</w:t>
      </w:r>
      <w:r w:rsidRPr="04C45840">
        <w:t xml:space="preserve"> og </w:t>
      </w:r>
      <w:proofErr w:type="spellStart"/>
      <w:r w:rsidRPr="00CD439F">
        <w:rPr>
          <w:rStyle w:val="kursiv"/>
        </w:rPr>
        <w:t>Jovsset</w:t>
      </w:r>
      <w:proofErr w:type="spellEnd"/>
      <w:r w:rsidRPr="00CD439F">
        <w:rPr>
          <w:rStyle w:val="kursiv"/>
        </w:rPr>
        <w:t xml:space="preserve"> Ante Sara mot Norge</w:t>
      </w:r>
      <w:r w:rsidRPr="04C45840">
        <w:t>.</w:t>
      </w:r>
      <w:r w:rsidR="00CD439F" w:rsidRPr="00CD439F">
        <w:rPr>
          <w:rStyle w:val="Fotnotereferanse"/>
        </w:rPr>
        <w:footnoteReference w:id="54"/>
      </w:r>
      <w:r w:rsidRPr="04C45840">
        <w:t xml:space="preserve"> Den sistnevnte saken var ikke spesifikt knyttet til de områdene der reindriften foregikk, men viser at samisk reindrift som levevei nyter en relativt sterk beskyttelse etter artikkel 27.</w:t>
      </w:r>
    </w:p>
    <w:p w14:paraId="7D3128E5" w14:textId="250BFC2B" w:rsidR="00196278" w:rsidRPr="00693A45" w:rsidRDefault="00196278" w:rsidP="00196278">
      <w:pPr>
        <w:rPr>
          <w:lang w:val="en-US"/>
        </w:rPr>
      </w:pPr>
      <w:r w:rsidRPr="04C45840">
        <w:t xml:space="preserve">Det er også klarlagt gjennom </w:t>
      </w:r>
      <w:proofErr w:type="spellStart"/>
      <w:r w:rsidRPr="04C45840">
        <w:t>MRKs</w:t>
      </w:r>
      <w:proofErr w:type="spellEnd"/>
      <w:r w:rsidRPr="04C45840">
        <w:t xml:space="preserve"> praksis at SP artikkel 27 ikke bare beskytter tradisjonelle næringer, men også moderne måter å utøve slike næringer på. </w:t>
      </w:r>
      <w:r w:rsidRPr="00693A45">
        <w:rPr>
          <w:lang w:val="en-US"/>
        </w:rPr>
        <w:t xml:space="preserve">I </w:t>
      </w:r>
      <w:r w:rsidRPr="00CD439F">
        <w:rPr>
          <w:rStyle w:val="kursiv"/>
          <w:lang w:val="en-US"/>
        </w:rPr>
        <w:t xml:space="preserve">Ilmari </w:t>
      </w:r>
      <w:proofErr w:type="spellStart"/>
      <w:r w:rsidRPr="00CD439F">
        <w:rPr>
          <w:rStyle w:val="kursiv"/>
          <w:lang w:val="en-US"/>
        </w:rPr>
        <w:t>Länsman</w:t>
      </w:r>
      <w:proofErr w:type="spellEnd"/>
      <w:r w:rsidRPr="00CD439F">
        <w:rPr>
          <w:rStyle w:val="kursiv"/>
          <w:lang w:val="en-US"/>
        </w:rPr>
        <w:t xml:space="preserve"> mot Finland </w:t>
      </w:r>
      <w:proofErr w:type="spellStart"/>
      <w:r w:rsidRPr="00693A45">
        <w:rPr>
          <w:lang w:val="en-US"/>
        </w:rPr>
        <w:t>som</w:t>
      </w:r>
      <w:proofErr w:type="spellEnd"/>
      <w:r w:rsidRPr="00693A45">
        <w:rPr>
          <w:lang w:val="en-US"/>
        </w:rPr>
        <w:t xml:space="preserve"> </w:t>
      </w:r>
      <w:proofErr w:type="spellStart"/>
      <w:r w:rsidRPr="00693A45">
        <w:rPr>
          <w:lang w:val="en-US"/>
        </w:rPr>
        <w:t>ble</w:t>
      </w:r>
      <w:proofErr w:type="spellEnd"/>
      <w:r w:rsidRPr="00693A45">
        <w:rPr>
          <w:lang w:val="en-US"/>
        </w:rPr>
        <w:t xml:space="preserve"> </w:t>
      </w:r>
      <w:proofErr w:type="spellStart"/>
      <w:r w:rsidRPr="00693A45">
        <w:rPr>
          <w:lang w:val="en-US"/>
        </w:rPr>
        <w:t>avgjort</w:t>
      </w:r>
      <w:proofErr w:type="spellEnd"/>
      <w:r w:rsidRPr="00693A45">
        <w:rPr>
          <w:lang w:val="en-US"/>
        </w:rPr>
        <w:t xml:space="preserve"> </w:t>
      </w:r>
      <w:proofErr w:type="spellStart"/>
      <w:r w:rsidRPr="00693A45">
        <w:rPr>
          <w:lang w:val="en-US"/>
        </w:rPr>
        <w:t>i</w:t>
      </w:r>
      <w:proofErr w:type="spellEnd"/>
      <w:r w:rsidRPr="00693A45">
        <w:rPr>
          <w:lang w:val="en-US"/>
        </w:rPr>
        <w:t xml:space="preserve"> 1994, </w:t>
      </w:r>
      <w:proofErr w:type="spellStart"/>
      <w:r w:rsidRPr="00693A45">
        <w:rPr>
          <w:lang w:val="en-US"/>
        </w:rPr>
        <w:t>uttalte</w:t>
      </w:r>
      <w:proofErr w:type="spellEnd"/>
      <w:r w:rsidRPr="00693A45">
        <w:rPr>
          <w:lang w:val="en-US"/>
        </w:rPr>
        <w:t xml:space="preserve"> MRK:</w:t>
      </w:r>
      <w:r w:rsidR="00CD439F" w:rsidRPr="00CD439F">
        <w:rPr>
          <w:rStyle w:val="Fotnotereferanse"/>
        </w:rPr>
        <w:footnoteReference w:id="55"/>
      </w:r>
    </w:p>
    <w:p w14:paraId="72765AF5" w14:textId="5F8CA7B8" w:rsidR="00196278" w:rsidRPr="00CD439F" w:rsidRDefault="00CD439F" w:rsidP="00393223">
      <w:pPr>
        <w:pStyle w:val="blokksit"/>
        <w:ind w:left="757"/>
        <w:rPr>
          <w:lang w:val="en-US"/>
        </w:rPr>
      </w:pPr>
      <w:r>
        <w:rPr>
          <w:lang w:val="en-US"/>
        </w:rPr>
        <w:t>«</w:t>
      </w:r>
      <w:r w:rsidR="00196278" w:rsidRPr="00CD439F">
        <w:rPr>
          <w:lang w:val="en-US"/>
        </w:rPr>
        <w:t>… article 27 does not only protect traditional means of livelihood of national minorities, as indicated in the State party</w:t>
      </w:r>
      <w:r>
        <w:rPr>
          <w:lang w:val="en-US"/>
        </w:rPr>
        <w:t>’</w:t>
      </w:r>
      <w:r w:rsidR="00196278" w:rsidRPr="00CD439F">
        <w:rPr>
          <w:lang w:val="en-US"/>
        </w:rPr>
        <w:t>s submission. Therefore, that the authors may have adapted their methods of reindeer herding over the years and practice it with the help of modern technology does not prevent them from invoking article 27 of the Covenant.</w:t>
      </w:r>
      <w:r>
        <w:rPr>
          <w:lang w:val="en-US"/>
        </w:rPr>
        <w:t>»</w:t>
      </w:r>
    </w:p>
    <w:p w14:paraId="1B368BD0" w14:textId="2C433648" w:rsidR="00196278" w:rsidRDefault="00196278" w:rsidP="00196278">
      <w:pPr>
        <w:pStyle w:val="Overskrift4"/>
      </w:pPr>
      <w:r w:rsidRPr="00196278">
        <w:t>Vern mot omfattende inngrep</w:t>
      </w:r>
    </w:p>
    <w:p w14:paraId="7F180B14" w14:textId="3D83E4EA" w:rsidR="00196278" w:rsidRPr="005816B9" w:rsidRDefault="00196278" w:rsidP="00196278">
      <w:pPr>
        <w:rPr>
          <w:rFonts w:cs="Times New Roman"/>
        </w:rPr>
      </w:pPr>
      <w:r>
        <w:t>SP artikkel 27 er formulert slik at personer tilhørende de beskyttede minoritetsgruppene ikke skal bli nektet (</w:t>
      </w:r>
      <w:r w:rsidR="00CD439F">
        <w:t>«</w:t>
      </w:r>
      <w:proofErr w:type="spellStart"/>
      <w:r w:rsidRPr="001B5EC8">
        <w:t>shall</w:t>
      </w:r>
      <w:proofErr w:type="spellEnd"/>
      <w:r w:rsidRPr="001B5EC8">
        <w:t xml:space="preserve"> not be </w:t>
      </w:r>
      <w:proofErr w:type="spellStart"/>
      <w:r w:rsidRPr="001B5EC8">
        <w:t>denied</w:t>
      </w:r>
      <w:proofErr w:type="spellEnd"/>
      <w:r w:rsidR="00CD439F">
        <w:t>»</w:t>
      </w:r>
      <w:r>
        <w:t xml:space="preserve">) retten til å dyrke sin kultur. Av dette kan det utledes at artikkel 27 har en kjernesone i form av en </w:t>
      </w:r>
      <w:r w:rsidR="00CD439F">
        <w:t>«</w:t>
      </w:r>
      <w:r>
        <w:t>negativ</w:t>
      </w:r>
      <w:r w:rsidR="00CD439F">
        <w:t>»</w:t>
      </w:r>
      <w:r>
        <w:t xml:space="preserve"> forpliktelse for statene til å sørge for at verken enkelttiltak eller generelle reguleringer rammer retten til kulturutøvelse så hardt at virkningene av tiltakene eller reguleringene må anses som en nektelse av retten til kulturutøvelse i bestemmelsens forstand. I så måte etablerer artikkel 27 en materiell skranke mot for omfattende inngrep i retten.</w:t>
      </w:r>
    </w:p>
    <w:p w14:paraId="15D218C0" w14:textId="64A70120" w:rsidR="00196278" w:rsidRDefault="00196278" w:rsidP="00196278">
      <w:r w:rsidRPr="310DDEC5">
        <w:t xml:space="preserve">Statene har etter artikkel 27 plikt til selv ikke å iverksette tiltak eller reguleringer som kan anses som en </w:t>
      </w:r>
      <w:r w:rsidR="00CD439F">
        <w:t>«</w:t>
      </w:r>
      <w:proofErr w:type="spellStart"/>
      <w:r w:rsidRPr="0078384A">
        <w:t>denial</w:t>
      </w:r>
      <w:proofErr w:type="spellEnd"/>
      <w:r w:rsidR="00CD439F">
        <w:t>»</w:t>
      </w:r>
      <w:r w:rsidRPr="310DDEC5">
        <w:t xml:space="preserve"> av retten til kulturutøvelse. Det er heller ikke lenger omtvistet at staten også har en viss plikt til å beskytte minoriteter mot at private iverksetter tiltak som kan ha slike virkninger. For eksempel skriver </w:t>
      </w:r>
      <w:r w:rsidRPr="005F70DB">
        <w:t xml:space="preserve">Manfred Nowak og William A. </w:t>
      </w:r>
      <w:proofErr w:type="spellStart"/>
      <w:r w:rsidRPr="005F70DB">
        <w:t>Schabas</w:t>
      </w:r>
      <w:proofErr w:type="spellEnd"/>
      <w:r w:rsidRPr="005F70DB">
        <w:t xml:space="preserve"> i </w:t>
      </w:r>
      <w:r w:rsidRPr="310DDEC5">
        <w:t>sin kommentar</w:t>
      </w:r>
      <w:r>
        <w:t>utgave</w:t>
      </w:r>
      <w:r w:rsidRPr="310DDEC5">
        <w:t xml:space="preserve"> til S</w:t>
      </w:r>
      <w:r>
        <w:t>P</w:t>
      </w:r>
      <w:r w:rsidRPr="310DDEC5">
        <w:t xml:space="preserve"> at statenes plikt til også å beskytte minoriteter mot tiltak </w:t>
      </w:r>
      <w:r w:rsidRPr="310DDEC5">
        <w:lastRenderedPageBreak/>
        <w:t xml:space="preserve">fra private som kan utgjøre en nektelse av retten til kulturutøvelse </w:t>
      </w:r>
      <w:r w:rsidR="00CD439F">
        <w:t>«</w:t>
      </w:r>
      <w:proofErr w:type="spellStart"/>
      <w:r w:rsidRPr="00282058">
        <w:t>seems</w:t>
      </w:r>
      <w:proofErr w:type="spellEnd"/>
      <w:r w:rsidRPr="00282058">
        <w:t xml:space="preserve"> … to be </w:t>
      </w:r>
      <w:proofErr w:type="spellStart"/>
      <w:r w:rsidRPr="00282058">
        <w:t>no</w:t>
      </w:r>
      <w:proofErr w:type="spellEnd"/>
      <w:r w:rsidRPr="00282058">
        <w:t xml:space="preserve"> longer in </w:t>
      </w:r>
      <w:proofErr w:type="spellStart"/>
      <w:r w:rsidRPr="00282058">
        <w:t>dispute</w:t>
      </w:r>
      <w:proofErr w:type="spellEnd"/>
      <w:r w:rsidR="00CD439F">
        <w:t>»</w:t>
      </w:r>
      <w:r w:rsidRPr="310DDEC5">
        <w:t>.</w:t>
      </w:r>
      <w:r w:rsidR="00CD439F" w:rsidRPr="00CD439F">
        <w:rPr>
          <w:rStyle w:val="Fotnotereferanse"/>
        </w:rPr>
        <w:footnoteReference w:id="56"/>
      </w:r>
    </w:p>
    <w:p w14:paraId="4D34B034" w14:textId="28D65CFF" w:rsidR="00303661" w:rsidRDefault="00196278" w:rsidP="00196278">
      <w:r w:rsidRPr="04C45840">
        <w:t>MRK presiserer i tolkningsuttalelsen fra 1994 innholdet i statenes forpliktelse til å sørge for at det ikke foreligger en konvensjonsstridig nektelse av minoriteters rett til kulturutøvelse på følgende måte:</w:t>
      </w:r>
      <w:r w:rsidR="00CD439F" w:rsidRPr="00CD439F">
        <w:rPr>
          <w:rStyle w:val="Fotnotereferanse"/>
        </w:rPr>
        <w:footnoteReference w:id="57"/>
      </w:r>
    </w:p>
    <w:p w14:paraId="10753A53" w14:textId="7DA4DD28" w:rsidR="002F130A" w:rsidRPr="00CD439F" w:rsidRDefault="00CD439F" w:rsidP="00393223">
      <w:pPr>
        <w:pStyle w:val="blokksit"/>
        <w:ind w:left="757"/>
        <w:rPr>
          <w:lang w:val="en-US"/>
        </w:rPr>
      </w:pPr>
      <w:r>
        <w:rPr>
          <w:lang w:val="en-US"/>
        </w:rPr>
        <w:t>«</w:t>
      </w:r>
      <w:r w:rsidR="002F130A" w:rsidRPr="00CD439F">
        <w:rPr>
          <w:lang w:val="en-US"/>
        </w:rPr>
        <w:t xml:space="preserve">Although article 27 is expressed in negative terms, that article, nevertheless, does </w:t>
      </w:r>
      <w:proofErr w:type="spellStart"/>
      <w:r w:rsidR="002F130A" w:rsidRPr="00CD439F">
        <w:rPr>
          <w:lang w:val="en-US"/>
        </w:rPr>
        <w:t>recognise</w:t>
      </w:r>
      <w:proofErr w:type="spellEnd"/>
      <w:r w:rsidR="002F130A" w:rsidRPr="00CD439F">
        <w:rPr>
          <w:lang w:val="en-US"/>
        </w:rPr>
        <w:t xml:space="preserve"> the existence of a right and requires that it shall not be denied. Consequently, a State party is under an obligation to ensure that the existence and the exercise of this right are protected against their denial or violation.</w:t>
      </w:r>
      <w:r>
        <w:rPr>
          <w:lang w:val="en-US"/>
        </w:rPr>
        <w:t>»</w:t>
      </w:r>
    </w:p>
    <w:p w14:paraId="572ED184" w14:textId="589682D6" w:rsidR="00303661" w:rsidRDefault="002F130A" w:rsidP="002F130A">
      <w:pPr>
        <w:rPr>
          <w:sz w:val="20"/>
          <w:szCs w:val="20"/>
          <w:lang w:val="en-US"/>
        </w:rPr>
      </w:pPr>
      <w:r w:rsidRPr="0D0E0FD8">
        <w:t xml:space="preserve">Det sentrale spørsmålet i de fleste sakene </w:t>
      </w:r>
      <w:r>
        <w:t xml:space="preserve">om artikkel 27 </w:t>
      </w:r>
      <w:r w:rsidRPr="0D0E0FD8">
        <w:t xml:space="preserve">MRK har behandlet, er ikke om det foreligger en nektelse av retten til kulturutøvelse, men om mulighetene til kulturutøvelse </w:t>
      </w:r>
      <w:r>
        <w:t xml:space="preserve">er </w:t>
      </w:r>
      <w:r w:rsidRPr="0D0E0FD8">
        <w:t xml:space="preserve">så sterkt </w:t>
      </w:r>
      <w:r>
        <w:t xml:space="preserve">svekket </w:t>
      </w:r>
      <w:r w:rsidRPr="0D0E0FD8">
        <w:t>at virkningene kan sidestilles med en nektelse</w:t>
      </w:r>
      <w:r>
        <w:t xml:space="preserve">. </w:t>
      </w:r>
      <w:r w:rsidRPr="00FE604B">
        <w:rPr>
          <w:lang w:val="en-US"/>
        </w:rPr>
        <w:t xml:space="preserve">I </w:t>
      </w:r>
      <w:r w:rsidRPr="00CD439F">
        <w:rPr>
          <w:rStyle w:val="kursiv"/>
          <w:lang w:val="en-US"/>
        </w:rPr>
        <w:t xml:space="preserve">Ilmari </w:t>
      </w:r>
      <w:proofErr w:type="spellStart"/>
      <w:r w:rsidRPr="00CD439F">
        <w:rPr>
          <w:rStyle w:val="kursiv"/>
          <w:lang w:val="en-US"/>
        </w:rPr>
        <w:t>Länsman</w:t>
      </w:r>
      <w:proofErr w:type="spellEnd"/>
      <w:r w:rsidRPr="00CD439F">
        <w:rPr>
          <w:rStyle w:val="kursiv"/>
          <w:lang w:val="en-US"/>
        </w:rPr>
        <w:t xml:space="preserve"> mot Finland</w:t>
      </w:r>
      <w:r w:rsidRPr="00FE604B">
        <w:rPr>
          <w:lang w:val="en-US"/>
        </w:rPr>
        <w:t xml:space="preserve"> va</w:t>
      </w:r>
      <w:r>
        <w:rPr>
          <w:lang w:val="en-US"/>
        </w:rPr>
        <w:t xml:space="preserve">r </w:t>
      </w:r>
      <w:proofErr w:type="spellStart"/>
      <w:r>
        <w:rPr>
          <w:lang w:val="en-US"/>
        </w:rPr>
        <w:t>s</w:t>
      </w:r>
      <w:r w:rsidRPr="0D0E0FD8">
        <w:rPr>
          <w:lang w:val="en-US"/>
        </w:rPr>
        <w:t>pørsmålet</w:t>
      </w:r>
      <w:proofErr w:type="spellEnd"/>
      <w:r>
        <w:rPr>
          <w:lang w:val="en-US"/>
        </w:rPr>
        <w:t xml:space="preserve"> </w:t>
      </w:r>
      <w:r w:rsidRPr="0D0E0FD8">
        <w:rPr>
          <w:lang w:val="en-US"/>
        </w:rPr>
        <w:t xml:space="preserve">om </w:t>
      </w:r>
      <w:r w:rsidR="00CD439F">
        <w:rPr>
          <w:lang w:val="en-US"/>
        </w:rPr>
        <w:t>«</w:t>
      </w:r>
      <w:r w:rsidRPr="003428A6">
        <w:rPr>
          <w:lang w:val="en-US"/>
        </w:rPr>
        <w:t xml:space="preserve">the impact of the quarrying in Mount </w:t>
      </w:r>
      <w:proofErr w:type="spellStart"/>
      <w:r w:rsidRPr="003428A6">
        <w:rPr>
          <w:lang w:val="en-US"/>
        </w:rPr>
        <w:t>Riutusvaara</w:t>
      </w:r>
      <w:proofErr w:type="spellEnd"/>
      <w:r w:rsidRPr="003428A6">
        <w:rPr>
          <w:lang w:val="en-US"/>
        </w:rPr>
        <w:t xml:space="preserve"> is so substantial that it effectively deny to the authors the right to enjoy their cultural rights in that region</w:t>
      </w:r>
      <w:r w:rsidRPr="0D0E0FD8">
        <w:rPr>
          <w:lang w:val="en-US"/>
        </w:rPr>
        <w:t>.</w:t>
      </w:r>
      <w:r w:rsidR="00CD439F">
        <w:rPr>
          <w:sz w:val="20"/>
          <w:szCs w:val="20"/>
          <w:lang w:val="en-US"/>
        </w:rPr>
        <w:t>»</w:t>
      </w:r>
      <w:r w:rsidR="00CD439F" w:rsidRPr="00CD439F">
        <w:rPr>
          <w:rStyle w:val="Fotnotereferanse"/>
        </w:rPr>
        <w:footnoteReference w:id="58"/>
      </w:r>
    </w:p>
    <w:p w14:paraId="21C8D34D" w14:textId="79589A92" w:rsidR="002F130A" w:rsidRDefault="008E6119" w:rsidP="008E6119">
      <w:pPr>
        <w:pStyle w:val="Overskrift4"/>
      </w:pPr>
      <w:r w:rsidRPr="008E6119">
        <w:t>Kumulative inngrep</w:t>
      </w:r>
    </w:p>
    <w:p w14:paraId="1F7D4874" w14:textId="7358F3D8" w:rsidR="00CB38E1" w:rsidRDefault="00CB38E1" w:rsidP="00CB38E1">
      <w:r w:rsidRPr="0D0E0FD8">
        <w:t xml:space="preserve">I </w:t>
      </w:r>
      <w:proofErr w:type="spellStart"/>
      <w:r w:rsidRPr="00CD439F">
        <w:rPr>
          <w:rStyle w:val="kursiv"/>
        </w:rPr>
        <w:t>Jouni</w:t>
      </w:r>
      <w:proofErr w:type="spellEnd"/>
      <w:r w:rsidRPr="00CD439F">
        <w:rPr>
          <w:rStyle w:val="kursiv"/>
        </w:rPr>
        <w:t xml:space="preserve"> E. </w:t>
      </w:r>
      <w:proofErr w:type="spellStart"/>
      <w:r w:rsidRPr="00CD439F">
        <w:rPr>
          <w:rStyle w:val="kursiv"/>
        </w:rPr>
        <w:t>Länsman</w:t>
      </w:r>
      <w:proofErr w:type="spellEnd"/>
      <w:r w:rsidRPr="00CD439F">
        <w:rPr>
          <w:rStyle w:val="kursiv"/>
        </w:rPr>
        <w:t xml:space="preserve"> mot Finland</w:t>
      </w:r>
      <w:r w:rsidRPr="0D0E0FD8">
        <w:t xml:space="preserve">, som ble avgjort i 1996, to år etter Ilmari </w:t>
      </w:r>
      <w:proofErr w:type="spellStart"/>
      <w:r w:rsidRPr="0D0E0FD8">
        <w:t>Länsman</w:t>
      </w:r>
      <w:proofErr w:type="spellEnd"/>
      <w:r w:rsidRPr="0D0E0FD8">
        <w:t>-saken, påpekte MRK også at det ved vurderingen av om artikkel 27 er overtrådt, må</w:t>
      </w:r>
      <w:r w:rsidR="00303661">
        <w:t xml:space="preserve"> </w:t>
      </w:r>
      <w:r w:rsidRPr="0D0E0FD8">
        <w:t>ses hen til hvilke tiltak som tidligere har vært gjennomført i tvisteområdet:</w:t>
      </w:r>
      <w:r w:rsidR="00CD439F" w:rsidRPr="00CD439F">
        <w:rPr>
          <w:rStyle w:val="Fotnotereferanse"/>
        </w:rPr>
        <w:footnoteReference w:id="59"/>
      </w:r>
    </w:p>
    <w:p w14:paraId="24514DF4" w14:textId="5009EFC5" w:rsidR="00CB38E1" w:rsidRPr="00CD439F" w:rsidRDefault="00CD439F" w:rsidP="00393223">
      <w:pPr>
        <w:pStyle w:val="blokksit"/>
        <w:ind w:left="757"/>
        <w:rPr>
          <w:lang w:val="en-US"/>
        </w:rPr>
      </w:pPr>
      <w:r>
        <w:rPr>
          <w:lang w:val="en-US"/>
        </w:rPr>
        <w:t>«</w:t>
      </w:r>
      <w:r w:rsidR="00CB38E1" w:rsidRPr="00CD439F">
        <w:rPr>
          <w:lang w:val="en-US"/>
        </w:rPr>
        <w:t>… The State party must bear in mind when taking steps affecting the rights under article 27, that though different activities in themselves may not constitute a violation of this article, such activities, taken together, may erode the rights of Sami people to enjoy their own culture.</w:t>
      </w:r>
      <w:r>
        <w:rPr>
          <w:lang w:val="en-US"/>
        </w:rPr>
        <w:t>»</w:t>
      </w:r>
    </w:p>
    <w:p w14:paraId="447BAB11" w14:textId="77777777" w:rsidR="00303661" w:rsidRDefault="00CB38E1" w:rsidP="00CB38E1">
      <w:r w:rsidRPr="0E32E05E">
        <w:t xml:space="preserve">Sammenholdt med det forholdet at SP artikkel 27 stiller opp en individuell rettighet og at vurderingen er knyttet til et tiltaks virkninger i det området tiltaket er gjennomført, tilsier dette også </w:t>
      </w:r>
      <w:r>
        <w:t xml:space="preserve">at </w:t>
      </w:r>
      <w:r w:rsidRPr="0E32E05E">
        <w:t>relativt små tiltak kan være problematiske. Avgjørende for om det vil foreligge et brudd på statens forpliktelser, er ikke størrelsen på tiltaket som sådan, men tiltakets antatte skadevirkninger i det området der tiltaket planlegges iverksatt, og for de individene det berører. Medfører et tiltak en total nektelse eller en omfattende</w:t>
      </w:r>
      <w:r>
        <w:t xml:space="preserve"> </w:t>
      </w:r>
      <w:r>
        <w:lastRenderedPageBreak/>
        <w:t>begrensning</w:t>
      </w:r>
      <w:r w:rsidRPr="0E32E05E">
        <w:t xml:space="preserve"> av klagerens mulighet til å dyrke sin kultur, vil artikkel 27 være krenket også om tiltaket har liten eller ingen betydning for gruppens samlede kulturutøvelse.</w:t>
      </w:r>
    </w:p>
    <w:p w14:paraId="466C4DB4" w14:textId="447F1796" w:rsidR="00CB38E1" w:rsidRDefault="00CB38E1" w:rsidP="00CB38E1">
      <w:proofErr w:type="spellStart"/>
      <w:r w:rsidRPr="0E32E05E">
        <w:t>Jovsset</w:t>
      </w:r>
      <w:proofErr w:type="spellEnd"/>
      <w:r w:rsidRPr="0E32E05E">
        <w:t xml:space="preserve"> Ante Sara-saken illustrerer dette godt. Her konkluderte MRK med at det var en krenkelse av Saras rettigheter etter SP artikkel 27 at han var pålagt å redusere sin reinflokk fra 116 til 75 dyr, selv om tiltaket ikke hadde negativ innvirkning på den samiske reindriften i Norge som helhet. Saken viser også at det i motsetning til hva Høyesteretts flertall synes å ha antatt,</w:t>
      </w:r>
      <w:r w:rsidR="00CD439F" w:rsidRPr="00CD439F">
        <w:rPr>
          <w:rStyle w:val="Fotnotereferanse"/>
        </w:rPr>
        <w:footnoteReference w:id="60"/>
      </w:r>
      <w:r w:rsidRPr="0E32E05E">
        <w:t xml:space="preserve"> ikke nødvendigvis går et klart skille mellom saker som gjelder naturinngrep og andre tiltak som iverksettes for å sikre storsamfunnets behov, og reguleringer som iverksettes av hensyn til urfolket som helhet, men som kan ha negative virkninger for enkeltpersoner eller mindre grupper innad i urfolket.</w:t>
      </w:r>
    </w:p>
    <w:p w14:paraId="11B55991" w14:textId="3146BED9" w:rsidR="00CB38E1" w:rsidRDefault="00CB38E1" w:rsidP="00CB38E1">
      <w:pPr>
        <w:pStyle w:val="Overskrift4"/>
      </w:pPr>
      <w:r>
        <w:t>Nærmere om grensene for tillatte inngrep</w:t>
      </w:r>
    </w:p>
    <w:p w14:paraId="4F4A3158" w14:textId="78EABE39" w:rsidR="00E86DE6" w:rsidRPr="00693A45" w:rsidRDefault="00E86DE6" w:rsidP="00E86DE6">
      <w:pPr>
        <w:rPr>
          <w:lang w:val="en-US"/>
        </w:rPr>
      </w:pPr>
      <w:r w:rsidRPr="0E32E05E">
        <w:t xml:space="preserve">Rekkevidden av det inngrepsvernet som artikkel 27 etablerer, må vurderes konkret i hver enkel sak. </w:t>
      </w:r>
      <w:r w:rsidRPr="00693A45">
        <w:rPr>
          <w:lang w:val="en-US"/>
        </w:rPr>
        <w:t xml:space="preserve">I </w:t>
      </w:r>
      <w:r w:rsidRPr="00CD439F">
        <w:rPr>
          <w:rStyle w:val="kursiv"/>
          <w:lang w:val="en-US"/>
        </w:rPr>
        <w:t xml:space="preserve">Ilmari </w:t>
      </w:r>
      <w:proofErr w:type="spellStart"/>
      <w:r w:rsidRPr="00CD439F">
        <w:rPr>
          <w:rStyle w:val="kursiv"/>
          <w:lang w:val="en-US"/>
        </w:rPr>
        <w:t>Länsmann</w:t>
      </w:r>
      <w:proofErr w:type="spellEnd"/>
      <w:r w:rsidRPr="00CD439F">
        <w:rPr>
          <w:rStyle w:val="kursiv"/>
          <w:lang w:val="en-US"/>
        </w:rPr>
        <w:t xml:space="preserve"> mot Finland </w:t>
      </w:r>
      <w:proofErr w:type="spellStart"/>
      <w:r w:rsidRPr="00693A45">
        <w:rPr>
          <w:lang w:val="en-US"/>
        </w:rPr>
        <w:t>uttalte</w:t>
      </w:r>
      <w:proofErr w:type="spellEnd"/>
      <w:r w:rsidRPr="00693A45">
        <w:rPr>
          <w:lang w:val="en-US"/>
        </w:rPr>
        <w:t xml:space="preserve"> MRK om </w:t>
      </w:r>
      <w:proofErr w:type="spellStart"/>
      <w:r w:rsidRPr="00693A45">
        <w:rPr>
          <w:lang w:val="en-US"/>
        </w:rPr>
        <w:t>utgangspunktet</w:t>
      </w:r>
      <w:proofErr w:type="spellEnd"/>
      <w:r w:rsidRPr="00693A45">
        <w:rPr>
          <w:lang w:val="en-US"/>
        </w:rPr>
        <w:t xml:space="preserve"> for </w:t>
      </w:r>
      <w:proofErr w:type="spellStart"/>
      <w:r w:rsidRPr="00693A45">
        <w:rPr>
          <w:lang w:val="en-US"/>
        </w:rPr>
        <w:t>vurderingen</w:t>
      </w:r>
      <w:proofErr w:type="spellEnd"/>
      <w:r w:rsidRPr="00693A45">
        <w:rPr>
          <w:lang w:val="en-US"/>
        </w:rPr>
        <w:t>:</w:t>
      </w:r>
      <w:r w:rsidR="00CD439F" w:rsidRPr="00CD439F">
        <w:rPr>
          <w:rStyle w:val="Fotnotereferanse"/>
        </w:rPr>
        <w:footnoteReference w:id="61"/>
      </w:r>
    </w:p>
    <w:p w14:paraId="63BA4867" w14:textId="4E55A1BB" w:rsidR="00CB38E1" w:rsidRPr="00CD439F" w:rsidRDefault="00CD439F" w:rsidP="00393223">
      <w:pPr>
        <w:pStyle w:val="blokksit"/>
        <w:ind w:left="757"/>
        <w:rPr>
          <w:lang w:val="en-US"/>
        </w:rPr>
      </w:pPr>
      <w:r>
        <w:rPr>
          <w:lang w:val="en-US"/>
        </w:rPr>
        <w:t>«</w:t>
      </w:r>
      <w:r w:rsidR="00E86DE6" w:rsidRPr="00CD439F">
        <w:rPr>
          <w:lang w:val="en-US"/>
        </w:rPr>
        <w:t>Article 27 requires that a member of a minority shall not be denied his right to enjoy his own culture. Thus, measures whose impact to a denial of that right will not be compatible with the obligation under article 27. However, measures that have a certain limited impact on the way of life of persons belonging to a minority will not necessarily amount to a denial of the right under article 27.</w:t>
      </w:r>
      <w:r>
        <w:rPr>
          <w:lang w:val="en-US"/>
        </w:rPr>
        <w:t>»</w:t>
      </w:r>
    </w:p>
    <w:p w14:paraId="62D95CD4" w14:textId="4F215971" w:rsidR="00303661" w:rsidRDefault="00E86DE6" w:rsidP="00E86DE6">
      <w:r w:rsidRPr="3592919B">
        <w:t xml:space="preserve">Uttalelsen om det </w:t>
      </w:r>
      <w:r w:rsidRPr="008B280B">
        <w:t>ikke nødvendigvis</w:t>
      </w:r>
      <w:r w:rsidRPr="3592919B">
        <w:t xml:space="preserve"> er et brudd på artikkel 27 dersom saken gjelder tiltak som har </w:t>
      </w:r>
      <w:r w:rsidRPr="008B280B">
        <w:t>en viss begrenset innvirkning</w:t>
      </w:r>
      <w:r w:rsidRPr="00CD439F">
        <w:rPr>
          <w:rStyle w:val="kursiv"/>
        </w:rPr>
        <w:t xml:space="preserve"> </w:t>
      </w:r>
      <w:r w:rsidRPr="3592919B">
        <w:t>på de berørte individenes levemåte, er senere gjentatt i flere saker.</w:t>
      </w:r>
      <w:r w:rsidR="00CD439F" w:rsidRPr="00CD439F">
        <w:rPr>
          <w:rStyle w:val="Fotnotereferanse"/>
        </w:rPr>
        <w:footnoteReference w:id="62"/>
      </w:r>
      <w:r w:rsidRPr="3592919B">
        <w:t xml:space="preserve"> Motsetningsvis tilsier dette at tiltak som har mer enn en viss begrenset innvirkning kan utgjøre en krenkelse. Uttalelsen gir imidlertid lite grunnlag for slutninger om hvor grensen går i enkeltsaker.</w:t>
      </w:r>
    </w:p>
    <w:p w14:paraId="395F0652" w14:textId="2825743E" w:rsidR="00E86DE6" w:rsidRPr="00693A45" w:rsidRDefault="00E86DE6" w:rsidP="00E86DE6">
      <w:r w:rsidRPr="00853769">
        <w:t xml:space="preserve">Et spørsmål som MRK har reist i flere saker der det har vært spørsmål om et tiltak ligger innenfor rammene av artikkel 27, er om klagerens tradisjonelle virksomhet kan fortsette </w:t>
      </w:r>
      <w:r>
        <w:t>å</w:t>
      </w:r>
      <w:r w:rsidRPr="00853769">
        <w:t xml:space="preserve"> gi økonomisk utbytte også etter at tiltaket er gjennomført. I Ilmari </w:t>
      </w:r>
      <w:proofErr w:type="spellStart"/>
      <w:r w:rsidRPr="00853769">
        <w:t>Länsman</w:t>
      </w:r>
      <w:proofErr w:type="spellEnd"/>
      <w:r w:rsidRPr="00853769">
        <w:t xml:space="preserve"> mot Finland fremholdt MRK at tiltaket måtte iverksettes på en måte som innebærer at </w:t>
      </w:r>
      <w:r w:rsidR="00CD439F">
        <w:t>«</w:t>
      </w:r>
      <w:proofErr w:type="spellStart"/>
      <w:r w:rsidRPr="00853769">
        <w:t>the</w:t>
      </w:r>
      <w:proofErr w:type="spellEnd"/>
      <w:r w:rsidRPr="00853769">
        <w:t xml:space="preserve"> </w:t>
      </w:r>
      <w:proofErr w:type="spellStart"/>
      <w:r w:rsidRPr="00853769">
        <w:lastRenderedPageBreak/>
        <w:t>authours</w:t>
      </w:r>
      <w:proofErr w:type="spellEnd"/>
      <w:r w:rsidRPr="00853769">
        <w:t xml:space="preserve"> </w:t>
      </w:r>
      <w:proofErr w:type="spellStart"/>
      <w:r w:rsidRPr="00853769">
        <w:t>continue</w:t>
      </w:r>
      <w:proofErr w:type="spellEnd"/>
      <w:r w:rsidRPr="00853769">
        <w:t xml:space="preserve"> to </w:t>
      </w:r>
      <w:proofErr w:type="spellStart"/>
      <w:r w:rsidRPr="00853769">
        <w:t>benefit</w:t>
      </w:r>
      <w:proofErr w:type="spellEnd"/>
      <w:r w:rsidRPr="00853769">
        <w:t xml:space="preserve"> from </w:t>
      </w:r>
      <w:proofErr w:type="spellStart"/>
      <w:r w:rsidRPr="00853769">
        <w:t>reindeer</w:t>
      </w:r>
      <w:proofErr w:type="spellEnd"/>
      <w:r w:rsidRPr="00853769">
        <w:t xml:space="preserve"> </w:t>
      </w:r>
      <w:proofErr w:type="spellStart"/>
      <w:r w:rsidRPr="00853769">
        <w:t>husbandry</w:t>
      </w:r>
      <w:proofErr w:type="spellEnd"/>
      <w:r w:rsidRPr="00853769">
        <w:t>.</w:t>
      </w:r>
      <w:r w:rsidR="00CD439F">
        <w:t>»</w:t>
      </w:r>
      <w:r w:rsidR="00CD439F" w:rsidRPr="00CD439F">
        <w:rPr>
          <w:rStyle w:val="Fotnotereferanse"/>
        </w:rPr>
        <w:footnoteReference w:id="63"/>
      </w:r>
      <w:r w:rsidRPr="00853769">
        <w:t xml:space="preserve"> Dette er også trukket frem i </w:t>
      </w:r>
      <w:proofErr w:type="spellStart"/>
      <w:r w:rsidRPr="00CD439F">
        <w:rPr>
          <w:rStyle w:val="kursiv"/>
        </w:rPr>
        <w:t>Äärelä</w:t>
      </w:r>
      <w:proofErr w:type="spellEnd"/>
      <w:r w:rsidRPr="00CD439F">
        <w:rPr>
          <w:rStyle w:val="kursiv"/>
        </w:rPr>
        <w:t xml:space="preserve"> og </w:t>
      </w:r>
      <w:proofErr w:type="spellStart"/>
      <w:r w:rsidRPr="00CD439F">
        <w:rPr>
          <w:rStyle w:val="kursiv"/>
        </w:rPr>
        <w:t>Näkkäläjärvi</w:t>
      </w:r>
      <w:proofErr w:type="spellEnd"/>
      <w:r w:rsidRPr="00CD439F">
        <w:rPr>
          <w:rStyle w:val="kursiv"/>
        </w:rPr>
        <w:t xml:space="preserve"> mot Finland</w:t>
      </w:r>
      <w:r w:rsidRPr="00853769">
        <w:t>,</w:t>
      </w:r>
      <w:r w:rsidR="00CD439F" w:rsidRPr="00CD439F">
        <w:rPr>
          <w:rStyle w:val="Fotnotereferanse"/>
        </w:rPr>
        <w:footnoteReference w:id="64"/>
      </w:r>
      <w:r w:rsidRPr="00853769">
        <w:t xml:space="preserve"> og i </w:t>
      </w:r>
      <w:proofErr w:type="spellStart"/>
      <w:r w:rsidRPr="00CD439F">
        <w:rPr>
          <w:rStyle w:val="kursiv"/>
        </w:rPr>
        <w:t>Jouni</w:t>
      </w:r>
      <w:proofErr w:type="spellEnd"/>
      <w:r w:rsidRPr="00CD439F">
        <w:rPr>
          <w:rStyle w:val="kursiv"/>
        </w:rPr>
        <w:t xml:space="preserve"> E. </w:t>
      </w:r>
      <w:proofErr w:type="spellStart"/>
      <w:r w:rsidRPr="00CD439F">
        <w:rPr>
          <w:rStyle w:val="kursiv"/>
        </w:rPr>
        <w:t>Länsman</w:t>
      </w:r>
      <w:proofErr w:type="spellEnd"/>
      <w:r w:rsidRPr="00853769">
        <w:t xml:space="preserve"> mot Finland. </w:t>
      </w:r>
      <w:r w:rsidRPr="00693A45">
        <w:t>I den sistnevnte saken uttalte MRK:</w:t>
      </w:r>
      <w:r w:rsidR="00CD439F" w:rsidRPr="00CD439F">
        <w:rPr>
          <w:rStyle w:val="Fotnotereferanse"/>
        </w:rPr>
        <w:footnoteReference w:id="65"/>
      </w:r>
    </w:p>
    <w:p w14:paraId="5E569FB3" w14:textId="709AEF18" w:rsidR="00E86DE6" w:rsidRPr="00CD439F" w:rsidRDefault="00CD439F" w:rsidP="00393223">
      <w:pPr>
        <w:pStyle w:val="blokksit"/>
        <w:ind w:left="757"/>
        <w:rPr>
          <w:lang w:val="en-US"/>
        </w:rPr>
      </w:pPr>
      <w:r>
        <w:rPr>
          <w:lang w:val="en-US"/>
        </w:rPr>
        <w:t>«</w:t>
      </w:r>
      <w:r w:rsidR="00E86DE6" w:rsidRPr="00CD439F">
        <w:rPr>
          <w:lang w:val="en-US"/>
        </w:rPr>
        <w:t>… the State party</w:t>
      </w:r>
      <w:r>
        <w:rPr>
          <w:lang w:val="en-US"/>
        </w:rPr>
        <w:t>’</w:t>
      </w:r>
      <w:r w:rsidR="00E86DE6" w:rsidRPr="00CD439F">
        <w:rPr>
          <w:lang w:val="en-US"/>
        </w:rPr>
        <w:t>s forestry authorities have approved logging on a scale which, while resulting in additional work and extra expenses for the authors and other reindeer herdsmen, does not appear to threaten the survival of reindeer husbandry. That such husbandry is an activity of low economic profitability is not, on the basis of the information available, a result of the encouragement of other economic activities by the State party in the area in question, but of other, external, economic factors.</w:t>
      </w:r>
      <w:r>
        <w:rPr>
          <w:lang w:val="en-US"/>
        </w:rPr>
        <w:t>»</w:t>
      </w:r>
    </w:p>
    <w:p w14:paraId="0E73C990" w14:textId="40CEC628" w:rsidR="00E86DE6" w:rsidRDefault="00E86DE6" w:rsidP="00E86DE6">
      <w:r w:rsidRPr="57473D06">
        <w:t xml:space="preserve">Det fremgår av det siterte at det ikke nødvendigvis vil være en krenkelse av SP artikkel 27 dersom lav økonomisk lønnsomhet i reindriften også har andre årsaker enn at staten har tillatt annen økonomisk aktivitet, eller tillatt iverksatt andre tiltak som griper inn i reindriften i de områdene reindriften foregår. Dette kommer også til uttrykk i </w:t>
      </w:r>
      <w:proofErr w:type="spellStart"/>
      <w:r w:rsidRPr="57473D06">
        <w:t>Jouni</w:t>
      </w:r>
      <w:proofErr w:type="spellEnd"/>
      <w:r w:rsidRPr="57473D06">
        <w:t xml:space="preserve"> E. </w:t>
      </w:r>
      <w:proofErr w:type="spellStart"/>
      <w:r w:rsidRPr="57473D06">
        <w:t>Länsman</w:t>
      </w:r>
      <w:proofErr w:type="spellEnd"/>
      <w:r w:rsidRPr="57473D06">
        <w:t xml:space="preserve"> (II) mot Finland som ble avgjort i 2005, og der MRK uttaler:</w:t>
      </w:r>
      <w:r w:rsidR="00CD439F" w:rsidRPr="00CD439F">
        <w:rPr>
          <w:rStyle w:val="Fotnotereferanse"/>
        </w:rPr>
        <w:footnoteReference w:id="66"/>
      </w:r>
    </w:p>
    <w:p w14:paraId="5360C5BF" w14:textId="5FE9D651" w:rsidR="00303661" w:rsidRPr="00CD439F" w:rsidRDefault="00CD439F" w:rsidP="00393223">
      <w:pPr>
        <w:pStyle w:val="blokksit"/>
        <w:ind w:left="757"/>
        <w:rPr>
          <w:rFonts w:asciiTheme="majorBidi" w:hAnsiTheme="majorBidi" w:cstheme="majorBidi"/>
          <w:lang w:val="en-US"/>
        </w:rPr>
      </w:pPr>
      <w:r>
        <w:rPr>
          <w:rFonts w:asciiTheme="majorBidi" w:hAnsiTheme="majorBidi" w:cstheme="majorBidi"/>
          <w:lang w:val="en-US"/>
        </w:rPr>
        <w:t>«</w:t>
      </w:r>
      <w:r w:rsidR="00E86DE6" w:rsidRPr="00CD439F">
        <w:rPr>
          <w:lang w:val="en-US"/>
        </w:rPr>
        <w:t xml:space="preserve">While the Committee notes the reference made by the authors to a report by the Finish Game and Fisheries Research Institute that </w:t>
      </w:r>
      <w:r>
        <w:rPr>
          <w:lang w:val="en-US"/>
        </w:rPr>
        <w:t>«</w:t>
      </w:r>
      <w:r w:rsidR="00E86DE6" w:rsidRPr="00CD439F">
        <w:rPr>
          <w:lang w:val="en-US"/>
        </w:rPr>
        <w:t>loggings – even those notified as relatively mild – will be of greater significance for reindeer husbandry</w:t>
      </w:r>
      <w:r>
        <w:rPr>
          <w:lang w:val="en-US"/>
        </w:rPr>
        <w:t>»</w:t>
      </w:r>
      <w:r w:rsidR="00E86DE6" w:rsidRPr="00CD439F">
        <w:rPr>
          <w:lang w:val="en-US"/>
        </w:rPr>
        <w:t xml:space="preserve"> if such husbandry is based on natural pastures only (supra 8.8), it also takes note of the fact that not only this report but also numerous other references in the material in front of it mention other factors explaining why reindeer husbandry remains of low economic profitability. It also takes into consideration that despite difficulties, the overall number of reindeers still remain relatively high.</w:t>
      </w:r>
      <w:r>
        <w:rPr>
          <w:rFonts w:asciiTheme="majorBidi" w:hAnsiTheme="majorBidi" w:cstheme="majorBidi"/>
          <w:lang w:val="en-US"/>
        </w:rPr>
        <w:t>»</w:t>
      </w:r>
    </w:p>
    <w:p w14:paraId="0FC2D890" w14:textId="47CB0A8E" w:rsidR="00E86DE6" w:rsidRDefault="00E86DE6" w:rsidP="00E86DE6">
      <w:r w:rsidRPr="57473D06">
        <w:t xml:space="preserve">MRK konkluderte etter dette med at det ikke var påvist at de negative konsekvensene av tømmerhogsten i området var alvorlige nok til å utgjøre en krenkelse av klagernes rett til kulturutøvelse </w:t>
      </w:r>
      <w:r>
        <w:t>e</w:t>
      </w:r>
      <w:r w:rsidRPr="57473D06">
        <w:t>tter artikkel 27.</w:t>
      </w:r>
    </w:p>
    <w:p w14:paraId="2B8F3468" w14:textId="550EE125" w:rsidR="00E86DE6" w:rsidRDefault="00E86DE6" w:rsidP="00E86DE6">
      <w:r w:rsidRPr="57473D06">
        <w:t xml:space="preserve">I Høyesteretts enstemmige </w:t>
      </w:r>
      <w:proofErr w:type="spellStart"/>
      <w:r w:rsidRPr="57473D06">
        <w:t>storkammerdom</w:t>
      </w:r>
      <w:proofErr w:type="spellEnd"/>
      <w:r w:rsidRPr="57473D06">
        <w:t xml:space="preserve"> i Fosen-saken understreker førstvoterende at det er kulturutøvelsen som er vernet etter artikkel 27. Han fremhever videre at reindriften både er </w:t>
      </w:r>
      <w:r w:rsidR="00CD439F" w:rsidRPr="00CD439F">
        <w:rPr>
          <w:rStyle w:val="kursiv"/>
        </w:rPr>
        <w:t>«</w:t>
      </w:r>
      <w:r w:rsidRPr="00273919">
        <w:t>en form for vernet kulturutøvelse og en måte å livnære seg på</w:t>
      </w:r>
      <w:r w:rsidR="00CD439F">
        <w:t>»</w:t>
      </w:r>
      <w:r w:rsidRPr="57473D06">
        <w:t xml:space="preserve"> og uttaler:</w:t>
      </w:r>
      <w:r w:rsidR="00CD439F" w:rsidRPr="00CD439F">
        <w:rPr>
          <w:rStyle w:val="Fotnotereferanse"/>
        </w:rPr>
        <w:footnoteReference w:id="67"/>
      </w:r>
    </w:p>
    <w:p w14:paraId="77C76938" w14:textId="366C27D6" w:rsidR="00D54E59" w:rsidRPr="00CD439F" w:rsidRDefault="00CD439F" w:rsidP="00393223">
      <w:pPr>
        <w:pStyle w:val="blokksit"/>
        <w:ind w:left="757"/>
      </w:pPr>
      <w:r>
        <w:lastRenderedPageBreak/>
        <w:t>«</w:t>
      </w:r>
      <w:r w:rsidR="00D54E59" w:rsidRPr="00CD439F">
        <w:t>Betydningen må vurderes konkret i den enkelte sak og må blant annet bero på hvordan økonomien påvirker kulturutøvelsen. Etter mitt syn vil artikkel 27 i alle fall være brutt hvis en reduksjon av beitearealet fratar reineierne muligheten til å fortsette med noe som naturlig kan karakteriseres som næringsvirksomhet.</w:t>
      </w:r>
      <w:r>
        <w:t>»</w:t>
      </w:r>
    </w:p>
    <w:p w14:paraId="1CA444B4" w14:textId="7892FFFE" w:rsidR="00D54E59" w:rsidRDefault="00D54E59" w:rsidP="00D54E59">
      <w:r w:rsidRPr="6B7E9414">
        <w:t xml:space="preserve">Ved den konkrete vurderingen av om rettighetene etter SP artikkel 27 var krenket, viste førstvoterende til at reindriftsnæringen på Fosen </w:t>
      </w:r>
      <w:r w:rsidR="00CD439F">
        <w:t>«</w:t>
      </w:r>
      <w:r w:rsidRPr="003B1546">
        <w:t>allerede i dag [driver] med små marginer</w:t>
      </w:r>
      <w:r w:rsidR="00CD439F">
        <w:t>»</w:t>
      </w:r>
      <w:r w:rsidRPr="6B7E9414">
        <w:t xml:space="preserve"> og la til grunn at den reduksjonen i reintallet som ventelig ville være en følge av den omstridte vindkraftutbyggingen, på sikt ville </w:t>
      </w:r>
      <w:r w:rsidR="00CD439F">
        <w:t>«</w:t>
      </w:r>
      <w:r w:rsidRPr="00F971C4">
        <w:t>føre til vesentlig reduserte muligheter til å få et utbytte fra næringen</w:t>
      </w:r>
      <w:r w:rsidR="00CD439F">
        <w:t>»</w:t>
      </w:r>
      <w:r w:rsidRPr="6B7E9414">
        <w:t>. Videre uttalte han:</w:t>
      </w:r>
    </w:p>
    <w:p w14:paraId="67149805" w14:textId="5FF20579" w:rsidR="00D54E59" w:rsidRPr="00CD439F" w:rsidRDefault="00CD439F" w:rsidP="00393223">
      <w:pPr>
        <w:pStyle w:val="blokksit"/>
        <w:ind w:left="757"/>
        <w:rPr>
          <w:rFonts w:asciiTheme="majorBidi" w:hAnsiTheme="majorBidi" w:cstheme="majorBidi"/>
        </w:rPr>
      </w:pPr>
      <w:r>
        <w:t>«</w:t>
      </w:r>
      <w:r w:rsidR="00D54E59" w:rsidRPr="00CD439F">
        <w:t>Det er også et moment i vurderingen at den sørsamiske kulturen er særlig sårbar. Den tradisjonelle reindriftsnæringen er bærebjelken for denne kulturen og for det sørsamiske språket. Inngrepet innebærer ikke en total nektelse av reineiernes rett til å utøve sin kultur på Fosen. Mitt syn er likevel etter en samlet vurdering at vindkraftutbyggingen vil ha en vesentlig negativ effekt på deres mulighet for å dyrke denne kulturen.</w:t>
      </w:r>
      <w:r>
        <w:t>»</w:t>
      </w:r>
      <w:r w:rsidRPr="00CD439F">
        <w:rPr>
          <w:rStyle w:val="Fotnotereferanse"/>
        </w:rPr>
        <w:footnoteReference w:id="68"/>
      </w:r>
    </w:p>
    <w:p w14:paraId="06EF4912" w14:textId="77777777" w:rsidR="00303661" w:rsidRDefault="00D54E59" w:rsidP="00D54E59">
      <w:r w:rsidRPr="40CD0FAB">
        <w:t>Høyesterett vektlegger dermed ikke bare utbyggingens konkrete skadevirkninger for reindriften på Fosen, men også at utbyggingen kan ha negative skadevirkninger for sørsamisk kultur som helhet.</w:t>
      </w:r>
    </w:p>
    <w:p w14:paraId="4A8ECA20" w14:textId="311ECB9B" w:rsidR="00303661" w:rsidRDefault="00D54E59" w:rsidP="00D54E59">
      <w:pPr>
        <w:rPr>
          <w:rFonts w:cs="Times New Roman"/>
        </w:rPr>
      </w:pPr>
      <w:r w:rsidRPr="57473D06">
        <w:rPr>
          <w:rFonts w:cs="Times New Roman"/>
        </w:rPr>
        <w:t>Et spørsmål er også om det i saker der et statlig tiltak griper inn i retten til kulturutøvelse gjelder en form for tilpasningsplikt for de som rammes av tiltaket, for derved å motvirke at tiltaket får så store negative konsekvenser at retten til kulturutøvelse etter SP artikkel 27 er krenket. Førstvoterende i Fosen-saken berørte problemstillingen, etter å ha vist til den tilpasningsplikten som gjelder etter alminnelige ekspropr</w:t>
      </w:r>
      <w:r>
        <w:rPr>
          <w:rFonts w:cs="Times New Roman"/>
        </w:rPr>
        <w:t>i</w:t>
      </w:r>
      <w:r w:rsidRPr="57473D06">
        <w:rPr>
          <w:rFonts w:cs="Times New Roman"/>
        </w:rPr>
        <w:t>asjonsrettslige prinsipper og uttaler:</w:t>
      </w:r>
      <w:r w:rsidR="00CD439F" w:rsidRPr="00CD439F">
        <w:rPr>
          <w:rStyle w:val="Fotnotereferanse"/>
        </w:rPr>
        <w:footnoteReference w:id="69"/>
      </w:r>
    </w:p>
    <w:p w14:paraId="113AA6C6" w14:textId="3B9A3F3C" w:rsidR="00D54E59" w:rsidRPr="00CD439F" w:rsidRDefault="00CD439F" w:rsidP="00393223">
      <w:pPr>
        <w:pStyle w:val="blokksit"/>
        <w:ind w:left="757"/>
      </w:pPr>
      <w:r>
        <w:t>«</w:t>
      </w:r>
      <w:r w:rsidR="00D54E59" w:rsidRPr="00CD439F">
        <w:t>I hvilken utstrekning mulighetene for tilpasning også er relevant i vurderingen av om artikkel 27 er brutt, er ikke belyst i saken her. Jeg går imidlertid ikke nærmere inn på dette spørsmålet, fordi jeg uansett ikke kan se at konsesjonsvedtaket kan opprettholdes med den begrunnelse lagmannsretten har gitt.</w:t>
      </w:r>
      <w:r>
        <w:t>»</w:t>
      </w:r>
    </w:p>
    <w:p w14:paraId="3A32F2AE" w14:textId="5653089F" w:rsidR="00303661" w:rsidRDefault="00D54E59" w:rsidP="00D54E59">
      <w:r w:rsidRPr="57473D06">
        <w:t xml:space="preserve">Spørsmålet om det gjelder en tilpasningsplikt av denne typen ved vurderingen av om artikkel 27 er brutt, ser heller ikke ut til å være berørt i </w:t>
      </w:r>
      <w:proofErr w:type="spellStart"/>
      <w:r w:rsidRPr="57473D06">
        <w:t>MRKs</w:t>
      </w:r>
      <w:proofErr w:type="spellEnd"/>
      <w:r w:rsidRPr="57473D06">
        <w:t xml:space="preserve"> praksis. Dette har trolig sammenheng med at spørsmålet om tilpassingsplikt i liten grad har blitt satt på spissen i de sakene om mulige brudd på artikkel 27 som MRK har behandlet. I </w:t>
      </w:r>
      <w:proofErr w:type="spellStart"/>
      <w:r w:rsidRPr="57473D06">
        <w:t>Jovsset</w:t>
      </w:r>
      <w:proofErr w:type="spellEnd"/>
      <w:r w:rsidRPr="57473D06">
        <w:t xml:space="preserve"> Ante Sara-saken anførte riktignok norske myndigheter</w:t>
      </w:r>
      <w:r w:rsidR="00303661">
        <w:t xml:space="preserve"> </w:t>
      </w:r>
      <w:r w:rsidRPr="57473D06">
        <w:t>at Sara ville ha et bedre økonomisk utbytte av å ha en flokk med 75 sunne og velfødde (</w:t>
      </w:r>
      <w:r w:rsidR="00CD439F">
        <w:t>«</w:t>
      </w:r>
      <w:proofErr w:type="spellStart"/>
      <w:r w:rsidRPr="57473D06">
        <w:t>healthy</w:t>
      </w:r>
      <w:proofErr w:type="spellEnd"/>
      <w:r w:rsidRPr="57473D06">
        <w:t xml:space="preserve"> and </w:t>
      </w:r>
      <w:proofErr w:type="spellStart"/>
      <w:r w:rsidRPr="57473D06">
        <w:t>properly</w:t>
      </w:r>
      <w:proofErr w:type="spellEnd"/>
      <w:r w:rsidRPr="57473D06">
        <w:t xml:space="preserve"> </w:t>
      </w:r>
      <w:proofErr w:type="spellStart"/>
      <w:r w:rsidRPr="57473D06">
        <w:t>fed</w:t>
      </w:r>
      <w:proofErr w:type="spellEnd"/>
      <w:r w:rsidR="00CD439F">
        <w:t>»</w:t>
      </w:r>
      <w:r w:rsidRPr="57473D06">
        <w:t xml:space="preserve">) dyr, enn en flokk </w:t>
      </w:r>
      <w:r w:rsidRPr="57473D06">
        <w:lastRenderedPageBreak/>
        <w:t>bestående av 116 underernærte (</w:t>
      </w:r>
      <w:r w:rsidR="00CD439F">
        <w:t>«</w:t>
      </w:r>
      <w:proofErr w:type="spellStart"/>
      <w:r w:rsidRPr="57473D06">
        <w:t>malnourished</w:t>
      </w:r>
      <w:proofErr w:type="spellEnd"/>
      <w:r w:rsidR="00CD439F">
        <w:t>»</w:t>
      </w:r>
      <w:r w:rsidRPr="57473D06">
        <w:t>) dyr,</w:t>
      </w:r>
      <w:r w:rsidR="00CD439F" w:rsidRPr="00CD439F">
        <w:rPr>
          <w:rStyle w:val="Fotnotereferanse"/>
        </w:rPr>
        <w:footnoteReference w:id="70"/>
      </w:r>
      <w:r w:rsidRPr="57473D06">
        <w:t xml:space="preserve"> men uten at MRK kommenterte anførselen</w:t>
      </w:r>
      <w:r>
        <w:t>,</w:t>
      </w:r>
      <w:r w:rsidRPr="57473D06">
        <w:t xml:space="preserve"> som kan tolkes slik at den gjaldt en form for tilpasningsplikt.</w:t>
      </w:r>
    </w:p>
    <w:p w14:paraId="69A9D853" w14:textId="62ED0703" w:rsidR="00D54E59" w:rsidRDefault="00D54E59" w:rsidP="00D54E59">
      <w:pPr>
        <w:pStyle w:val="Overskrift4"/>
      </w:pPr>
      <w:r>
        <w:t>Plikt til positive tiltak</w:t>
      </w:r>
    </w:p>
    <w:p w14:paraId="04FED946" w14:textId="49776E37" w:rsidR="00C0192B" w:rsidRPr="00836F21" w:rsidRDefault="00C0192B" w:rsidP="00C0192B">
      <w:pPr>
        <w:rPr>
          <w:lang w:val="en-US"/>
        </w:rPr>
      </w:pPr>
      <w:r w:rsidRPr="242C6949">
        <w:t>Som MRK fremholder i sin tolkningsuttalelse fra 1994</w:t>
      </w:r>
      <w:r>
        <w:t>,</w:t>
      </w:r>
      <w:r w:rsidRPr="242C6949">
        <w:t xml:space="preserve"> er SP artikkel 27 uttrykt </w:t>
      </w:r>
      <w:r w:rsidR="00CD439F">
        <w:t>«</w:t>
      </w:r>
      <w:r w:rsidRPr="00950FCC">
        <w:t>in negative terms</w:t>
      </w:r>
      <w:r w:rsidR="00CD439F">
        <w:t>»</w:t>
      </w:r>
      <w:r w:rsidRPr="242C6949">
        <w:t xml:space="preserve">. Det kan derfor ikke utledes direkte av ordlyden at statene plikter å iverksette positive særtiltak for å sikre retten til kulturutøvelse for personer tilhørende de beskyttede minoritetsgruppene. </w:t>
      </w:r>
      <w:r w:rsidRPr="003A7BE4">
        <w:rPr>
          <w:lang w:val="en-US"/>
        </w:rPr>
        <w:t xml:space="preserve">Med </w:t>
      </w:r>
      <w:proofErr w:type="spellStart"/>
      <w:r w:rsidRPr="003A7BE4">
        <w:rPr>
          <w:lang w:val="en-US"/>
        </w:rPr>
        <w:t>henvisning</w:t>
      </w:r>
      <w:proofErr w:type="spellEnd"/>
      <w:r w:rsidRPr="003A7BE4">
        <w:rPr>
          <w:lang w:val="en-US"/>
        </w:rPr>
        <w:t xml:space="preserve"> </w:t>
      </w:r>
      <w:proofErr w:type="spellStart"/>
      <w:r w:rsidRPr="003A7BE4">
        <w:rPr>
          <w:lang w:val="en-US"/>
        </w:rPr>
        <w:t>til</w:t>
      </w:r>
      <w:proofErr w:type="spellEnd"/>
      <w:r w:rsidRPr="003A7BE4">
        <w:rPr>
          <w:lang w:val="en-US"/>
        </w:rPr>
        <w:t xml:space="preserve"> at </w:t>
      </w:r>
      <w:proofErr w:type="spellStart"/>
      <w:r w:rsidRPr="003A7BE4">
        <w:rPr>
          <w:lang w:val="en-US"/>
        </w:rPr>
        <w:t>bestemmelsen</w:t>
      </w:r>
      <w:proofErr w:type="spellEnd"/>
      <w:r w:rsidRPr="003A7BE4">
        <w:rPr>
          <w:lang w:val="en-US"/>
        </w:rPr>
        <w:t xml:space="preserve"> </w:t>
      </w:r>
      <w:proofErr w:type="spellStart"/>
      <w:r w:rsidRPr="003A7BE4">
        <w:rPr>
          <w:lang w:val="en-US"/>
        </w:rPr>
        <w:t>anerkjenner</w:t>
      </w:r>
      <w:proofErr w:type="spellEnd"/>
      <w:r w:rsidRPr="003A7BE4">
        <w:rPr>
          <w:lang w:val="en-US"/>
        </w:rPr>
        <w:t xml:space="preserve"> </w:t>
      </w:r>
      <w:r w:rsidR="00CD439F">
        <w:rPr>
          <w:lang w:val="en-US"/>
        </w:rPr>
        <w:t>«</w:t>
      </w:r>
      <w:r w:rsidRPr="003A7BE4">
        <w:rPr>
          <w:lang w:val="en-US"/>
        </w:rPr>
        <w:t>the existence of a right</w:t>
      </w:r>
      <w:r w:rsidR="00CD439F">
        <w:rPr>
          <w:lang w:val="en-US"/>
        </w:rPr>
        <w:t>»</w:t>
      </w:r>
      <w:r>
        <w:rPr>
          <w:lang w:val="en-US"/>
        </w:rPr>
        <w:t>,</w:t>
      </w:r>
      <w:r w:rsidRPr="003A7BE4">
        <w:rPr>
          <w:lang w:val="en-US"/>
        </w:rPr>
        <w:t xml:space="preserve"> </w:t>
      </w:r>
      <w:proofErr w:type="spellStart"/>
      <w:r w:rsidRPr="003A7BE4">
        <w:rPr>
          <w:lang w:val="en-US"/>
        </w:rPr>
        <w:t>fremholder</w:t>
      </w:r>
      <w:proofErr w:type="spellEnd"/>
      <w:r w:rsidRPr="003A7BE4">
        <w:rPr>
          <w:lang w:val="en-US"/>
        </w:rPr>
        <w:t xml:space="preserve"> </w:t>
      </w:r>
      <w:proofErr w:type="spellStart"/>
      <w:r w:rsidRPr="003A7BE4">
        <w:rPr>
          <w:lang w:val="en-US"/>
        </w:rPr>
        <w:t>imidlertid</w:t>
      </w:r>
      <w:proofErr w:type="spellEnd"/>
      <w:r w:rsidRPr="003A7BE4">
        <w:rPr>
          <w:lang w:val="en-US"/>
        </w:rPr>
        <w:t xml:space="preserve"> MRK </w:t>
      </w:r>
      <w:proofErr w:type="spellStart"/>
      <w:r w:rsidRPr="003A7BE4">
        <w:rPr>
          <w:lang w:val="en-US"/>
        </w:rPr>
        <w:t>i</w:t>
      </w:r>
      <w:proofErr w:type="spellEnd"/>
      <w:r w:rsidRPr="003A7BE4">
        <w:rPr>
          <w:lang w:val="en-US"/>
        </w:rPr>
        <w:t xml:space="preserve"> </w:t>
      </w:r>
      <w:proofErr w:type="spellStart"/>
      <w:r w:rsidRPr="003A7BE4">
        <w:rPr>
          <w:lang w:val="en-US"/>
        </w:rPr>
        <w:t>tolkningsuttalelsen</w:t>
      </w:r>
      <w:proofErr w:type="spellEnd"/>
      <w:r w:rsidRPr="003A7BE4">
        <w:rPr>
          <w:lang w:val="en-US"/>
        </w:rPr>
        <w:t xml:space="preserve"> at det er </w:t>
      </w:r>
      <w:proofErr w:type="spellStart"/>
      <w:r w:rsidRPr="003A7BE4">
        <w:rPr>
          <w:lang w:val="en-US"/>
        </w:rPr>
        <w:t>nødvendig</w:t>
      </w:r>
      <w:proofErr w:type="spellEnd"/>
      <w:r w:rsidRPr="003A7BE4">
        <w:rPr>
          <w:lang w:val="en-US"/>
        </w:rPr>
        <w:t xml:space="preserve"> med </w:t>
      </w:r>
      <w:r w:rsidR="00CD439F">
        <w:rPr>
          <w:lang w:val="en-US"/>
        </w:rPr>
        <w:t>«</w:t>
      </w:r>
      <w:r w:rsidRPr="003A7BE4">
        <w:rPr>
          <w:lang w:val="en-US"/>
        </w:rPr>
        <w:t>positive measures of protection</w:t>
      </w:r>
      <w:r w:rsidR="00CD439F">
        <w:rPr>
          <w:lang w:val="en-US"/>
        </w:rPr>
        <w:t>»</w:t>
      </w:r>
      <w:r w:rsidRPr="003A7BE4">
        <w:rPr>
          <w:lang w:val="en-US"/>
        </w:rPr>
        <w:t xml:space="preserve"> </w:t>
      </w:r>
      <w:proofErr w:type="spellStart"/>
      <w:r w:rsidRPr="003A7BE4">
        <w:rPr>
          <w:lang w:val="en-US"/>
        </w:rPr>
        <w:t>både</w:t>
      </w:r>
      <w:proofErr w:type="spellEnd"/>
      <w:r w:rsidRPr="003A7BE4">
        <w:rPr>
          <w:lang w:val="en-US"/>
        </w:rPr>
        <w:t xml:space="preserve"> mot </w:t>
      </w:r>
      <w:r w:rsidR="00CD439F">
        <w:rPr>
          <w:lang w:val="en-US"/>
        </w:rPr>
        <w:t>«</w:t>
      </w:r>
      <w:r w:rsidRPr="003A7BE4">
        <w:rPr>
          <w:lang w:val="en-US"/>
        </w:rPr>
        <w:t>the act of the State party itself</w:t>
      </w:r>
      <w:r w:rsidR="00CD439F">
        <w:rPr>
          <w:lang w:val="en-US"/>
        </w:rPr>
        <w:t>»</w:t>
      </w:r>
      <w:r w:rsidRPr="003A7BE4">
        <w:rPr>
          <w:lang w:val="en-US"/>
        </w:rPr>
        <w:t xml:space="preserve"> og mot </w:t>
      </w:r>
      <w:r w:rsidR="00CD439F">
        <w:rPr>
          <w:lang w:val="en-US"/>
        </w:rPr>
        <w:t>«</w:t>
      </w:r>
      <w:r w:rsidRPr="003A7BE4">
        <w:rPr>
          <w:lang w:val="en-US"/>
        </w:rPr>
        <w:t>the act of other persons within the State party</w:t>
      </w:r>
      <w:r w:rsidR="00CD439F">
        <w:rPr>
          <w:lang w:val="en-US"/>
        </w:rPr>
        <w:t>»</w:t>
      </w:r>
      <w:r w:rsidRPr="003A7BE4">
        <w:rPr>
          <w:lang w:val="en-US"/>
        </w:rPr>
        <w:t xml:space="preserve">. </w:t>
      </w:r>
      <w:proofErr w:type="spellStart"/>
      <w:r w:rsidRPr="242C6949">
        <w:rPr>
          <w:lang w:val="en-US"/>
        </w:rPr>
        <w:t>Videre</w:t>
      </w:r>
      <w:proofErr w:type="spellEnd"/>
      <w:r w:rsidRPr="242C6949">
        <w:rPr>
          <w:lang w:val="en-US"/>
        </w:rPr>
        <w:t xml:space="preserve"> </w:t>
      </w:r>
      <w:proofErr w:type="spellStart"/>
      <w:r w:rsidRPr="242C6949">
        <w:rPr>
          <w:lang w:val="en-US"/>
        </w:rPr>
        <w:t>heter</w:t>
      </w:r>
      <w:proofErr w:type="spellEnd"/>
      <w:r w:rsidRPr="242C6949">
        <w:rPr>
          <w:lang w:val="en-US"/>
        </w:rPr>
        <w:t xml:space="preserve"> det:</w:t>
      </w:r>
      <w:r w:rsidR="00CD439F" w:rsidRPr="00CD439F">
        <w:rPr>
          <w:rStyle w:val="Fotnotereferanse"/>
        </w:rPr>
        <w:footnoteReference w:id="71"/>
      </w:r>
    </w:p>
    <w:p w14:paraId="700F8E90" w14:textId="02CA26A0" w:rsidR="00C0192B" w:rsidRPr="00CD439F" w:rsidRDefault="00CD439F" w:rsidP="00393223">
      <w:pPr>
        <w:pStyle w:val="blokksit"/>
        <w:ind w:left="757"/>
        <w:rPr>
          <w:lang w:val="en-US"/>
        </w:rPr>
      </w:pPr>
      <w:r>
        <w:rPr>
          <w:lang w:val="en-US"/>
        </w:rPr>
        <w:t>«</w:t>
      </w:r>
      <w:r w:rsidR="00C0192B" w:rsidRPr="00CD439F">
        <w:rPr>
          <w:lang w:val="en-US"/>
        </w:rPr>
        <w:t>… positive measures by States may also be necessary to protect the identity of a minority and the rights of its members to enjoy and develop their culture and language and to practice their religion, in community with the other members of their group.</w:t>
      </w:r>
      <w:r>
        <w:rPr>
          <w:lang w:val="en-US"/>
        </w:rPr>
        <w:t>»</w:t>
      </w:r>
    </w:p>
    <w:p w14:paraId="19EE77B6" w14:textId="040A6D7C" w:rsidR="00303661" w:rsidRDefault="00C0192B" w:rsidP="00C0192B">
      <w:proofErr w:type="spellStart"/>
      <w:r w:rsidRPr="00693A45">
        <w:rPr>
          <w:lang w:val="en-US"/>
        </w:rPr>
        <w:t>Forarbeidene</w:t>
      </w:r>
      <w:proofErr w:type="spellEnd"/>
      <w:r w:rsidRPr="00693A45">
        <w:rPr>
          <w:lang w:val="en-US"/>
        </w:rPr>
        <w:t xml:space="preserve"> </w:t>
      </w:r>
      <w:proofErr w:type="spellStart"/>
      <w:r w:rsidRPr="00693A45">
        <w:rPr>
          <w:lang w:val="en-US"/>
        </w:rPr>
        <w:t>til</w:t>
      </w:r>
      <w:proofErr w:type="spellEnd"/>
      <w:r w:rsidRPr="00693A45">
        <w:rPr>
          <w:lang w:val="en-US"/>
        </w:rPr>
        <w:t xml:space="preserve"> </w:t>
      </w:r>
      <w:proofErr w:type="spellStart"/>
      <w:r w:rsidRPr="00693A45">
        <w:rPr>
          <w:lang w:val="en-US"/>
        </w:rPr>
        <w:t>lov</w:t>
      </w:r>
      <w:proofErr w:type="spellEnd"/>
      <w:r w:rsidRPr="00693A45">
        <w:rPr>
          <w:lang w:val="en-US"/>
        </w:rPr>
        <w:t xml:space="preserve"> 17. </w:t>
      </w:r>
      <w:proofErr w:type="spellStart"/>
      <w:r w:rsidRPr="00693A45">
        <w:rPr>
          <w:lang w:val="en-US"/>
        </w:rPr>
        <w:t>juni</w:t>
      </w:r>
      <w:proofErr w:type="spellEnd"/>
      <w:r w:rsidRPr="00693A45">
        <w:rPr>
          <w:lang w:val="en-US"/>
        </w:rPr>
        <w:t xml:space="preserve"> 2005 nr. 85 om </w:t>
      </w:r>
      <w:proofErr w:type="spellStart"/>
      <w:r w:rsidRPr="00693A45">
        <w:rPr>
          <w:lang w:val="en-US"/>
        </w:rPr>
        <w:t>rettsforhold</w:t>
      </w:r>
      <w:proofErr w:type="spellEnd"/>
      <w:r w:rsidRPr="00693A45">
        <w:rPr>
          <w:lang w:val="en-US"/>
        </w:rPr>
        <w:t xml:space="preserve"> og </w:t>
      </w:r>
      <w:proofErr w:type="spellStart"/>
      <w:r w:rsidRPr="00693A45">
        <w:rPr>
          <w:lang w:val="en-US"/>
        </w:rPr>
        <w:t>forvaltning</w:t>
      </w:r>
      <w:proofErr w:type="spellEnd"/>
      <w:r w:rsidRPr="00693A45">
        <w:rPr>
          <w:lang w:val="en-US"/>
        </w:rPr>
        <w:t xml:space="preserve"> av </w:t>
      </w:r>
      <w:proofErr w:type="spellStart"/>
      <w:r w:rsidRPr="00693A45">
        <w:rPr>
          <w:lang w:val="en-US"/>
        </w:rPr>
        <w:t>grunn</w:t>
      </w:r>
      <w:proofErr w:type="spellEnd"/>
      <w:r w:rsidRPr="00693A45">
        <w:rPr>
          <w:lang w:val="en-US"/>
        </w:rPr>
        <w:t xml:space="preserve"> og </w:t>
      </w:r>
      <w:proofErr w:type="spellStart"/>
      <w:r w:rsidRPr="00693A45">
        <w:rPr>
          <w:lang w:val="en-US"/>
        </w:rPr>
        <w:t>naturressurser</w:t>
      </w:r>
      <w:proofErr w:type="spellEnd"/>
      <w:r w:rsidRPr="00693A45">
        <w:rPr>
          <w:lang w:val="en-US"/>
        </w:rPr>
        <w:t xml:space="preserve"> </w:t>
      </w:r>
      <w:proofErr w:type="spellStart"/>
      <w:r w:rsidRPr="00693A45">
        <w:rPr>
          <w:lang w:val="en-US"/>
        </w:rPr>
        <w:t>i</w:t>
      </w:r>
      <w:proofErr w:type="spellEnd"/>
      <w:r w:rsidRPr="00693A45">
        <w:rPr>
          <w:lang w:val="en-US"/>
        </w:rPr>
        <w:t xml:space="preserve"> </w:t>
      </w:r>
      <w:proofErr w:type="spellStart"/>
      <w:r w:rsidRPr="00693A45">
        <w:rPr>
          <w:lang w:val="en-US"/>
        </w:rPr>
        <w:t>Finnmark</w:t>
      </w:r>
      <w:proofErr w:type="spellEnd"/>
      <w:r w:rsidRPr="00693A45">
        <w:rPr>
          <w:lang w:val="en-US"/>
        </w:rPr>
        <w:t xml:space="preserve"> (</w:t>
      </w:r>
      <w:proofErr w:type="spellStart"/>
      <w:r w:rsidRPr="00693A45">
        <w:rPr>
          <w:lang w:val="en-US"/>
        </w:rPr>
        <w:t>finnmarksloven</w:t>
      </w:r>
      <w:proofErr w:type="spellEnd"/>
      <w:r w:rsidRPr="00693A45">
        <w:rPr>
          <w:lang w:val="en-US"/>
        </w:rPr>
        <w:t xml:space="preserve">) </w:t>
      </w:r>
      <w:proofErr w:type="spellStart"/>
      <w:r w:rsidRPr="00693A45">
        <w:rPr>
          <w:lang w:val="en-US"/>
        </w:rPr>
        <w:t>ble</w:t>
      </w:r>
      <w:proofErr w:type="spellEnd"/>
      <w:r w:rsidRPr="00693A45">
        <w:rPr>
          <w:lang w:val="en-US"/>
        </w:rPr>
        <w:t xml:space="preserve"> </w:t>
      </w:r>
      <w:proofErr w:type="spellStart"/>
      <w:r w:rsidRPr="00693A45">
        <w:rPr>
          <w:lang w:val="en-US"/>
        </w:rPr>
        <w:t>utformet</w:t>
      </w:r>
      <w:proofErr w:type="spellEnd"/>
      <w:r w:rsidRPr="00693A45">
        <w:rPr>
          <w:lang w:val="en-US"/>
        </w:rPr>
        <w:t xml:space="preserve"> </w:t>
      </w:r>
      <w:proofErr w:type="spellStart"/>
      <w:r w:rsidRPr="00693A45">
        <w:rPr>
          <w:lang w:val="en-US"/>
        </w:rPr>
        <w:t>tidlig</w:t>
      </w:r>
      <w:proofErr w:type="spellEnd"/>
      <w:r w:rsidRPr="00693A45">
        <w:rPr>
          <w:lang w:val="en-US"/>
        </w:rPr>
        <w:t xml:space="preserve"> </w:t>
      </w:r>
      <w:proofErr w:type="spellStart"/>
      <w:r w:rsidRPr="00693A45">
        <w:rPr>
          <w:lang w:val="en-US"/>
        </w:rPr>
        <w:t>på</w:t>
      </w:r>
      <w:proofErr w:type="spellEnd"/>
      <w:r w:rsidRPr="00693A45">
        <w:rPr>
          <w:lang w:val="en-US"/>
        </w:rPr>
        <w:t xml:space="preserve"> 2000-tallet. Her </w:t>
      </w:r>
      <w:proofErr w:type="spellStart"/>
      <w:r w:rsidRPr="00693A45">
        <w:rPr>
          <w:lang w:val="en-US"/>
        </w:rPr>
        <w:t>anser</w:t>
      </w:r>
      <w:proofErr w:type="spellEnd"/>
      <w:r w:rsidRPr="00693A45">
        <w:rPr>
          <w:lang w:val="en-US"/>
        </w:rPr>
        <w:t xml:space="preserve"> </w:t>
      </w:r>
      <w:proofErr w:type="spellStart"/>
      <w:r w:rsidRPr="00693A45">
        <w:rPr>
          <w:lang w:val="en-US"/>
        </w:rPr>
        <w:t>Justisdepartementet</w:t>
      </w:r>
      <w:proofErr w:type="spellEnd"/>
      <w:r w:rsidRPr="00693A45">
        <w:rPr>
          <w:lang w:val="en-US"/>
        </w:rPr>
        <w:t xml:space="preserve"> det </w:t>
      </w:r>
      <w:r w:rsidR="00CD439F">
        <w:rPr>
          <w:lang w:val="en-US"/>
        </w:rPr>
        <w:t>«</w:t>
      </w:r>
      <w:proofErr w:type="spellStart"/>
      <w:r w:rsidRPr="00693A45">
        <w:rPr>
          <w:lang w:val="en-US"/>
        </w:rPr>
        <w:t>klart</w:t>
      </w:r>
      <w:proofErr w:type="spellEnd"/>
      <w:r w:rsidR="00CD439F">
        <w:rPr>
          <w:lang w:val="en-US"/>
        </w:rPr>
        <w:t>»</w:t>
      </w:r>
      <w:r w:rsidRPr="00693A45">
        <w:rPr>
          <w:lang w:val="en-US"/>
        </w:rPr>
        <w:t xml:space="preserve"> at </w:t>
      </w:r>
      <w:proofErr w:type="spellStart"/>
      <w:r w:rsidRPr="00693A45">
        <w:rPr>
          <w:lang w:val="en-US"/>
        </w:rPr>
        <w:t>artikkel</w:t>
      </w:r>
      <w:proofErr w:type="spellEnd"/>
      <w:r w:rsidRPr="00693A45">
        <w:rPr>
          <w:lang w:val="en-US"/>
        </w:rPr>
        <w:t xml:space="preserve"> 27 </w:t>
      </w:r>
      <w:r w:rsidR="00CD439F">
        <w:rPr>
          <w:lang w:val="en-US"/>
        </w:rPr>
        <w:t>«</w:t>
      </w:r>
      <w:proofErr w:type="spellStart"/>
      <w:r w:rsidRPr="00693A45">
        <w:rPr>
          <w:lang w:val="en-US"/>
        </w:rPr>
        <w:t>pålegger</w:t>
      </w:r>
      <w:proofErr w:type="spellEnd"/>
      <w:r w:rsidRPr="00693A45">
        <w:rPr>
          <w:lang w:val="en-US"/>
        </w:rPr>
        <w:t xml:space="preserve"> </w:t>
      </w:r>
      <w:proofErr w:type="spellStart"/>
      <w:r w:rsidRPr="00693A45">
        <w:rPr>
          <w:lang w:val="en-US"/>
        </w:rPr>
        <w:t>myndighetene</w:t>
      </w:r>
      <w:proofErr w:type="spellEnd"/>
      <w:r w:rsidRPr="00693A45">
        <w:rPr>
          <w:lang w:val="en-US"/>
        </w:rPr>
        <w:t xml:space="preserve"> å </w:t>
      </w:r>
      <w:proofErr w:type="spellStart"/>
      <w:r w:rsidRPr="00693A45">
        <w:rPr>
          <w:lang w:val="en-US"/>
        </w:rPr>
        <w:t>gjennomføre</w:t>
      </w:r>
      <w:proofErr w:type="spellEnd"/>
      <w:r w:rsidRPr="00693A45">
        <w:rPr>
          <w:lang w:val="en-US"/>
        </w:rPr>
        <w:t xml:space="preserve"> </w:t>
      </w:r>
      <w:proofErr w:type="spellStart"/>
      <w:r w:rsidRPr="00693A45">
        <w:rPr>
          <w:lang w:val="en-US"/>
        </w:rPr>
        <w:t>aktive</w:t>
      </w:r>
      <w:proofErr w:type="spellEnd"/>
      <w:r w:rsidRPr="00693A45">
        <w:rPr>
          <w:lang w:val="en-US"/>
        </w:rPr>
        <w:t xml:space="preserve"> </w:t>
      </w:r>
      <w:proofErr w:type="spellStart"/>
      <w:r w:rsidRPr="00693A45">
        <w:rPr>
          <w:lang w:val="en-US"/>
        </w:rPr>
        <w:t>tiltak</w:t>
      </w:r>
      <w:proofErr w:type="spellEnd"/>
      <w:r w:rsidRPr="00693A45">
        <w:rPr>
          <w:lang w:val="en-US"/>
        </w:rPr>
        <w:t xml:space="preserve"> der </w:t>
      </w:r>
      <w:proofErr w:type="spellStart"/>
      <w:r w:rsidRPr="00693A45">
        <w:rPr>
          <w:lang w:val="en-US"/>
        </w:rPr>
        <w:t>dette</w:t>
      </w:r>
      <w:proofErr w:type="spellEnd"/>
      <w:r w:rsidRPr="00693A45">
        <w:rPr>
          <w:lang w:val="en-US"/>
        </w:rPr>
        <w:t xml:space="preserve"> er </w:t>
      </w:r>
      <w:proofErr w:type="spellStart"/>
      <w:r w:rsidRPr="00693A45">
        <w:rPr>
          <w:lang w:val="en-US"/>
        </w:rPr>
        <w:t>nødvendig</w:t>
      </w:r>
      <w:proofErr w:type="spellEnd"/>
      <w:r w:rsidRPr="00693A45">
        <w:rPr>
          <w:lang w:val="en-US"/>
        </w:rPr>
        <w:t xml:space="preserve"> for å </w:t>
      </w:r>
      <w:proofErr w:type="spellStart"/>
      <w:r w:rsidRPr="00693A45">
        <w:rPr>
          <w:lang w:val="en-US"/>
        </w:rPr>
        <w:t>oppfylle</w:t>
      </w:r>
      <w:proofErr w:type="spellEnd"/>
      <w:r w:rsidRPr="00693A45">
        <w:rPr>
          <w:lang w:val="en-US"/>
        </w:rPr>
        <w:t xml:space="preserve"> </w:t>
      </w:r>
      <w:proofErr w:type="spellStart"/>
      <w:r w:rsidRPr="00693A45">
        <w:rPr>
          <w:lang w:val="en-US"/>
        </w:rPr>
        <w:t>kravet</w:t>
      </w:r>
      <w:proofErr w:type="spellEnd"/>
      <w:r w:rsidRPr="00693A45">
        <w:rPr>
          <w:lang w:val="en-US"/>
        </w:rPr>
        <w:t xml:space="preserve"> om </w:t>
      </w:r>
      <w:proofErr w:type="spellStart"/>
      <w:r w:rsidRPr="00693A45">
        <w:rPr>
          <w:lang w:val="en-US"/>
        </w:rPr>
        <w:t>kulturvern</w:t>
      </w:r>
      <w:proofErr w:type="spellEnd"/>
      <w:r w:rsidR="00CD439F">
        <w:rPr>
          <w:lang w:val="en-US"/>
        </w:rPr>
        <w:t>»</w:t>
      </w:r>
      <w:r w:rsidRPr="00693A45">
        <w:rPr>
          <w:lang w:val="en-US"/>
        </w:rPr>
        <w:t>.</w:t>
      </w:r>
      <w:r w:rsidR="00CD439F" w:rsidRPr="00CD439F">
        <w:rPr>
          <w:rStyle w:val="Fotnotereferanse"/>
        </w:rPr>
        <w:footnoteReference w:id="72"/>
      </w:r>
      <w:r w:rsidRPr="00693A45">
        <w:rPr>
          <w:lang w:val="en-US"/>
        </w:rPr>
        <w:t xml:space="preserve"> </w:t>
      </w:r>
      <w:r w:rsidRPr="1755F46F">
        <w:t xml:space="preserve">I andre utgave av kommentarene til SP </w:t>
      </w:r>
      <w:r w:rsidRPr="00935543">
        <w:t>fra 2005</w:t>
      </w:r>
      <w:r w:rsidRPr="1755F46F">
        <w:t xml:space="preserve"> skriver </w:t>
      </w:r>
      <w:r w:rsidRPr="00935543">
        <w:t>Manfred Nowak,</w:t>
      </w:r>
      <w:r w:rsidRPr="1755F46F">
        <w:t xml:space="preserve"> med henvisning til </w:t>
      </w:r>
      <w:proofErr w:type="spellStart"/>
      <w:r w:rsidRPr="1755F46F">
        <w:t>MRKs</w:t>
      </w:r>
      <w:proofErr w:type="spellEnd"/>
      <w:r w:rsidRPr="1755F46F">
        <w:t xml:space="preserve"> uttalelser i </w:t>
      </w:r>
      <w:proofErr w:type="spellStart"/>
      <w:r w:rsidRPr="1755F46F">
        <w:t>Lubicon</w:t>
      </w:r>
      <w:proofErr w:type="spellEnd"/>
      <w:r w:rsidRPr="1755F46F">
        <w:t xml:space="preserve"> Lake Band-saken og </w:t>
      </w:r>
      <w:proofErr w:type="spellStart"/>
      <w:r w:rsidRPr="1755F46F">
        <w:t>Apirana</w:t>
      </w:r>
      <w:proofErr w:type="spellEnd"/>
      <w:r w:rsidRPr="1755F46F">
        <w:t xml:space="preserve"> </w:t>
      </w:r>
      <w:proofErr w:type="spellStart"/>
      <w:r w:rsidRPr="1755F46F">
        <w:t>Mahuika</w:t>
      </w:r>
      <w:proofErr w:type="spellEnd"/>
      <w:r w:rsidRPr="1755F46F">
        <w:t>-saken:</w:t>
      </w:r>
      <w:r w:rsidR="00CD439F" w:rsidRPr="00CD439F">
        <w:rPr>
          <w:rStyle w:val="Fotnotereferanse"/>
        </w:rPr>
        <w:footnoteReference w:id="73"/>
      </w:r>
    </w:p>
    <w:p w14:paraId="6C0CB537" w14:textId="02CB4774" w:rsidR="00C0192B" w:rsidRPr="00CD439F" w:rsidRDefault="00CD439F" w:rsidP="00393223">
      <w:pPr>
        <w:pStyle w:val="blokksit"/>
        <w:ind w:left="757"/>
        <w:rPr>
          <w:lang w:val="en-US"/>
        </w:rPr>
      </w:pPr>
      <w:r>
        <w:rPr>
          <w:lang w:val="en-US"/>
        </w:rPr>
        <w:t>«</w:t>
      </w:r>
      <w:r w:rsidR="00C0192B" w:rsidRPr="00CD439F">
        <w:rPr>
          <w:lang w:val="en-US"/>
        </w:rPr>
        <w:t>The Committee has come a long way in accepting positive obligations to ensure special rights of indigenous peoples, but has been very cautious in respect of other minorities.</w:t>
      </w:r>
      <w:r>
        <w:rPr>
          <w:lang w:val="en-US"/>
        </w:rPr>
        <w:t>»</w:t>
      </w:r>
    </w:p>
    <w:p w14:paraId="69DF8D7D" w14:textId="0F5DCF80" w:rsidR="00C0192B" w:rsidRDefault="00C0192B" w:rsidP="00C0192B">
      <w:r w:rsidRPr="00612642">
        <w:rPr>
          <w:lang w:val="en-US"/>
        </w:rPr>
        <w:t xml:space="preserve">Selv om MRK </w:t>
      </w:r>
      <w:proofErr w:type="spellStart"/>
      <w:r w:rsidRPr="00612642">
        <w:rPr>
          <w:lang w:val="en-US"/>
        </w:rPr>
        <w:t>har</w:t>
      </w:r>
      <w:proofErr w:type="spellEnd"/>
      <w:r w:rsidRPr="00612642">
        <w:rPr>
          <w:lang w:val="en-US"/>
        </w:rPr>
        <w:t xml:space="preserve"> </w:t>
      </w:r>
      <w:proofErr w:type="spellStart"/>
      <w:r w:rsidRPr="00612642">
        <w:rPr>
          <w:lang w:val="en-US"/>
        </w:rPr>
        <w:t>lagt</w:t>
      </w:r>
      <w:proofErr w:type="spellEnd"/>
      <w:r w:rsidRPr="00612642">
        <w:rPr>
          <w:lang w:val="en-US"/>
        </w:rPr>
        <w:t xml:space="preserve"> </w:t>
      </w:r>
      <w:proofErr w:type="spellStart"/>
      <w:r w:rsidRPr="00612642">
        <w:rPr>
          <w:lang w:val="en-US"/>
        </w:rPr>
        <w:t>til</w:t>
      </w:r>
      <w:proofErr w:type="spellEnd"/>
      <w:r w:rsidRPr="00612642">
        <w:rPr>
          <w:lang w:val="en-US"/>
        </w:rPr>
        <w:t xml:space="preserve"> </w:t>
      </w:r>
      <w:proofErr w:type="spellStart"/>
      <w:r w:rsidRPr="00612642">
        <w:rPr>
          <w:lang w:val="en-US"/>
        </w:rPr>
        <w:t>grunn</w:t>
      </w:r>
      <w:proofErr w:type="spellEnd"/>
      <w:r w:rsidRPr="00612642">
        <w:rPr>
          <w:lang w:val="en-US"/>
        </w:rPr>
        <w:t xml:space="preserve"> at SP </w:t>
      </w:r>
      <w:proofErr w:type="spellStart"/>
      <w:r w:rsidRPr="00612642">
        <w:rPr>
          <w:lang w:val="en-US"/>
        </w:rPr>
        <w:t>artikkel</w:t>
      </w:r>
      <w:proofErr w:type="spellEnd"/>
      <w:r w:rsidRPr="00612642">
        <w:rPr>
          <w:lang w:val="en-US"/>
        </w:rPr>
        <w:t xml:space="preserve"> 27 </w:t>
      </w:r>
      <w:proofErr w:type="spellStart"/>
      <w:r w:rsidRPr="00612642">
        <w:rPr>
          <w:lang w:val="en-US"/>
        </w:rPr>
        <w:t>pålegger</w:t>
      </w:r>
      <w:proofErr w:type="spellEnd"/>
      <w:r w:rsidRPr="00612642">
        <w:rPr>
          <w:lang w:val="en-US"/>
        </w:rPr>
        <w:t xml:space="preserve"> </w:t>
      </w:r>
      <w:proofErr w:type="spellStart"/>
      <w:r w:rsidRPr="00612642">
        <w:rPr>
          <w:lang w:val="en-US"/>
        </w:rPr>
        <w:t>statene</w:t>
      </w:r>
      <w:proofErr w:type="spellEnd"/>
      <w:r w:rsidRPr="00612642">
        <w:rPr>
          <w:lang w:val="en-US"/>
        </w:rPr>
        <w:t xml:space="preserve"> </w:t>
      </w:r>
      <w:proofErr w:type="spellStart"/>
      <w:r w:rsidRPr="00612642">
        <w:rPr>
          <w:lang w:val="en-US"/>
        </w:rPr>
        <w:t>en</w:t>
      </w:r>
      <w:proofErr w:type="spellEnd"/>
      <w:r w:rsidRPr="00612642">
        <w:rPr>
          <w:lang w:val="en-US"/>
        </w:rPr>
        <w:t xml:space="preserve"> </w:t>
      </w:r>
      <w:proofErr w:type="spellStart"/>
      <w:r w:rsidRPr="00612642">
        <w:rPr>
          <w:lang w:val="en-US"/>
        </w:rPr>
        <w:t>viss</w:t>
      </w:r>
      <w:proofErr w:type="spellEnd"/>
      <w:r w:rsidRPr="00612642">
        <w:rPr>
          <w:lang w:val="en-US"/>
        </w:rPr>
        <w:t xml:space="preserve"> </w:t>
      </w:r>
      <w:proofErr w:type="spellStart"/>
      <w:r w:rsidRPr="00612642">
        <w:rPr>
          <w:lang w:val="en-US"/>
        </w:rPr>
        <w:t>plikt</w:t>
      </w:r>
      <w:proofErr w:type="spellEnd"/>
      <w:r w:rsidRPr="00612642">
        <w:rPr>
          <w:lang w:val="en-US"/>
        </w:rPr>
        <w:t xml:space="preserve"> </w:t>
      </w:r>
      <w:proofErr w:type="spellStart"/>
      <w:r w:rsidRPr="00612642">
        <w:rPr>
          <w:lang w:val="en-US"/>
        </w:rPr>
        <w:t>til</w:t>
      </w:r>
      <w:proofErr w:type="spellEnd"/>
      <w:r w:rsidRPr="00612642">
        <w:rPr>
          <w:lang w:val="en-US"/>
        </w:rPr>
        <w:t xml:space="preserve"> å </w:t>
      </w:r>
      <w:proofErr w:type="spellStart"/>
      <w:r w:rsidRPr="00612642">
        <w:rPr>
          <w:lang w:val="en-US"/>
        </w:rPr>
        <w:t>iverksette</w:t>
      </w:r>
      <w:proofErr w:type="spellEnd"/>
      <w:r w:rsidRPr="00612642">
        <w:rPr>
          <w:lang w:val="en-US"/>
        </w:rPr>
        <w:t xml:space="preserve"> positive </w:t>
      </w:r>
      <w:proofErr w:type="spellStart"/>
      <w:r w:rsidRPr="00612642">
        <w:rPr>
          <w:lang w:val="en-US"/>
        </w:rPr>
        <w:t>støttetiltak</w:t>
      </w:r>
      <w:proofErr w:type="spellEnd"/>
      <w:r w:rsidRPr="00612642">
        <w:rPr>
          <w:lang w:val="en-US"/>
        </w:rPr>
        <w:t xml:space="preserve">, </w:t>
      </w:r>
      <w:proofErr w:type="spellStart"/>
      <w:r w:rsidRPr="00612642">
        <w:rPr>
          <w:lang w:val="en-US"/>
        </w:rPr>
        <w:t>har</w:t>
      </w:r>
      <w:proofErr w:type="spellEnd"/>
      <w:r w:rsidRPr="00612642">
        <w:rPr>
          <w:lang w:val="en-US"/>
        </w:rPr>
        <w:t xml:space="preserve"> </w:t>
      </w:r>
      <w:proofErr w:type="spellStart"/>
      <w:r w:rsidRPr="00612642">
        <w:rPr>
          <w:lang w:val="en-US"/>
        </w:rPr>
        <w:t>komiteen</w:t>
      </w:r>
      <w:proofErr w:type="spellEnd"/>
      <w:r w:rsidRPr="00612642">
        <w:rPr>
          <w:lang w:val="en-US"/>
        </w:rPr>
        <w:t xml:space="preserve"> </w:t>
      </w:r>
      <w:proofErr w:type="spellStart"/>
      <w:r w:rsidRPr="00612642">
        <w:rPr>
          <w:lang w:val="en-US"/>
        </w:rPr>
        <w:t>imidlertid</w:t>
      </w:r>
      <w:proofErr w:type="spellEnd"/>
      <w:r w:rsidRPr="00612642">
        <w:rPr>
          <w:lang w:val="en-US"/>
        </w:rPr>
        <w:t xml:space="preserve"> </w:t>
      </w:r>
      <w:proofErr w:type="spellStart"/>
      <w:r w:rsidRPr="00612642">
        <w:rPr>
          <w:lang w:val="en-US"/>
        </w:rPr>
        <w:t>i</w:t>
      </w:r>
      <w:proofErr w:type="spellEnd"/>
      <w:r w:rsidRPr="00612642">
        <w:rPr>
          <w:lang w:val="en-US"/>
        </w:rPr>
        <w:t xml:space="preserve"> </w:t>
      </w:r>
      <w:proofErr w:type="spellStart"/>
      <w:r w:rsidRPr="00612642">
        <w:rPr>
          <w:lang w:val="en-US"/>
        </w:rPr>
        <w:t>begrenset</w:t>
      </w:r>
      <w:proofErr w:type="spellEnd"/>
      <w:r w:rsidRPr="00612642">
        <w:rPr>
          <w:lang w:val="en-US"/>
        </w:rPr>
        <w:t xml:space="preserve"> grad </w:t>
      </w:r>
      <w:proofErr w:type="spellStart"/>
      <w:r w:rsidRPr="00612642">
        <w:rPr>
          <w:lang w:val="en-US"/>
        </w:rPr>
        <w:t>konkretisert</w:t>
      </w:r>
      <w:proofErr w:type="spellEnd"/>
      <w:r w:rsidRPr="00612642">
        <w:rPr>
          <w:lang w:val="en-US"/>
        </w:rPr>
        <w:t xml:space="preserve"> </w:t>
      </w:r>
      <w:proofErr w:type="spellStart"/>
      <w:r w:rsidRPr="00612642">
        <w:rPr>
          <w:lang w:val="en-US"/>
        </w:rPr>
        <w:t>pliktens</w:t>
      </w:r>
      <w:proofErr w:type="spellEnd"/>
      <w:r w:rsidRPr="00612642">
        <w:rPr>
          <w:lang w:val="en-US"/>
        </w:rPr>
        <w:t xml:space="preserve"> </w:t>
      </w:r>
      <w:proofErr w:type="spellStart"/>
      <w:r w:rsidRPr="00612642">
        <w:rPr>
          <w:lang w:val="en-US"/>
        </w:rPr>
        <w:t>innhold</w:t>
      </w:r>
      <w:proofErr w:type="spellEnd"/>
      <w:r w:rsidRPr="00612642">
        <w:rPr>
          <w:lang w:val="en-US"/>
        </w:rPr>
        <w:t xml:space="preserve">. </w:t>
      </w:r>
      <w:r w:rsidRPr="40CD0FAB">
        <w:t xml:space="preserve">For eksempel viser MRK i </w:t>
      </w:r>
      <w:proofErr w:type="spellStart"/>
      <w:r w:rsidRPr="00CD439F">
        <w:rPr>
          <w:rStyle w:val="kursiv"/>
        </w:rPr>
        <w:t>Jovsset</w:t>
      </w:r>
      <w:proofErr w:type="spellEnd"/>
      <w:r w:rsidRPr="00CD439F">
        <w:rPr>
          <w:rStyle w:val="kursiv"/>
        </w:rPr>
        <w:t xml:space="preserve"> Ante Sara mot Norge</w:t>
      </w:r>
      <w:r w:rsidRPr="40CD0FAB">
        <w:t xml:space="preserve"> til at positive støttetiltak kan være nødvendig for å oppfylle statenes forpliktelser etter artikkel 27, men uten å konkretisere innholdet i slike tiltak:</w:t>
      </w:r>
      <w:r w:rsidR="00CD439F" w:rsidRPr="00CD439F">
        <w:rPr>
          <w:rStyle w:val="Fotnotereferanse"/>
        </w:rPr>
        <w:footnoteReference w:id="74"/>
      </w:r>
    </w:p>
    <w:p w14:paraId="54ACE547" w14:textId="2CBF71DC" w:rsidR="00FE4113" w:rsidRPr="00CD439F" w:rsidRDefault="00CD439F" w:rsidP="00393223">
      <w:pPr>
        <w:pStyle w:val="blokksit"/>
        <w:ind w:left="757"/>
        <w:rPr>
          <w:lang w:val="en-US"/>
        </w:rPr>
      </w:pPr>
      <w:r>
        <w:rPr>
          <w:lang w:val="en-US"/>
        </w:rPr>
        <w:t>«</w:t>
      </w:r>
      <w:r w:rsidR="00FE4113" w:rsidRPr="00CD439F">
        <w:rPr>
          <w:lang w:val="en-US"/>
        </w:rPr>
        <w:t xml:space="preserve">In accordance with article 27, members of minorities groups shall not be denied the right to enjoy their own culture and measures whose impact amounts to a denial of that right are incompatible with the obligations under article 27. The </w:t>
      </w:r>
      <w:r w:rsidR="00FE4113" w:rsidRPr="00CD439F">
        <w:rPr>
          <w:lang w:val="en-US"/>
        </w:rPr>
        <w:lastRenderedPageBreak/>
        <w:t>enjoyment of that right may require positive legal measures of protection and measures to ensure the effective participation of members of minority communities in decisions that affect them. The protection of the rights enshrined in article 27 is directed towards ensuring the survival and continued development of the cultural identity of the minority concerned, thus enriching the fabric of society as a whole.</w:t>
      </w:r>
      <w:r>
        <w:rPr>
          <w:lang w:val="en-US"/>
        </w:rPr>
        <w:t>»</w:t>
      </w:r>
    </w:p>
    <w:p w14:paraId="22529BEC" w14:textId="32C68ECA" w:rsidR="00FE4113" w:rsidRDefault="00FE4113" w:rsidP="00FE4113">
      <w:r w:rsidRPr="57473D06">
        <w:t xml:space="preserve">I saken </w:t>
      </w:r>
      <w:r w:rsidRPr="00CD439F">
        <w:rPr>
          <w:rStyle w:val="kursiv"/>
        </w:rPr>
        <w:t>Daniel Billy m.fl. mot Australia</w:t>
      </w:r>
      <w:r w:rsidRPr="57473D06">
        <w:t>, som ble avgjort i 2022, konkluderte MRK med at Australia ikke i tilstrekkelig grad hadde iverksatt tiltak for å beskytte urbefolkningen på Torres Island mot de negative virkningene av klimaendringene, og at dette blant annet var et brudd på statens positive forpliktelser etter SP artikkel 27. Med henvisning til urfolksgruppens anførsel om at klimaendringene hadde ført til erosjoner og oversvømmelser som rammet deres ressurser og tradisjonelle områder som de bruker til tradisjonelt fiske og jordbruk, og til kulturelle seremonier, uttaler MRK:</w:t>
      </w:r>
      <w:r w:rsidR="00CD439F" w:rsidRPr="00CD439F">
        <w:rPr>
          <w:rStyle w:val="Fotnotereferanse"/>
        </w:rPr>
        <w:footnoteReference w:id="75"/>
      </w:r>
    </w:p>
    <w:p w14:paraId="69D93751" w14:textId="5D63A777" w:rsidR="00FE4113" w:rsidRPr="00CD439F" w:rsidRDefault="00CD439F" w:rsidP="00393223">
      <w:pPr>
        <w:pStyle w:val="blokksit"/>
        <w:ind w:left="757"/>
        <w:rPr>
          <w:rFonts w:asciiTheme="majorBidi" w:hAnsiTheme="majorBidi" w:cstheme="majorBidi"/>
          <w:lang w:val="en-US"/>
        </w:rPr>
      </w:pPr>
      <w:r>
        <w:rPr>
          <w:rFonts w:asciiTheme="majorBidi" w:hAnsiTheme="majorBidi" w:cstheme="majorBidi"/>
          <w:lang w:val="en-US"/>
        </w:rPr>
        <w:t>«</w:t>
      </w:r>
      <w:r w:rsidR="00FE4113" w:rsidRPr="00CD439F">
        <w:rPr>
          <w:lang w:val="en-US"/>
        </w:rPr>
        <w:t>The Committee considers that the climate impacts mentioned by the authors represent a threat that could have reasonably been foreseen by the State party, as the authors</w:t>
      </w:r>
      <w:r>
        <w:rPr>
          <w:lang w:val="en-US"/>
        </w:rPr>
        <w:t>’</w:t>
      </w:r>
      <w:r w:rsidR="00FE4113" w:rsidRPr="00CD439F">
        <w:rPr>
          <w:lang w:val="en-US"/>
        </w:rPr>
        <w:t xml:space="preserve"> community members began raising the issue in the 1990s. While noting the completed and ongoing sea wall construction on the islands where the authors live, the Committee considers that the delay in initiating these projects indicates an inadequate response by the State party to the threat faced by the authors. With reference to its findings in paragraph 8.14, the Committee considers that the information made available to it indicates that the State party</w:t>
      </w:r>
      <w:r>
        <w:rPr>
          <w:lang w:val="en-US"/>
        </w:rPr>
        <w:t>’</w:t>
      </w:r>
      <w:r w:rsidR="00FE4113" w:rsidRPr="00CD439F">
        <w:rPr>
          <w:lang w:val="en-US"/>
        </w:rPr>
        <w:t>s failure to adopt timely adequate adaptation measures to protect the authors</w:t>
      </w:r>
      <w:r>
        <w:rPr>
          <w:lang w:val="en-US"/>
        </w:rPr>
        <w:t>’</w:t>
      </w:r>
      <w:r w:rsidR="00FE4113" w:rsidRPr="00CD439F">
        <w:rPr>
          <w:lang w:val="en-US"/>
        </w:rPr>
        <w:t xml:space="preserve"> collective ability to maintain their traditional way of life and to transmit to their children and future generations their culture and traditions and use of land and sea resources discloses a violation of the State party</w:t>
      </w:r>
      <w:r>
        <w:rPr>
          <w:lang w:val="en-US"/>
        </w:rPr>
        <w:t>’</w:t>
      </w:r>
      <w:r w:rsidR="00FE4113" w:rsidRPr="00CD439F">
        <w:rPr>
          <w:lang w:val="en-US"/>
        </w:rPr>
        <w:t>s positive obligation to protect the authors</w:t>
      </w:r>
      <w:r>
        <w:rPr>
          <w:lang w:val="en-US"/>
        </w:rPr>
        <w:t>’</w:t>
      </w:r>
      <w:r w:rsidR="00FE4113" w:rsidRPr="00CD439F">
        <w:rPr>
          <w:lang w:val="en-US"/>
        </w:rPr>
        <w:t xml:space="preserve"> right to enjoy their minority culture. Accordingly, the Committee considers that the facts before it amount to a violation of the authors</w:t>
      </w:r>
      <w:r>
        <w:rPr>
          <w:lang w:val="en-US"/>
        </w:rPr>
        <w:t>’</w:t>
      </w:r>
      <w:r w:rsidR="00FE4113" w:rsidRPr="00CD439F">
        <w:rPr>
          <w:lang w:val="en-US"/>
        </w:rPr>
        <w:t xml:space="preserve"> rights under article 27 of the Covenant</w:t>
      </w:r>
      <w:r w:rsidR="00FE4113" w:rsidRPr="00CD439F">
        <w:rPr>
          <w:rFonts w:asciiTheme="majorBidi" w:hAnsiTheme="majorBidi" w:cstheme="majorBidi"/>
          <w:lang w:val="en-US"/>
        </w:rPr>
        <w:t>.</w:t>
      </w:r>
      <w:r>
        <w:rPr>
          <w:rFonts w:asciiTheme="majorBidi" w:hAnsiTheme="majorBidi" w:cstheme="majorBidi"/>
          <w:lang w:val="en-US"/>
        </w:rPr>
        <w:t>»</w:t>
      </w:r>
    </w:p>
    <w:p w14:paraId="38496C8D" w14:textId="036CA104" w:rsidR="00FE4113" w:rsidRDefault="00FE4113" w:rsidP="00FE4113">
      <w:r w:rsidRPr="57473D06">
        <w:t>Heller ikke i denne avgjørelsen går MRK mer konkret inn på hvilke positive støttetiltak som kan være aktuelle. Det fremgår imidlertid at de tiltakene som myndighetene hadde iverksatt for å motvirke de uheldige virkningene av klimaend</w:t>
      </w:r>
      <w:r>
        <w:t>r</w:t>
      </w:r>
      <w:r w:rsidRPr="57473D06">
        <w:t xml:space="preserve">ingene i form av å bygge en </w:t>
      </w:r>
      <w:proofErr w:type="spellStart"/>
      <w:r w:rsidRPr="57473D06">
        <w:t>sjømur</w:t>
      </w:r>
      <w:proofErr w:type="spellEnd"/>
      <w:r w:rsidRPr="57473D06">
        <w:t xml:space="preserve"> </w:t>
      </w:r>
      <w:r>
        <w:t>(</w:t>
      </w:r>
      <w:r w:rsidR="00CD439F">
        <w:t>«</w:t>
      </w:r>
      <w:proofErr w:type="spellStart"/>
      <w:r>
        <w:t>sea</w:t>
      </w:r>
      <w:proofErr w:type="spellEnd"/>
      <w:r>
        <w:t xml:space="preserve"> </w:t>
      </w:r>
      <w:proofErr w:type="spellStart"/>
      <w:r>
        <w:t>wall</w:t>
      </w:r>
      <w:proofErr w:type="spellEnd"/>
      <w:r w:rsidR="00CD439F">
        <w:t>»</w:t>
      </w:r>
      <w:r>
        <w:t>), var iverksatt for sent til å oppfylle statens positive forpliktelser.</w:t>
      </w:r>
    </w:p>
    <w:p w14:paraId="1BC3B0BD" w14:textId="77777777" w:rsidR="00303661" w:rsidRDefault="00FE4113" w:rsidP="00FE4113">
      <w:r>
        <w:t xml:space="preserve">Det er </w:t>
      </w:r>
      <w:r w:rsidRPr="00254C8F">
        <w:t>ellers</w:t>
      </w:r>
      <w:r>
        <w:t xml:space="preserve"> nærliggende å anta at plikten til positive særtiltak i større grad enn plikten til å unngå skadelige inngrep i kulturutøvelsen er en relativ plikt, ved at innholdet i de kravene som stilles vil kunne variere med statenes økonomiske forutsetninger for å oppfylle dem. For Norges del </w:t>
      </w:r>
      <w:r w:rsidRPr="00254C8F">
        <w:t>er det også sannsynlig</w:t>
      </w:r>
      <w:r w:rsidRPr="57473D06">
        <w:t xml:space="preserve"> at plikten til å iverksette positive særtiltak går lenger når det gjelder de mer truede delene av samisk kultur, så som </w:t>
      </w:r>
      <w:r w:rsidRPr="57473D06">
        <w:lastRenderedPageBreak/>
        <w:t xml:space="preserve">sørsamisk og lulesamisk kultur, enn når det gjelder nordsamisk kultur. </w:t>
      </w:r>
      <w:r>
        <w:t>Som nevnt foran, vektla Høyesterett ved vurderingen av om SP artikkel 27 var krenket i Fosen-saken at den sørsamiske kulturen er særlig sårbar. Med dette synes Høyesterett å anta at det i inngrepssaker skal mindre til for å konstatere brudd på artikkel 27 i områder der urfolkskulturen er sårbar enn i områder der kulturen står sterkere. Det er nærliggende å anta at dette også gjelder for plikten til å iverksette positive tiltak.</w:t>
      </w:r>
    </w:p>
    <w:p w14:paraId="4A02181E" w14:textId="2ECADCAE" w:rsidR="00FE4113" w:rsidRDefault="00FE4113" w:rsidP="00FE4113">
      <w:r w:rsidRPr="005816B9">
        <w:t xml:space="preserve">Når det </w:t>
      </w:r>
      <w:r>
        <w:t xml:space="preserve">ellers </w:t>
      </w:r>
      <w:r w:rsidRPr="005816B9">
        <w:t>gjelder plikten til positive tiltak</w:t>
      </w:r>
      <w:r>
        <w:t>,</w:t>
      </w:r>
      <w:r w:rsidRPr="005816B9">
        <w:t xml:space="preserve"> kan det også trekkes en linje til Grunnloven </w:t>
      </w:r>
      <w:r w:rsidR="00CD439F">
        <w:t>§ </w:t>
      </w:r>
      <w:r w:rsidR="00CD439F" w:rsidRPr="005816B9">
        <w:t>1</w:t>
      </w:r>
      <w:r w:rsidRPr="005816B9">
        <w:t xml:space="preserve">08 (tidligere </w:t>
      </w:r>
      <w:r w:rsidR="00CD439F">
        <w:t>§ </w:t>
      </w:r>
      <w:r w:rsidR="00CD439F" w:rsidRPr="005816B9">
        <w:t>1</w:t>
      </w:r>
      <w:r w:rsidRPr="005816B9">
        <w:t xml:space="preserve">10 a). Grunnlovsparagrafen bygger </w:t>
      </w:r>
      <w:r>
        <w:t xml:space="preserve">på </w:t>
      </w:r>
      <w:r w:rsidRPr="005816B9">
        <w:t>SP artikkel 27,</w:t>
      </w:r>
      <w:r w:rsidR="00CD439F" w:rsidRPr="00CD439F">
        <w:rPr>
          <w:rStyle w:val="Fotnotereferanse"/>
        </w:rPr>
        <w:footnoteReference w:id="76"/>
      </w:r>
      <w:r w:rsidRPr="005816B9">
        <w:t xml:space="preserve"> og er etter ordlyden knyttet til statens positive forpliktelser. Etter at ordene </w:t>
      </w:r>
      <w:r w:rsidR="00CD439F">
        <w:t>«</w:t>
      </w:r>
      <w:r w:rsidRPr="00CD439F">
        <w:rPr>
          <w:rStyle w:val="kursiv"/>
        </w:rPr>
        <w:t>det samiske folk, som urfolk</w:t>
      </w:r>
      <w:r w:rsidR="00CD439F">
        <w:t>»</w:t>
      </w:r>
      <w:r w:rsidRPr="005816B9">
        <w:t xml:space="preserve"> ved grunnlovsvedtak 15. mai 2023 erstattet </w:t>
      </w:r>
      <w:r w:rsidR="00CD439F">
        <w:t>«</w:t>
      </w:r>
      <w:r w:rsidRPr="00CD439F">
        <w:rPr>
          <w:rStyle w:val="kursiv"/>
        </w:rPr>
        <w:t>den samiske folkegruppe</w:t>
      </w:r>
      <w:r w:rsidR="00CD439F">
        <w:t>»</w:t>
      </w:r>
      <w:r w:rsidRPr="005816B9">
        <w:t>, lyder paragrafen slik:</w:t>
      </w:r>
    </w:p>
    <w:p w14:paraId="24D175A2" w14:textId="11BB2256" w:rsidR="00303661" w:rsidRPr="00CD439F" w:rsidRDefault="00CD439F" w:rsidP="00393223">
      <w:pPr>
        <w:pStyle w:val="blokksit"/>
        <w:ind w:left="757"/>
      </w:pPr>
      <w:r>
        <w:t>«</w:t>
      </w:r>
      <w:r w:rsidR="00FE4113" w:rsidRPr="00CD439F">
        <w:t>Det påligger statens myndigheter å legge forholdene til rette for at det samiske folk, som urfolk, kan sikre og utvikle sitt språk, sin kultur og sitt samfunnsliv.</w:t>
      </w:r>
      <w:r>
        <w:t>»</w:t>
      </w:r>
    </w:p>
    <w:p w14:paraId="27B2E2AC" w14:textId="3D5FF1F1" w:rsidR="00FE4113" w:rsidRDefault="00FE4113" w:rsidP="00FE4113">
      <w:pPr>
        <w:pStyle w:val="Overskrift4"/>
      </w:pPr>
      <w:r>
        <w:t>Betaling av erstatning</w:t>
      </w:r>
    </w:p>
    <w:p w14:paraId="71E78999" w14:textId="150527A6" w:rsidR="00FE4113" w:rsidRDefault="00FE4113" w:rsidP="00FE4113">
      <w:pPr>
        <w:rPr>
          <w:rFonts w:asciiTheme="majorBidi" w:hAnsiTheme="majorBidi" w:cstheme="majorBidi"/>
        </w:rPr>
      </w:pPr>
      <w:r>
        <w:t xml:space="preserve">Utbetaling av erstatning for manglende adgang til reinbeiteområder kan være ett av flere elementer i vurderingen av om artikkel 27 er krenket. Men det er grenser for hvor langt en kan komme med betaling av erstatning. Det kan tas hensyn til ved bedømmelsen av lovligheten av betydelige inngrep, men kan ikke avbøte tilfeller som etter </w:t>
      </w:r>
      <w:proofErr w:type="spellStart"/>
      <w:r>
        <w:t>Poma</w:t>
      </w:r>
      <w:proofErr w:type="spellEnd"/>
      <w:r>
        <w:t xml:space="preserve"> </w:t>
      </w:r>
      <w:proofErr w:type="spellStart"/>
      <w:r>
        <w:t>Poma</w:t>
      </w:r>
      <w:proofErr w:type="spellEnd"/>
      <w:r>
        <w:t xml:space="preserve">-saken ville </w:t>
      </w:r>
      <w:r w:rsidR="00CD439F">
        <w:t>«</w:t>
      </w:r>
      <w:proofErr w:type="spellStart"/>
      <w:r>
        <w:t>endanger</w:t>
      </w:r>
      <w:proofErr w:type="spellEnd"/>
      <w:r>
        <w:t xml:space="preserve"> </w:t>
      </w:r>
      <w:proofErr w:type="spellStart"/>
      <w:r>
        <w:t>the</w:t>
      </w:r>
      <w:proofErr w:type="spellEnd"/>
      <w:r>
        <w:t xml:space="preserve"> </w:t>
      </w:r>
      <w:proofErr w:type="spellStart"/>
      <w:r>
        <w:t>very</w:t>
      </w:r>
      <w:proofErr w:type="spellEnd"/>
      <w:r>
        <w:t xml:space="preserve"> </w:t>
      </w:r>
      <w:proofErr w:type="spellStart"/>
      <w:r>
        <w:t>survival</w:t>
      </w:r>
      <w:proofErr w:type="spellEnd"/>
      <w:r>
        <w:t xml:space="preserve"> </w:t>
      </w:r>
      <w:proofErr w:type="spellStart"/>
      <w:r>
        <w:t>of</w:t>
      </w:r>
      <w:proofErr w:type="spellEnd"/>
      <w:r>
        <w:t xml:space="preserve"> </w:t>
      </w:r>
      <w:proofErr w:type="spellStart"/>
      <w:r>
        <w:t>the</w:t>
      </w:r>
      <w:proofErr w:type="spellEnd"/>
      <w:r>
        <w:t xml:space="preserve"> </w:t>
      </w:r>
      <w:proofErr w:type="spellStart"/>
      <w:r>
        <w:t>community</w:t>
      </w:r>
      <w:proofErr w:type="spellEnd"/>
      <w:r>
        <w:t xml:space="preserve"> and </w:t>
      </w:r>
      <w:proofErr w:type="spellStart"/>
      <w:r>
        <w:t>its</w:t>
      </w:r>
      <w:proofErr w:type="spellEnd"/>
      <w:r>
        <w:t xml:space="preserve"> </w:t>
      </w:r>
      <w:proofErr w:type="spellStart"/>
      <w:r>
        <w:t>members</w:t>
      </w:r>
      <w:proofErr w:type="spellEnd"/>
      <w:r w:rsidR="00CD439F">
        <w:t>»</w:t>
      </w:r>
      <w:r>
        <w:t xml:space="preserve">. I Fosen-saken påpekte Høyesterett at erstatning for vinterfôring slik som behandlet av lagmannsretten </w:t>
      </w:r>
      <w:r w:rsidR="00CD439F">
        <w:t>«</w:t>
      </w:r>
      <w:r>
        <w:t>avviker vesentlig fra tradisjonell, nomadisk reindrift</w:t>
      </w:r>
      <w:r w:rsidR="00CD439F">
        <w:t>»</w:t>
      </w:r>
      <w:r>
        <w:t xml:space="preserve"> og det fremsto som usikkert om opplegget var </w:t>
      </w:r>
      <w:r w:rsidR="00CD439F">
        <w:t>«</w:t>
      </w:r>
      <w:r>
        <w:t>forenlig med reineiernes rett til å utøve sin kultur etter SP artikkel 27</w:t>
      </w:r>
      <w:r w:rsidR="00CD439F">
        <w:t>»</w:t>
      </w:r>
      <w:r w:rsidR="00303661">
        <w:t>.</w:t>
      </w:r>
      <w:r w:rsidR="00CD439F" w:rsidRPr="00CD439F">
        <w:rPr>
          <w:rStyle w:val="Fotnotereferanse"/>
        </w:rPr>
        <w:footnoteReference w:id="77"/>
      </w:r>
    </w:p>
    <w:p w14:paraId="72F70E11" w14:textId="25385D92" w:rsidR="00536D52" w:rsidRDefault="00536D52" w:rsidP="00536D52">
      <w:pPr>
        <w:pStyle w:val="Overskrift4"/>
      </w:pPr>
      <w:r>
        <w:t>Deltakelse i beslutningsprosesser</w:t>
      </w:r>
    </w:p>
    <w:p w14:paraId="57480AED" w14:textId="1A54EE01" w:rsidR="00816402" w:rsidRPr="00CD439F" w:rsidRDefault="00816402" w:rsidP="00816402">
      <w:pPr>
        <w:rPr>
          <w:rStyle w:val="kursiv"/>
        </w:rPr>
      </w:pPr>
      <w:r w:rsidRPr="001F14C6">
        <w:t xml:space="preserve">I tolkningsuttalelsen fra 1994 uttaler MRK </w:t>
      </w:r>
      <w:r>
        <w:t>at urfolk har rett til deltakelse i beslutninger som har betydning for dem</w:t>
      </w:r>
      <w:r w:rsidRPr="57473D06">
        <w:rPr>
          <w:rFonts w:cs="Times New Roman"/>
          <w:color w:val="000000" w:themeColor="text1"/>
        </w:rPr>
        <w:t>:</w:t>
      </w:r>
      <w:r w:rsidR="00CD439F" w:rsidRPr="00CD439F">
        <w:rPr>
          <w:rStyle w:val="Fotnotereferanse"/>
        </w:rPr>
        <w:footnoteReference w:id="78"/>
      </w:r>
    </w:p>
    <w:p w14:paraId="4ACD9FE3" w14:textId="2802F6A6" w:rsidR="00F70938" w:rsidRPr="00CD439F" w:rsidRDefault="00CD439F" w:rsidP="00393223">
      <w:pPr>
        <w:pStyle w:val="blokksit"/>
        <w:ind w:left="757"/>
        <w:rPr>
          <w:lang w:val="en-US"/>
        </w:rPr>
      </w:pPr>
      <w:r>
        <w:rPr>
          <w:lang w:val="en-US"/>
        </w:rPr>
        <w:t>«</w:t>
      </w:r>
      <w:r w:rsidR="00F70938" w:rsidRPr="00CD439F">
        <w:rPr>
          <w:lang w:val="en-US"/>
        </w:rPr>
        <w:t>The enjoyment of those rights may require positive legal measures of protection and measures to ensure the effective participation of members of minority communities in decisions which affect them.</w:t>
      </w:r>
      <w:r>
        <w:rPr>
          <w:lang w:val="en-US"/>
        </w:rPr>
        <w:t>»</w:t>
      </w:r>
    </w:p>
    <w:p w14:paraId="394A863C" w14:textId="70EA4276" w:rsidR="00F70938" w:rsidRPr="00AF67D8" w:rsidRDefault="00F70938" w:rsidP="00F70938">
      <w:pPr>
        <w:rPr>
          <w:lang w:val="en-US"/>
        </w:rPr>
      </w:pPr>
      <w:r w:rsidRPr="40CD0FAB">
        <w:t xml:space="preserve">Senere praksis viser at konsultasjoner mellom statlige myndigheter og vedkommende urfolksgruppe og gruppens deltakelse i beslutningsprosessene kan være et virkemiddel </w:t>
      </w:r>
      <w:r w:rsidRPr="40CD0FAB">
        <w:lastRenderedPageBreak/>
        <w:t xml:space="preserve">for å realisere et effektivt materielt kulturvern, og en effektiv beskyttelse av retten til kulturutøvelse. </w:t>
      </w:r>
      <w:r w:rsidRPr="00AF67D8">
        <w:rPr>
          <w:lang w:val="en-US"/>
        </w:rPr>
        <w:t xml:space="preserve">I </w:t>
      </w:r>
      <w:r w:rsidRPr="00CD439F">
        <w:rPr>
          <w:rStyle w:val="kursiv"/>
          <w:lang w:val="en-US"/>
        </w:rPr>
        <w:t>Apirana Mahuika mot New Zealand</w:t>
      </w:r>
      <w:r w:rsidRPr="00AF67D8">
        <w:rPr>
          <w:lang w:val="en-US"/>
        </w:rPr>
        <w:t xml:space="preserve"> </w:t>
      </w:r>
      <w:proofErr w:type="spellStart"/>
      <w:r w:rsidRPr="00AF67D8">
        <w:rPr>
          <w:lang w:val="en-US"/>
        </w:rPr>
        <w:t>uttaler</w:t>
      </w:r>
      <w:proofErr w:type="spellEnd"/>
      <w:r w:rsidRPr="00AF67D8">
        <w:rPr>
          <w:lang w:val="en-US"/>
        </w:rPr>
        <w:t xml:space="preserve"> MRK:</w:t>
      </w:r>
      <w:r w:rsidR="00CD439F" w:rsidRPr="00CD439F">
        <w:rPr>
          <w:rStyle w:val="Fotnotereferanse"/>
        </w:rPr>
        <w:footnoteReference w:id="79"/>
      </w:r>
    </w:p>
    <w:p w14:paraId="341782E1" w14:textId="343781EB" w:rsidR="00F70938" w:rsidRPr="00CD439F" w:rsidRDefault="00CD439F" w:rsidP="00393223">
      <w:pPr>
        <w:pStyle w:val="blokksit"/>
        <w:ind w:left="757"/>
        <w:rPr>
          <w:lang w:val="en-US"/>
        </w:rPr>
      </w:pPr>
      <w:r>
        <w:rPr>
          <w:lang w:val="en-US"/>
        </w:rPr>
        <w:t>«</w:t>
      </w:r>
      <w:r w:rsidR="00F70938" w:rsidRPr="00CD439F">
        <w:rPr>
          <w:lang w:val="en-US"/>
        </w:rPr>
        <w:t xml:space="preserve">9.6 The Committee notes that the State party undertook a complicated process of consultation in order to secure broad </w:t>
      </w:r>
      <w:proofErr w:type="spellStart"/>
      <w:r w:rsidR="00F70938" w:rsidRPr="00CD439F">
        <w:rPr>
          <w:lang w:val="en-US"/>
        </w:rPr>
        <w:t>Maori</w:t>
      </w:r>
      <w:proofErr w:type="spellEnd"/>
      <w:r w:rsidR="00F70938" w:rsidRPr="00CD439F">
        <w:rPr>
          <w:lang w:val="en-US"/>
        </w:rPr>
        <w:t xml:space="preserve"> support to a nation-wide settlement and regulation of fishing activities. </w:t>
      </w:r>
      <w:proofErr w:type="spellStart"/>
      <w:r w:rsidR="00F70938" w:rsidRPr="00CD439F">
        <w:rPr>
          <w:lang w:val="en-US"/>
        </w:rPr>
        <w:t>Maori</w:t>
      </w:r>
      <w:proofErr w:type="spellEnd"/>
      <w:r w:rsidR="00F70938" w:rsidRPr="00CD439F">
        <w:rPr>
          <w:lang w:val="en-US"/>
        </w:rPr>
        <w:t xml:space="preserve"> communities and national </w:t>
      </w:r>
      <w:proofErr w:type="spellStart"/>
      <w:r w:rsidR="00F70938" w:rsidRPr="00CD439F">
        <w:rPr>
          <w:lang w:val="en-US"/>
        </w:rPr>
        <w:t>Maori</w:t>
      </w:r>
      <w:proofErr w:type="spellEnd"/>
      <w:r w:rsidR="00F70938" w:rsidRPr="00CD439F">
        <w:rPr>
          <w:lang w:val="en-US"/>
        </w:rPr>
        <w:t xml:space="preserve"> organizations were consulted and their proposals did affect the design of the arrangement …</w:t>
      </w:r>
    </w:p>
    <w:p w14:paraId="0504C058" w14:textId="54B7983F" w:rsidR="00F70938" w:rsidRPr="00CD439F" w:rsidRDefault="00F70938" w:rsidP="00393223">
      <w:pPr>
        <w:pStyle w:val="blokksit"/>
        <w:ind w:left="757"/>
        <w:rPr>
          <w:lang w:val="en-US"/>
        </w:rPr>
      </w:pPr>
      <w:r w:rsidRPr="00CD439F">
        <w:rPr>
          <w:lang w:val="en-US"/>
        </w:rPr>
        <w:t xml:space="preserve">9.8 … the Committee concludes that the State party has, by engaging itself in the process of broad consultation before proceeding to legislate, and by paying specific attention to the sustainability of </w:t>
      </w:r>
      <w:proofErr w:type="spellStart"/>
      <w:r w:rsidRPr="00CD439F">
        <w:rPr>
          <w:lang w:val="en-US"/>
        </w:rPr>
        <w:t>Maori</w:t>
      </w:r>
      <w:proofErr w:type="spellEnd"/>
      <w:r w:rsidRPr="00CD439F">
        <w:rPr>
          <w:lang w:val="en-US"/>
        </w:rPr>
        <w:t xml:space="preserve"> fishing activities, taken the necessary steps to ensure that the Fisheries Settlement and its enactment through legislation, including the Quata Management System, are compatible with article 27.</w:t>
      </w:r>
      <w:r w:rsidR="00CD439F">
        <w:rPr>
          <w:lang w:val="en-US"/>
        </w:rPr>
        <w:t>»</w:t>
      </w:r>
    </w:p>
    <w:p w14:paraId="4B7FD6EE" w14:textId="77777777" w:rsidR="00303661" w:rsidRDefault="00F70938" w:rsidP="00F70938">
      <w:r w:rsidRPr="03A17F01">
        <w:t>Det som her er sitert, viser at de omtvistede fiske</w:t>
      </w:r>
      <w:r>
        <w:t>ri</w:t>
      </w:r>
      <w:r w:rsidRPr="03A17F01">
        <w:t xml:space="preserve">reguleringene som myndighetene på New Zealand hadde iverksatt, ble funnet forenlige med SP artikkel 27 </w:t>
      </w:r>
      <w:r w:rsidRPr="00C30D42">
        <w:t>fordi</w:t>
      </w:r>
      <w:r w:rsidRPr="03A17F01">
        <w:t xml:space="preserve"> det var igangsatt en bred prosess med konsultasjoner og en reell og aktiv deltakelse i beslutningsprosessen for de berørte maorisamfunnene.</w:t>
      </w:r>
    </w:p>
    <w:p w14:paraId="27F63B15" w14:textId="6056B40D" w:rsidR="00F70938" w:rsidRDefault="00F70938" w:rsidP="00F70938">
      <w:pPr>
        <w:rPr>
          <w:rFonts w:cs="Times New Roman"/>
        </w:rPr>
      </w:pPr>
      <w:r w:rsidRPr="40CD0FAB">
        <w:t xml:space="preserve">I </w:t>
      </w:r>
      <w:proofErr w:type="spellStart"/>
      <w:r w:rsidRPr="00CD439F">
        <w:rPr>
          <w:rStyle w:val="kursiv"/>
        </w:rPr>
        <w:t>Jovsset</w:t>
      </w:r>
      <w:proofErr w:type="spellEnd"/>
      <w:r w:rsidRPr="00CD439F">
        <w:rPr>
          <w:rStyle w:val="kursiv"/>
        </w:rPr>
        <w:t xml:space="preserve"> Ante Sara mot Norge </w:t>
      </w:r>
      <w:r w:rsidRPr="40CD0FAB">
        <w:t xml:space="preserve">hadde statens myndigheter </w:t>
      </w:r>
      <w:r>
        <w:t xml:space="preserve">i </w:t>
      </w:r>
      <w:r w:rsidRPr="40CD0FAB">
        <w:t xml:space="preserve">forkant av de omstridte lovendringene som saken gjaldt, gjennomført konsultasjoner med Sametinget og Norske reindriftsamers landsforbund (NRL). Disse hadde imidlertid ikke fått gjennomslag for sitt syn om at reineiere med flokker under </w:t>
      </w:r>
      <w:r w:rsidRPr="005816B9">
        <w:rPr>
          <w:rFonts w:cs="Times New Roman"/>
        </w:rPr>
        <w:t xml:space="preserve">200 dyr måtte skjermes for å redusere flokkene sine forholdsmessig for å bringe det totale reintallet i området ned på et akseptabelt nivå. </w:t>
      </w:r>
      <w:r w:rsidRPr="000137E4">
        <w:rPr>
          <w:rFonts w:cs="Times New Roman"/>
        </w:rPr>
        <w:t xml:space="preserve">MRK la til grunn at </w:t>
      </w:r>
      <w:r w:rsidR="00CD439F">
        <w:rPr>
          <w:rFonts w:cs="Times New Roman"/>
        </w:rPr>
        <w:t>«</w:t>
      </w:r>
      <w:proofErr w:type="spellStart"/>
      <w:r w:rsidRPr="000137E4">
        <w:rPr>
          <w:rFonts w:cs="Times New Roman"/>
        </w:rPr>
        <w:t>the</w:t>
      </w:r>
      <w:proofErr w:type="spellEnd"/>
      <w:r w:rsidRPr="000137E4">
        <w:rPr>
          <w:rFonts w:cs="Times New Roman"/>
        </w:rPr>
        <w:t xml:space="preserve"> </w:t>
      </w:r>
      <w:proofErr w:type="spellStart"/>
      <w:r w:rsidRPr="000137E4">
        <w:rPr>
          <w:rFonts w:cs="Times New Roman"/>
        </w:rPr>
        <w:t>reduction</w:t>
      </w:r>
      <w:proofErr w:type="spellEnd"/>
      <w:r w:rsidRPr="000137E4">
        <w:rPr>
          <w:rFonts w:cs="Times New Roman"/>
        </w:rPr>
        <w:t xml:space="preserve"> </w:t>
      </w:r>
      <w:proofErr w:type="spellStart"/>
      <w:r w:rsidRPr="000137E4">
        <w:rPr>
          <w:rFonts w:cs="Times New Roman"/>
        </w:rPr>
        <w:t>regulation</w:t>
      </w:r>
      <w:proofErr w:type="spellEnd"/>
      <w:r w:rsidRPr="000137E4">
        <w:rPr>
          <w:rFonts w:cs="Times New Roman"/>
        </w:rPr>
        <w:t xml:space="preserve"> </w:t>
      </w:r>
      <w:proofErr w:type="spellStart"/>
      <w:r w:rsidRPr="000137E4">
        <w:rPr>
          <w:rFonts w:cs="Times New Roman"/>
        </w:rPr>
        <w:t>enacted</w:t>
      </w:r>
      <w:proofErr w:type="spellEnd"/>
      <w:r w:rsidRPr="000137E4">
        <w:rPr>
          <w:rFonts w:cs="Times New Roman"/>
        </w:rPr>
        <w:t xml:space="preserve"> in </w:t>
      </w:r>
      <w:proofErr w:type="spellStart"/>
      <w:r w:rsidRPr="000137E4">
        <w:rPr>
          <w:rFonts w:cs="Times New Roman"/>
        </w:rPr>
        <w:t>the</w:t>
      </w:r>
      <w:proofErr w:type="spellEnd"/>
      <w:r w:rsidRPr="000137E4">
        <w:rPr>
          <w:rFonts w:cs="Times New Roman"/>
        </w:rPr>
        <w:t xml:space="preserve"> </w:t>
      </w:r>
      <w:proofErr w:type="spellStart"/>
      <w:r w:rsidRPr="000137E4">
        <w:rPr>
          <w:rFonts w:cs="Times New Roman"/>
        </w:rPr>
        <w:t>Reindeer</w:t>
      </w:r>
      <w:proofErr w:type="spellEnd"/>
      <w:r w:rsidRPr="000137E4">
        <w:rPr>
          <w:rFonts w:cs="Times New Roman"/>
        </w:rPr>
        <w:t xml:space="preserve"> </w:t>
      </w:r>
      <w:proofErr w:type="spellStart"/>
      <w:r w:rsidRPr="000137E4">
        <w:rPr>
          <w:rFonts w:cs="Times New Roman"/>
        </w:rPr>
        <w:t>Husbandry</w:t>
      </w:r>
      <w:proofErr w:type="spellEnd"/>
      <w:r w:rsidRPr="000137E4">
        <w:rPr>
          <w:rFonts w:cs="Times New Roman"/>
        </w:rPr>
        <w:t xml:space="preserve"> </w:t>
      </w:r>
      <w:proofErr w:type="spellStart"/>
      <w:r w:rsidRPr="000137E4">
        <w:rPr>
          <w:rFonts w:cs="Times New Roman"/>
        </w:rPr>
        <w:t>Act</w:t>
      </w:r>
      <w:proofErr w:type="spellEnd"/>
      <w:r w:rsidRPr="000137E4">
        <w:rPr>
          <w:rFonts w:cs="Times New Roman"/>
        </w:rPr>
        <w:t xml:space="preserve"> </w:t>
      </w:r>
      <w:proofErr w:type="spellStart"/>
      <w:r w:rsidRPr="000137E4">
        <w:rPr>
          <w:rFonts w:cs="Times New Roman"/>
        </w:rPr>
        <w:t>was</w:t>
      </w:r>
      <w:proofErr w:type="spellEnd"/>
      <w:r w:rsidRPr="000137E4">
        <w:rPr>
          <w:rFonts w:cs="Times New Roman"/>
        </w:rPr>
        <w:t xml:space="preserve"> in </w:t>
      </w:r>
      <w:proofErr w:type="spellStart"/>
      <w:r w:rsidRPr="000137E4">
        <w:rPr>
          <w:rFonts w:cs="Times New Roman"/>
        </w:rPr>
        <w:t>pursuit</w:t>
      </w:r>
      <w:proofErr w:type="spellEnd"/>
      <w:r w:rsidRPr="000137E4">
        <w:rPr>
          <w:rFonts w:cs="Times New Roman"/>
        </w:rPr>
        <w:t xml:space="preserve"> </w:t>
      </w:r>
      <w:proofErr w:type="spellStart"/>
      <w:r w:rsidRPr="000137E4">
        <w:rPr>
          <w:rFonts w:cs="Times New Roman"/>
        </w:rPr>
        <w:t>of</w:t>
      </w:r>
      <w:proofErr w:type="spellEnd"/>
      <w:r w:rsidRPr="000137E4">
        <w:rPr>
          <w:rFonts w:cs="Times New Roman"/>
        </w:rPr>
        <w:t xml:space="preserve"> a </w:t>
      </w:r>
      <w:proofErr w:type="spellStart"/>
      <w:r w:rsidRPr="000137E4">
        <w:rPr>
          <w:rFonts w:cs="Times New Roman"/>
        </w:rPr>
        <w:t>legitimate</w:t>
      </w:r>
      <w:proofErr w:type="spellEnd"/>
      <w:r w:rsidRPr="000137E4">
        <w:rPr>
          <w:rFonts w:cs="Times New Roman"/>
        </w:rPr>
        <w:t xml:space="preserve"> </w:t>
      </w:r>
      <w:proofErr w:type="spellStart"/>
      <w:r w:rsidRPr="000137E4">
        <w:rPr>
          <w:rFonts w:cs="Times New Roman"/>
        </w:rPr>
        <w:t>aim</w:t>
      </w:r>
      <w:proofErr w:type="spellEnd"/>
      <w:r w:rsidR="00CD439F">
        <w:rPr>
          <w:rFonts w:cs="Times New Roman"/>
        </w:rPr>
        <w:t>»</w:t>
      </w:r>
      <w:r w:rsidRPr="000137E4">
        <w:rPr>
          <w:rFonts w:cs="Times New Roman"/>
        </w:rPr>
        <w:t>, men uttalte at myndighetene ikke hadde vi</w:t>
      </w:r>
      <w:r>
        <w:rPr>
          <w:rFonts w:cs="Times New Roman"/>
        </w:rPr>
        <w:t>st hvorfor det var nødvendig å gjennomføre reguleringen på en annen måte enn foretrukket av Sametinget og Norsk Reindriftssamer Landsforbund (NRL)</w:t>
      </w:r>
      <w:r w:rsidRPr="000137E4">
        <w:rPr>
          <w:rFonts w:cs="Times New Roman"/>
        </w:rPr>
        <w:t>:</w:t>
      </w:r>
      <w:r w:rsidR="00CD439F" w:rsidRPr="00CD439F">
        <w:rPr>
          <w:rStyle w:val="Fotnotereferanse"/>
        </w:rPr>
        <w:footnoteReference w:id="80"/>
      </w:r>
    </w:p>
    <w:p w14:paraId="71718EF6" w14:textId="1B194C5A" w:rsidR="00F70938" w:rsidRPr="00CD439F" w:rsidRDefault="00CD439F" w:rsidP="00393223">
      <w:pPr>
        <w:pStyle w:val="blokksit"/>
        <w:ind w:left="757"/>
        <w:rPr>
          <w:lang w:val="en-US"/>
        </w:rPr>
      </w:pPr>
      <w:r>
        <w:rPr>
          <w:lang w:val="en-US"/>
        </w:rPr>
        <w:t>«</w:t>
      </w:r>
      <w:r w:rsidR="00F70938" w:rsidRPr="00CD439F">
        <w:rPr>
          <w:lang w:val="en-US"/>
        </w:rPr>
        <w:t>… the Committee considers that the State party has not demonstrated that the methods chosen to implement said reindeer reduction policy in the present case, namely not exempting herders such as the author, who have 200 or fewer reindeer from the reduction policy, in accordance with the position of the Sami Parliament and the Sami Reindeer Herders</w:t>
      </w:r>
      <w:r>
        <w:rPr>
          <w:lang w:val="en-US"/>
        </w:rPr>
        <w:t>’</w:t>
      </w:r>
      <w:r w:rsidR="00F70938" w:rsidRPr="00CD439F">
        <w:rPr>
          <w:lang w:val="en-US"/>
        </w:rPr>
        <w:t xml:space="preserve"> Association, was based on reasonable and objective justifications, nor has it demonstrated that not including such an exemption was necessary in order to ensure the continued viability and welfare of the Sami reindeer husbandry industry. The Committee therefore concludes that </w:t>
      </w:r>
      <w:r w:rsidR="00F70938" w:rsidRPr="00CD439F">
        <w:rPr>
          <w:lang w:val="en-US"/>
        </w:rPr>
        <w:lastRenderedPageBreak/>
        <w:t>the facts before it reveals a violation of the author</w:t>
      </w:r>
      <w:r>
        <w:rPr>
          <w:lang w:val="en-US"/>
        </w:rPr>
        <w:t>’</w:t>
      </w:r>
      <w:r w:rsidR="00F70938" w:rsidRPr="00CD439F">
        <w:rPr>
          <w:lang w:val="en-US"/>
        </w:rPr>
        <w:t>s rights under article 27 of the Covenant.</w:t>
      </w:r>
      <w:r>
        <w:rPr>
          <w:lang w:val="en-US"/>
        </w:rPr>
        <w:t>»</w:t>
      </w:r>
    </w:p>
    <w:p w14:paraId="005FE4A7" w14:textId="34865D8F" w:rsidR="00303661" w:rsidRDefault="00F70938" w:rsidP="00F70938">
      <w:pPr>
        <w:rPr>
          <w:lang w:val="en-US"/>
        </w:rPr>
      </w:pPr>
      <w:r w:rsidRPr="40CD0FAB">
        <w:t xml:space="preserve">En sak som også viser betydningen av effektiv deltakelse i beslutningsprosessene som et virkemiddel for å oppfylle SP artikkel 27 er </w:t>
      </w:r>
      <w:proofErr w:type="spellStart"/>
      <w:r w:rsidRPr="00CD439F">
        <w:rPr>
          <w:rStyle w:val="kursiv"/>
        </w:rPr>
        <w:t>Poma</w:t>
      </w:r>
      <w:proofErr w:type="spellEnd"/>
      <w:r w:rsidRPr="00CD439F">
        <w:rPr>
          <w:rStyle w:val="kursiv"/>
        </w:rPr>
        <w:t xml:space="preserve"> </w:t>
      </w:r>
      <w:proofErr w:type="spellStart"/>
      <w:r w:rsidRPr="00CD439F">
        <w:rPr>
          <w:rStyle w:val="kursiv"/>
        </w:rPr>
        <w:t>Poma</w:t>
      </w:r>
      <w:proofErr w:type="spellEnd"/>
      <w:r w:rsidRPr="00CD439F">
        <w:rPr>
          <w:rStyle w:val="kursiv"/>
        </w:rPr>
        <w:t xml:space="preserve"> mot Peru</w:t>
      </w:r>
      <w:r w:rsidRPr="40CD0FAB">
        <w:t xml:space="preserve">, som ble avgjort i 2009. </w:t>
      </w:r>
      <w:r w:rsidRPr="40CD0FAB">
        <w:rPr>
          <w:lang w:val="en-US"/>
        </w:rPr>
        <w:t xml:space="preserve">Her </w:t>
      </w:r>
      <w:proofErr w:type="spellStart"/>
      <w:r w:rsidRPr="40CD0FAB">
        <w:rPr>
          <w:lang w:val="en-US"/>
        </w:rPr>
        <w:t>uttaler</w:t>
      </w:r>
      <w:proofErr w:type="spellEnd"/>
      <w:r w:rsidRPr="40CD0FAB">
        <w:rPr>
          <w:lang w:val="en-US"/>
        </w:rPr>
        <w:t xml:space="preserve"> MRK:</w:t>
      </w:r>
      <w:r w:rsidR="00CD439F" w:rsidRPr="00CD439F">
        <w:rPr>
          <w:rStyle w:val="Fotnotereferanse"/>
        </w:rPr>
        <w:footnoteReference w:id="81"/>
      </w:r>
    </w:p>
    <w:p w14:paraId="0B8F7ECC" w14:textId="02CB9654" w:rsidR="00F70938" w:rsidRPr="00CD439F" w:rsidRDefault="00CD439F" w:rsidP="00393223">
      <w:pPr>
        <w:pStyle w:val="blokksit"/>
        <w:ind w:left="757"/>
        <w:rPr>
          <w:lang w:val="en-US"/>
        </w:rPr>
      </w:pPr>
      <w:r>
        <w:rPr>
          <w:lang w:val="en-US"/>
        </w:rPr>
        <w:t>«</w:t>
      </w:r>
      <w:r w:rsidR="00F70938" w:rsidRPr="00CD439F">
        <w:rPr>
          <w:lang w:val="en-US"/>
        </w:rPr>
        <w:t>In the Committee</w:t>
      </w:r>
      <w:r>
        <w:rPr>
          <w:lang w:val="en-US"/>
        </w:rPr>
        <w:t>’</w:t>
      </w:r>
      <w:r w:rsidR="00F70938" w:rsidRPr="00CD439F">
        <w:rPr>
          <w:lang w:val="en-US"/>
        </w:rPr>
        <w:t>s view, the admissibility of measures which substantially compromise or interfere with the culturally significant activities depends on whether the members of the community in question have had the opportunity to participate in the decision-making process in relation to these measures and whether they will continue to benefit from their traditional economy. The Committee considers that participation in the decision-making process must be effective, which requires not mere consultation but the free prior and informed consent of the members of the community. In addition, the measures must respect the principle of proportionality so as not to endanger the very survival of the community and its members.</w:t>
      </w:r>
      <w:r>
        <w:rPr>
          <w:lang w:val="en-US"/>
        </w:rPr>
        <w:t>»</w:t>
      </w:r>
    </w:p>
    <w:p w14:paraId="40D66E95" w14:textId="53FA7EFA" w:rsidR="00303661" w:rsidRDefault="00F70938" w:rsidP="00F70938">
      <w:r w:rsidRPr="00705D69">
        <w:rPr>
          <w:lang w:val="en-US"/>
        </w:rPr>
        <w:t xml:space="preserve">Her </w:t>
      </w:r>
      <w:proofErr w:type="spellStart"/>
      <w:r w:rsidRPr="00705D69">
        <w:rPr>
          <w:lang w:val="en-US"/>
        </w:rPr>
        <w:t>omtaler</w:t>
      </w:r>
      <w:proofErr w:type="spellEnd"/>
      <w:r w:rsidRPr="00705D69">
        <w:rPr>
          <w:lang w:val="en-US"/>
        </w:rPr>
        <w:t xml:space="preserve"> MRK </w:t>
      </w:r>
      <w:proofErr w:type="spellStart"/>
      <w:r w:rsidRPr="00705D69">
        <w:rPr>
          <w:lang w:val="en-US"/>
        </w:rPr>
        <w:t>tiltak</w:t>
      </w:r>
      <w:proofErr w:type="spellEnd"/>
      <w:r w:rsidRPr="00705D69">
        <w:rPr>
          <w:lang w:val="en-US"/>
        </w:rPr>
        <w:t xml:space="preserve"> </w:t>
      </w:r>
      <w:proofErr w:type="spellStart"/>
      <w:r w:rsidRPr="00705D69">
        <w:rPr>
          <w:lang w:val="en-US"/>
        </w:rPr>
        <w:t>som</w:t>
      </w:r>
      <w:proofErr w:type="spellEnd"/>
      <w:r w:rsidRPr="00705D69">
        <w:rPr>
          <w:lang w:val="en-US"/>
        </w:rPr>
        <w:t xml:space="preserve"> </w:t>
      </w:r>
      <w:r w:rsidR="00CD439F">
        <w:rPr>
          <w:lang w:val="en-US"/>
        </w:rPr>
        <w:t>«</w:t>
      </w:r>
      <w:r w:rsidRPr="00705D69">
        <w:rPr>
          <w:lang w:val="en-US"/>
        </w:rPr>
        <w:t xml:space="preserve">substantially compromise or interfere with the culturally significant </w:t>
      </w:r>
      <w:proofErr w:type="spellStart"/>
      <w:r w:rsidRPr="00705D69">
        <w:rPr>
          <w:lang w:val="en-US"/>
        </w:rPr>
        <w:t>actitivies</w:t>
      </w:r>
      <w:proofErr w:type="spellEnd"/>
      <w:r w:rsidR="00CD439F">
        <w:rPr>
          <w:lang w:val="en-US"/>
        </w:rPr>
        <w:t>»</w:t>
      </w:r>
      <w:r w:rsidRPr="00705D69">
        <w:rPr>
          <w:lang w:val="en-US"/>
        </w:rPr>
        <w:t xml:space="preserve">. </w:t>
      </w:r>
      <w:r w:rsidRPr="40CD0FAB">
        <w:t>Slike tiltak kan være akseptable, men bare dersom de som rammes fortsatt kan ha økonomisk utbytte av sin tradisjonelle aktivitet, og har hatt effektiv deltakelse i beslutningsprosessen i et omfang som går ut over ordinære konsultasjoner ved at det må være gitt et fritt, forhåndsinformert samtykke til tiltaket. Tiltakene må dessuten ikke under noen omstendighet true overlevelsen til de berørte minoritets- eller urfolkssamfunnene og deres medlemmer.</w:t>
      </w:r>
    </w:p>
    <w:p w14:paraId="41973BF0" w14:textId="6512CFDB" w:rsidR="00F8433A" w:rsidRPr="005816B9" w:rsidRDefault="00F8433A" w:rsidP="00F8433A">
      <w:r w:rsidRPr="00612642">
        <w:t xml:space="preserve">I </w:t>
      </w:r>
      <w:proofErr w:type="spellStart"/>
      <w:r w:rsidRPr="00612642">
        <w:t>Poma</w:t>
      </w:r>
      <w:proofErr w:type="spellEnd"/>
      <w:r w:rsidRPr="00612642">
        <w:t xml:space="preserve"> </w:t>
      </w:r>
      <w:proofErr w:type="spellStart"/>
      <w:r w:rsidRPr="00612642">
        <w:t>Poma</w:t>
      </w:r>
      <w:proofErr w:type="spellEnd"/>
      <w:r w:rsidRPr="00612642">
        <w:t xml:space="preserve">-saken konkluderte MRK med at SP artikkel 27 var krenket. Dette hadde dels sammenheng med at tiltaket hadde så store negative virkninger for klageren at hun var </w:t>
      </w:r>
      <w:r w:rsidR="00CD439F">
        <w:t>«</w:t>
      </w:r>
      <w:proofErr w:type="spellStart"/>
      <w:r w:rsidRPr="00612642">
        <w:t>unable</w:t>
      </w:r>
      <w:proofErr w:type="spellEnd"/>
      <w:r w:rsidRPr="00612642">
        <w:t xml:space="preserve"> to </w:t>
      </w:r>
      <w:proofErr w:type="spellStart"/>
      <w:r w:rsidRPr="00612642">
        <w:t>continue</w:t>
      </w:r>
      <w:proofErr w:type="spellEnd"/>
      <w:r w:rsidRPr="00612642">
        <w:t xml:space="preserve"> </w:t>
      </w:r>
      <w:proofErr w:type="spellStart"/>
      <w:r w:rsidRPr="00612642">
        <w:t>benefiting</w:t>
      </w:r>
      <w:proofErr w:type="spellEnd"/>
      <w:r w:rsidRPr="00612642">
        <w:t xml:space="preserve"> from her </w:t>
      </w:r>
      <w:proofErr w:type="spellStart"/>
      <w:r w:rsidRPr="00612642">
        <w:t>traditional</w:t>
      </w:r>
      <w:proofErr w:type="spellEnd"/>
      <w:r w:rsidRPr="00612642">
        <w:t xml:space="preserve"> </w:t>
      </w:r>
      <w:proofErr w:type="spellStart"/>
      <w:r w:rsidRPr="00612642">
        <w:t>economic</w:t>
      </w:r>
      <w:proofErr w:type="spellEnd"/>
      <w:r w:rsidRPr="00612642">
        <w:t xml:space="preserve"> </w:t>
      </w:r>
      <w:proofErr w:type="spellStart"/>
      <w:r w:rsidRPr="00612642">
        <w:t>activity</w:t>
      </w:r>
      <w:proofErr w:type="spellEnd"/>
      <w:r w:rsidR="00CD439F">
        <w:t>»</w:t>
      </w:r>
      <w:r w:rsidRPr="00612642">
        <w:t xml:space="preserve">, og dels med at </w:t>
      </w:r>
      <w:r w:rsidR="00CD439F">
        <w:t>«</w:t>
      </w:r>
      <w:proofErr w:type="spellStart"/>
      <w:r w:rsidRPr="00612642">
        <w:t>neither</w:t>
      </w:r>
      <w:proofErr w:type="spellEnd"/>
      <w:r w:rsidRPr="00612642">
        <w:t xml:space="preserve"> </w:t>
      </w:r>
      <w:proofErr w:type="spellStart"/>
      <w:r w:rsidRPr="00612642">
        <w:t>the</w:t>
      </w:r>
      <w:proofErr w:type="spellEnd"/>
      <w:r w:rsidRPr="00612642">
        <w:t xml:space="preserve"> </w:t>
      </w:r>
      <w:proofErr w:type="spellStart"/>
      <w:r w:rsidRPr="00612642">
        <w:t>author</w:t>
      </w:r>
      <w:proofErr w:type="spellEnd"/>
      <w:r w:rsidRPr="00612642">
        <w:t xml:space="preserve"> nor </w:t>
      </w:r>
      <w:proofErr w:type="spellStart"/>
      <w:r w:rsidRPr="00612642">
        <w:t>the</w:t>
      </w:r>
      <w:proofErr w:type="spellEnd"/>
      <w:r w:rsidRPr="00612642">
        <w:t xml:space="preserve"> </w:t>
      </w:r>
      <w:proofErr w:type="spellStart"/>
      <w:r w:rsidRPr="00612642">
        <w:t>community</w:t>
      </w:r>
      <w:proofErr w:type="spellEnd"/>
      <w:r w:rsidRPr="00612642">
        <w:t xml:space="preserve"> to </w:t>
      </w:r>
      <w:proofErr w:type="spellStart"/>
      <w:r w:rsidRPr="00612642">
        <w:t>which</w:t>
      </w:r>
      <w:proofErr w:type="spellEnd"/>
      <w:r w:rsidRPr="00612642">
        <w:t xml:space="preserve"> </w:t>
      </w:r>
      <w:proofErr w:type="spellStart"/>
      <w:r w:rsidRPr="00612642">
        <w:t>she</w:t>
      </w:r>
      <w:proofErr w:type="spellEnd"/>
      <w:r w:rsidRPr="00612642">
        <w:t xml:space="preserve"> </w:t>
      </w:r>
      <w:proofErr w:type="spellStart"/>
      <w:r w:rsidRPr="00612642">
        <w:t>belongs</w:t>
      </w:r>
      <w:proofErr w:type="spellEnd"/>
      <w:r w:rsidRPr="00612642">
        <w:t xml:space="preserve"> </w:t>
      </w:r>
      <w:proofErr w:type="spellStart"/>
      <w:r w:rsidRPr="00612642">
        <w:t>was</w:t>
      </w:r>
      <w:proofErr w:type="spellEnd"/>
      <w:r w:rsidRPr="00612642">
        <w:t xml:space="preserve"> </w:t>
      </w:r>
      <w:proofErr w:type="spellStart"/>
      <w:r w:rsidRPr="00612642">
        <w:t>consulted</w:t>
      </w:r>
      <w:proofErr w:type="spellEnd"/>
      <w:r w:rsidRPr="00612642">
        <w:t xml:space="preserve"> at </w:t>
      </w:r>
      <w:proofErr w:type="spellStart"/>
      <w:r w:rsidRPr="00612642">
        <w:t>any</w:t>
      </w:r>
      <w:proofErr w:type="spellEnd"/>
      <w:r w:rsidRPr="00612642">
        <w:t xml:space="preserve"> time by </w:t>
      </w:r>
      <w:proofErr w:type="spellStart"/>
      <w:r w:rsidRPr="00612642">
        <w:t>the</w:t>
      </w:r>
      <w:proofErr w:type="spellEnd"/>
      <w:r w:rsidRPr="00612642">
        <w:t xml:space="preserve"> State party </w:t>
      </w:r>
      <w:proofErr w:type="spellStart"/>
      <w:r w:rsidRPr="00612642">
        <w:t>concerning</w:t>
      </w:r>
      <w:proofErr w:type="spellEnd"/>
      <w:r w:rsidRPr="00612642">
        <w:t xml:space="preserve"> </w:t>
      </w:r>
      <w:proofErr w:type="spellStart"/>
      <w:r w:rsidRPr="00612642">
        <w:t>the</w:t>
      </w:r>
      <w:proofErr w:type="spellEnd"/>
      <w:r w:rsidRPr="00612642">
        <w:t xml:space="preserve"> </w:t>
      </w:r>
      <w:proofErr w:type="spellStart"/>
      <w:r w:rsidRPr="00612642">
        <w:t>construction</w:t>
      </w:r>
      <w:proofErr w:type="spellEnd"/>
      <w:r w:rsidRPr="00612642">
        <w:t xml:space="preserve"> </w:t>
      </w:r>
      <w:proofErr w:type="spellStart"/>
      <w:r w:rsidRPr="00612642">
        <w:t>of</w:t>
      </w:r>
      <w:proofErr w:type="spellEnd"/>
      <w:r w:rsidRPr="00612642">
        <w:t xml:space="preserve"> </w:t>
      </w:r>
      <w:proofErr w:type="spellStart"/>
      <w:r w:rsidRPr="00612642">
        <w:t>the</w:t>
      </w:r>
      <w:proofErr w:type="spellEnd"/>
      <w:r w:rsidRPr="00612642">
        <w:t xml:space="preserve"> </w:t>
      </w:r>
      <w:proofErr w:type="spellStart"/>
      <w:r w:rsidRPr="00612642">
        <w:t>wells</w:t>
      </w:r>
      <w:proofErr w:type="spellEnd"/>
      <w:r w:rsidR="00CD439F">
        <w:t>»</w:t>
      </w:r>
      <w:r w:rsidRPr="00612642">
        <w:t xml:space="preserve">. </w:t>
      </w:r>
      <w:r w:rsidRPr="40CD0FAB">
        <w:t>Staten hadde heller ikke gjennomført uavhengige konsekvensutredninger for å avklare tiltaket</w:t>
      </w:r>
      <w:r>
        <w:t>s</w:t>
      </w:r>
      <w:r w:rsidRPr="40CD0FAB">
        <w:t xml:space="preserve"> virkninger, eller iverksatt skadebegrensende tiltak.</w:t>
      </w:r>
      <w:r w:rsidR="00CD439F" w:rsidRPr="00CD439F">
        <w:rPr>
          <w:rStyle w:val="Fotnotereferanse"/>
        </w:rPr>
        <w:footnoteReference w:id="82"/>
      </w:r>
    </w:p>
    <w:p w14:paraId="7711CB98" w14:textId="35A92D60" w:rsidR="00303661" w:rsidRDefault="00F8433A" w:rsidP="00F8433A">
      <w:pPr>
        <w:rPr>
          <w:lang w:val="en-US"/>
        </w:rPr>
      </w:pPr>
      <w:r w:rsidRPr="007541F4">
        <w:rPr>
          <w:lang w:val="en-US"/>
        </w:rPr>
        <w:t xml:space="preserve">I </w:t>
      </w:r>
      <w:proofErr w:type="spellStart"/>
      <w:r w:rsidRPr="007541F4">
        <w:rPr>
          <w:lang w:val="en-US"/>
        </w:rPr>
        <w:t>saken</w:t>
      </w:r>
      <w:proofErr w:type="spellEnd"/>
      <w:r w:rsidRPr="007541F4">
        <w:rPr>
          <w:lang w:val="en-US"/>
        </w:rPr>
        <w:t xml:space="preserve"> </w:t>
      </w:r>
      <w:r w:rsidRPr="00CD439F">
        <w:rPr>
          <w:rStyle w:val="kursiv"/>
          <w:lang w:val="en-US"/>
        </w:rPr>
        <w:t>Alisa Roy mot Australia</w:t>
      </w:r>
      <w:r w:rsidRPr="007541F4">
        <w:rPr>
          <w:lang w:val="en-US"/>
        </w:rPr>
        <w:t xml:space="preserve"> </w:t>
      </w:r>
      <w:proofErr w:type="spellStart"/>
      <w:r w:rsidRPr="007541F4">
        <w:rPr>
          <w:lang w:val="en-US"/>
        </w:rPr>
        <w:t>som</w:t>
      </w:r>
      <w:proofErr w:type="spellEnd"/>
      <w:r w:rsidRPr="007541F4">
        <w:rPr>
          <w:lang w:val="en-US"/>
        </w:rPr>
        <w:t xml:space="preserve"> </w:t>
      </w:r>
      <w:proofErr w:type="spellStart"/>
      <w:r w:rsidRPr="007541F4">
        <w:rPr>
          <w:lang w:val="en-US"/>
        </w:rPr>
        <w:t>ble</w:t>
      </w:r>
      <w:proofErr w:type="spellEnd"/>
      <w:r w:rsidRPr="007541F4">
        <w:rPr>
          <w:lang w:val="en-US"/>
        </w:rPr>
        <w:t xml:space="preserve"> </w:t>
      </w:r>
      <w:proofErr w:type="spellStart"/>
      <w:r w:rsidRPr="007541F4">
        <w:rPr>
          <w:lang w:val="en-US"/>
        </w:rPr>
        <w:t>avgjort</w:t>
      </w:r>
      <w:proofErr w:type="spellEnd"/>
      <w:r w:rsidRPr="007541F4">
        <w:rPr>
          <w:lang w:val="en-US"/>
        </w:rPr>
        <w:t xml:space="preserve"> </w:t>
      </w:r>
      <w:proofErr w:type="spellStart"/>
      <w:r w:rsidRPr="007541F4">
        <w:rPr>
          <w:lang w:val="en-US"/>
        </w:rPr>
        <w:t>i</w:t>
      </w:r>
      <w:proofErr w:type="spellEnd"/>
      <w:r w:rsidRPr="007541F4">
        <w:rPr>
          <w:lang w:val="en-US"/>
        </w:rPr>
        <w:t xml:space="preserve"> 2023, </w:t>
      </w:r>
      <w:proofErr w:type="spellStart"/>
      <w:r w:rsidRPr="007541F4">
        <w:rPr>
          <w:lang w:val="en-US"/>
        </w:rPr>
        <w:t>viser</w:t>
      </w:r>
      <w:proofErr w:type="spellEnd"/>
      <w:r w:rsidRPr="007541F4">
        <w:rPr>
          <w:lang w:val="en-US"/>
        </w:rPr>
        <w:t xml:space="preserve"> MRK </w:t>
      </w:r>
      <w:proofErr w:type="spellStart"/>
      <w:r w:rsidRPr="007541F4">
        <w:rPr>
          <w:lang w:val="en-US"/>
        </w:rPr>
        <w:t>etter</w:t>
      </w:r>
      <w:proofErr w:type="spellEnd"/>
      <w:r w:rsidRPr="007541F4">
        <w:rPr>
          <w:lang w:val="en-US"/>
        </w:rPr>
        <w:t xml:space="preserve"> å ha </w:t>
      </w:r>
      <w:proofErr w:type="spellStart"/>
      <w:r w:rsidRPr="007541F4">
        <w:rPr>
          <w:lang w:val="en-US"/>
        </w:rPr>
        <w:t>understreket</w:t>
      </w:r>
      <w:proofErr w:type="spellEnd"/>
      <w:r w:rsidRPr="007541F4">
        <w:rPr>
          <w:lang w:val="en-US"/>
        </w:rPr>
        <w:t xml:space="preserve"> at det </w:t>
      </w:r>
      <w:proofErr w:type="spellStart"/>
      <w:r w:rsidRPr="007541F4">
        <w:rPr>
          <w:lang w:val="en-US"/>
        </w:rPr>
        <w:t>må</w:t>
      </w:r>
      <w:proofErr w:type="spellEnd"/>
      <w:r w:rsidRPr="007541F4">
        <w:rPr>
          <w:lang w:val="en-US"/>
        </w:rPr>
        <w:t xml:space="preserve"> </w:t>
      </w:r>
      <w:proofErr w:type="spellStart"/>
      <w:r w:rsidRPr="007541F4">
        <w:rPr>
          <w:lang w:val="en-US"/>
        </w:rPr>
        <w:t>foreligge</w:t>
      </w:r>
      <w:proofErr w:type="spellEnd"/>
      <w:r w:rsidRPr="007541F4">
        <w:rPr>
          <w:lang w:val="en-US"/>
        </w:rPr>
        <w:t xml:space="preserve"> et </w:t>
      </w:r>
      <w:proofErr w:type="spellStart"/>
      <w:r w:rsidRPr="007541F4">
        <w:rPr>
          <w:lang w:val="en-US"/>
        </w:rPr>
        <w:t>fritt</w:t>
      </w:r>
      <w:proofErr w:type="spellEnd"/>
      <w:r w:rsidRPr="007541F4">
        <w:rPr>
          <w:lang w:val="en-US"/>
        </w:rPr>
        <w:t xml:space="preserve">, </w:t>
      </w:r>
      <w:proofErr w:type="spellStart"/>
      <w:r w:rsidRPr="007541F4">
        <w:rPr>
          <w:lang w:val="en-US"/>
        </w:rPr>
        <w:t>forhåndsinformert</w:t>
      </w:r>
      <w:proofErr w:type="spellEnd"/>
      <w:r w:rsidRPr="007541F4">
        <w:rPr>
          <w:lang w:val="en-US"/>
        </w:rPr>
        <w:t xml:space="preserve"> </w:t>
      </w:r>
      <w:proofErr w:type="spellStart"/>
      <w:r w:rsidRPr="007541F4">
        <w:rPr>
          <w:lang w:val="en-US"/>
        </w:rPr>
        <w:t>samtykke</w:t>
      </w:r>
      <w:proofErr w:type="spellEnd"/>
      <w:r w:rsidRPr="007541F4">
        <w:rPr>
          <w:lang w:val="en-US"/>
        </w:rPr>
        <w:t xml:space="preserve"> </w:t>
      </w:r>
      <w:proofErr w:type="spellStart"/>
      <w:r w:rsidRPr="007541F4">
        <w:rPr>
          <w:lang w:val="en-US"/>
        </w:rPr>
        <w:t>fra</w:t>
      </w:r>
      <w:proofErr w:type="spellEnd"/>
      <w:r w:rsidRPr="007541F4">
        <w:rPr>
          <w:lang w:val="en-US"/>
        </w:rPr>
        <w:t xml:space="preserve"> </w:t>
      </w:r>
      <w:r w:rsidR="00CD439F">
        <w:rPr>
          <w:lang w:val="en-US"/>
        </w:rPr>
        <w:t>«</w:t>
      </w:r>
      <w:r w:rsidRPr="007541F4">
        <w:rPr>
          <w:lang w:val="en-US"/>
        </w:rPr>
        <w:t>the communities concerned</w:t>
      </w:r>
      <w:r w:rsidR="00CD439F">
        <w:rPr>
          <w:lang w:val="en-US"/>
        </w:rPr>
        <w:t>»</w:t>
      </w:r>
      <w:r w:rsidRPr="007541F4">
        <w:rPr>
          <w:lang w:val="en-US"/>
        </w:rPr>
        <w:t xml:space="preserve"> </w:t>
      </w:r>
      <w:proofErr w:type="spellStart"/>
      <w:r w:rsidRPr="007541F4">
        <w:rPr>
          <w:lang w:val="en-US"/>
        </w:rPr>
        <w:t>til</w:t>
      </w:r>
      <w:proofErr w:type="spellEnd"/>
      <w:r w:rsidRPr="007541F4">
        <w:rPr>
          <w:lang w:val="en-US"/>
        </w:rPr>
        <w:t xml:space="preserve"> at </w:t>
      </w:r>
      <w:proofErr w:type="spellStart"/>
      <w:r w:rsidRPr="007541F4">
        <w:rPr>
          <w:lang w:val="en-US"/>
        </w:rPr>
        <w:t>artikkel</w:t>
      </w:r>
      <w:proofErr w:type="spellEnd"/>
      <w:r w:rsidRPr="007541F4">
        <w:rPr>
          <w:lang w:val="en-US"/>
        </w:rPr>
        <w:t xml:space="preserve"> 27 </w:t>
      </w:r>
      <w:r w:rsidR="00CD439F">
        <w:rPr>
          <w:lang w:val="en-US"/>
        </w:rPr>
        <w:t>«</w:t>
      </w:r>
      <w:r w:rsidRPr="007541F4">
        <w:rPr>
          <w:lang w:val="en-US"/>
        </w:rPr>
        <w:t xml:space="preserve">enshrines the inalienable right of Indigenous </w:t>
      </w:r>
      <w:r w:rsidRPr="007541F4">
        <w:rPr>
          <w:rFonts w:cs="Times New Roman"/>
          <w:lang w:val="en-US"/>
        </w:rPr>
        <w:t xml:space="preserve">Peoples to </w:t>
      </w:r>
      <w:r w:rsidRPr="007541F4">
        <w:rPr>
          <w:rFonts w:cs="Times New Roman"/>
          <w:lang w:val="en-US"/>
        </w:rPr>
        <w:lastRenderedPageBreak/>
        <w:t>enjoy their traditional territories and that any decision affecting them should be taken with their effective participation</w:t>
      </w:r>
      <w:r w:rsidR="00CD439F">
        <w:rPr>
          <w:lang w:val="en-US"/>
        </w:rPr>
        <w:t>»</w:t>
      </w:r>
      <w:r>
        <w:rPr>
          <w:lang w:val="en-US"/>
        </w:rPr>
        <w:t>.</w:t>
      </w:r>
      <w:r w:rsidR="00CD439F" w:rsidRPr="00CD439F">
        <w:rPr>
          <w:rStyle w:val="Fotnotereferanse"/>
        </w:rPr>
        <w:footnoteReference w:id="83"/>
      </w:r>
    </w:p>
    <w:p w14:paraId="594A4854" w14:textId="77777777" w:rsidR="00303661" w:rsidRDefault="00F8433A" w:rsidP="00F8433A">
      <w:r w:rsidRPr="40CD0FAB">
        <w:t xml:space="preserve">Etter dette kan det ikke lenger være noen tvil om at SP artikkel 27 også statuerer en rett for urfolk til effektiv deltakelse i beslutningsprosesser som angår deres tradisjonelle bruksområder. Det er videre nærliggende å oppfatte </w:t>
      </w:r>
      <w:proofErr w:type="spellStart"/>
      <w:r w:rsidRPr="40CD0FAB">
        <w:t>MRKs</w:t>
      </w:r>
      <w:proofErr w:type="spellEnd"/>
      <w:r w:rsidRPr="40CD0FAB">
        <w:t xml:space="preserve"> henvisning til at det ikke var gjennomført uavhengige konsekvensutredninger i </w:t>
      </w:r>
      <w:proofErr w:type="spellStart"/>
      <w:r w:rsidRPr="40CD0FAB">
        <w:t>Poma</w:t>
      </w:r>
      <w:proofErr w:type="spellEnd"/>
      <w:r w:rsidRPr="40CD0FAB">
        <w:t xml:space="preserve"> </w:t>
      </w:r>
      <w:proofErr w:type="spellStart"/>
      <w:r w:rsidRPr="40CD0FAB">
        <w:t>Poma</w:t>
      </w:r>
      <w:proofErr w:type="spellEnd"/>
      <w:r w:rsidRPr="40CD0FAB">
        <w:t>-saken slik at det også vil være et virkemiddel for å oppfylle statens forpliktelser etter SP artikkel 27 å gjennomføre slike utredninger for å kartlegge tiltakets negative konsekvenser. I forlengelsen av dette må det også stilles krav til utredningenes innhold ved at kartleggingen av tiltakets virkninger er basert på et forsvarlig faktisk grunnlag og vitenskapelig funderte vurderinger.</w:t>
      </w:r>
    </w:p>
    <w:p w14:paraId="78B35FC7" w14:textId="00BC77BD" w:rsidR="00F8433A" w:rsidRDefault="00F8433A" w:rsidP="00F8433A">
      <w:pPr>
        <w:pStyle w:val="Overskrift4"/>
      </w:pPr>
      <w:r>
        <w:t>Skjønnsmargin og forholdsmessighet</w:t>
      </w:r>
    </w:p>
    <w:p w14:paraId="65BD4952" w14:textId="77777777" w:rsidR="00303661" w:rsidRDefault="00F8433A" w:rsidP="00F8433A">
      <w:r w:rsidRPr="00E75280">
        <w:t xml:space="preserve">I motsetning til flere av de øvrige rettighetsbestemmelsene i SP, blant annet artikkel 18 om tros- og religionsfrihet og artikkel 19 om ytringsfrihet, åpner ikke ordlyden i artikkel 27 for at statene kan begrense rekkevidden av retten til kulturutøvelse ut fra en forholdsmessighetsvurdering. </w:t>
      </w:r>
      <w:r w:rsidRPr="6B7E9414">
        <w:t>Dersom et tiltak ikke overskrider terskelen for krenkelse av artikkel 27, kan imidlertid tiltaket gjennomføres uten at det er nødvendig med en avveining av tiltakets fordeler opp mot dets ulemper</w:t>
      </w:r>
      <w:r>
        <w:t>.</w:t>
      </w:r>
    </w:p>
    <w:p w14:paraId="3113D9B3" w14:textId="6EF2DE3B" w:rsidR="00F8433A" w:rsidRDefault="00F8433A" w:rsidP="00F8433A">
      <w:r w:rsidRPr="57473D06">
        <w:t xml:space="preserve">Ordlyden i artikkel 27 tyder heller ikke på at statene har en skjønnsmargin ved anvendelsen av bestemmelsen. Det siste tolkningsresultatet ble stadfestet av MRK i </w:t>
      </w:r>
      <w:r w:rsidRPr="00CD439F">
        <w:rPr>
          <w:rStyle w:val="kursiv"/>
        </w:rPr>
        <w:t xml:space="preserve">Ilmari </w:t>
      </w:r>
      <w:proofErr w:type="spellStart"/>
      <w:r w:rsidRPr="00CD439F">
        <w:rPr>
          <w:rStyle w:val="kursiv"/>
        </w:rPr>
        <w:t>Länsman</w:t>
      </w:r>
      <w:proofErr w:type="spellEnd"/>
      <w:r w:rsidRPr="00CD439F">
        <w:rPr>
          <w:rStyle w:val="kursiv"/>
        </w:rPr>
        <w:t xml:space="preserve"> mot Finland </w:t>
      </w:r>
      <w:r w:rsidRPr="57473D06">
        <w:t>der MRK kommenterte den finske statens anførsel om at det måtte innfortolkes en slik skjønnsmargin på følgende måte:</w:t>
      </w:r>
      <w:r w:rsidR="00CD439F" w:rsidRPr="00CD439F">
        <w:rPr>
          <w:rStyle w:val="Fotnotereferanse"/>
        </w:rPr>
        <w:footnoteReference w:id="84"/>
      </w:r>
    </w:p>
    <w:p w14:paraId="7C3A95C4" w14:textId="7BA33BB6" w:rsidR="00F8433A" w:rsidRPr="00CD439F" w:rsidRDefault="00CD439F" w:rsidP="00393223">
      <w:pPr>
        <w:pStyle w:val="blokksit"/>
        <w:ind w:left="757"/>
        <w:rPr>
          <w:lang w:val="en-US"/>
        </w:rPr>
      </w:pPr>
      <w:r>
        <w:rPr>
          <w:lang w:val="en-US"/>
        </w:rPr>
        <w:t>«</w:t>
      </w:r>
      <w:r w:rsidR="00F8433A" w:rsidRPr="00CD439F">
        <w:rPr>
          <w:lang w:val="en-US"/>
        </w:rPr>
        <w:t>A State may understandably wish to encourage development or allow economic activity by enterprises. The scope of its freedom to do so is not to be assessed by reference to a margin of appreciation, but by reference to the obligations it has undertaken in article 27.</w:t>
      </w:r>
      <w:r>
        <w:rPr>
          <w:lang w:val="en-US"/>
        </w:rPr>
        <w:t>»</w:t>
      </w:r>
    </w:p>
    <w:p w14:paraId="58F5B0B2" w14:textId="494C1C68" w:rsidR="00F8433A" w:rsidRDefault="00F8433A" w:rsidP="00F8433A">
      <w:r w:rsidRPr="2FB46E9B">
        <w:t>Det klare utgangspunktet er etter dette at statene ikke har noen skjønnsmargin etter SP artikkel 27, og at bestemmelsen ikke åpner for en forholdsmessighetsvurdering der andre legitime samfunnsbehov veies mot minoritetens eller urfolkets interesse. Som bemerket både av Samerettsutvalget II i NOU 2007: 13 og av Høyesterett i Fosen-saken</w:t>
      </w:r>
      <w:r>
        <w:t>,</w:t>
      </w:r>
      <w:r w:rsidRPr="2FB46E9B">
        <w:t xml:space="preserve"> ville minoritetsbeskyttelsen </w:t>
      </w:r>
      <w:r w:rsidR="00CD439F">
        <w:t>«</w:t>
      </w:r>
      <w:r w:rsidRPr="2FB46E9B">
        <w:t xml:space="preserve">bli lite effektiv hvis flertallsbefolkningen kunne begrense </w:t>
      </w:r>
      <w:r w:rsidRPr="2FB46E9B">
        <w:lastRenderedPageBreak/>
        <w:t>den ut fra en vurdering av sine legitime behov</w:t>
      </w:r>
      <w:r w:rsidR="00CD439F">
        <w:t>»</w:t>
      </w:r>
      <w:r w:rsidRPr="2FB46E9B">
        <w:t>.</w:t>
      </w:r>
      <w:r w:rsidR="00CD439F" w:rsidRPr="00CD439F">
        <w:rPr>
          <w:rStyle w:val="Fotnotereferanse"/>
        </w:rPr>
        <w:footnoteReference w:id="85"/>
      </w:r>
      <w:r w:rsidRPr="2FB46E9B">
        <w:t xml:space="preserve"> Dette utgangspunktet er imidlertid gjenstand for en del modifikasjoner.</w:t>
      </w:r>
    </w:p>
    <w:p w14:paraId="64887F0B" w14:textId="2BAF38D2" w:rsidR="00F8433A" w:rsidRDefault="00F8433A" w:rsidP="00F8433A">
      <w:r w:rsidRPr="40CD0FAB">
        <w:t xml:space="preserve">En viktig modifikasjon er at MRK har åpnet for forholdsmessighetsvurderinger i tilfeller der et statlig tiltak som iverksettes for å ivareta minoritetskulturen som helhet (eller en større del av den), har negative virkninger for enkeltpersoner eller mindre grupper tilhørende minoriteten. Dette kom til uttrykk alt i </w:t>
      </w:r>
      <w:proofErr w:type="spellStart"/>
      <w:r w:rsidRPr="00CD439F">
        <w:rPr>
          <w:rStyle w:val="kursiv"/>
        </w:rPr>
        <w:t>Lovelace</w:t>
      </w:r>
      <w:proofErr w:type="spellEnd"/>
      <w:r w:rsidRPr="00CD439F">
        <w:rPr>
          <w:rStyle w:val="kursiv"/>
        </w:rPr>
        <w:t xml:space="preserve"> mot Canada</w:t>
      </w:r>
      <w:r w:rsidRPr="40CD0FAB">
        <w:t xml:space="preserve">, som ble avgjort i 1981. Etter å ha vist til at tiltaket måtte ha </w:t>
      </w:r>
      <w:r w:rsidR="00CD439F">
        <w:t>«</w:t>
      </w:r>
      <w:r w:rsidRPr="00CD439F">
        <w:rPr>
          <w:rStyle w:val="kursiv"/>
        </w:rPr>
        <w:t xml:space="preserve">a </w:t>
      </w:r>
      <w:proofErr w:type="spellStart"/>
      <w:r w:rsidRPr="00CD439F">
        <w:rPr>
          <w:rStyle w:val="kursiv"/>
        </w:rPr>
        <w:t>reasonable</w:t>
      </w:r>
      <w:proofErr w:type="spellEnd"/>
      <w:r w:rsidRPr="00CD439F">
        <w:rPr>
          <w:rStyle w:val="kursiv"/>
        </w:rPr>
        <w:t xml:space="preserve"> and </w:t>
      </w:r>
      <w:proofErr w:type="spellStart"/>
      <w:r w:rsidRPr="00CD439F">
        <w:rPr>
          <w:rStyle w:val="kursiv"/>
        </w:rPr>
        <w:t>objective</w:t>
      </w:r>
      <w:proofErr w:type="spellEnd"/>
      <w:r w:rsidRPr="00CD439F">
        <w:rPr>
          <w:rStyle w:val="kursiv"/>
        </w:rPr>
        <w:t xml:space="preserve"> </w:t>
      </w:r>
      <w:proofErr w:type="spellStart"/>
      <w:r w:rsidRPr="00CD439F">
        <w:rPr>
          <w:rStyle w:val="kursiv"/>
        </w:rPr>
        <w:t>justification</w:t>
      </w:r>
      <w:proofErr w:type="spellEnd"/>
      <w:r w:rsidR="00CD439F">
        <w:t>»</w:t>
      </w:r>
      <w:r w:rsidRPr="40CD0FAB">
        <w:t xml:space="preserve"> for å være innenfor rammene av SP artikkel 27, uttaler MRK:</w:t>
      </w:r>
      <w:r w:rsidR="00CD439F" w:rsidRPr="00CD439F">
        <w:rPr>
          <w:rStyle w:val="Fotnotereferanse"/>
        </w:rPr>
        <w:footnoteReference w:id="86"/>
      </w:r>
    </w:p>
    <w:p w14:paraId="746140BD" w14:textId="79694F50" w:rsidR="00F8433A" w:rsidRPr="00CD439F" w:rsidRDefault="00CD439F" w:rsidP="00393223">
      <w:pPr>
        <w:pStyle w:val="blokksit"/>
        <w:ind w:left="757"/>
        <w:rPr>
          <w:lang w:val="en-US"/>
        </w:rPr>
      </w:pPr>
      <w:r>
        <w:rPr>
          <w:lang w:val="en-US"/>
        </w:rPr>
        <w:t>«</w:t>
      </w:r>
      <w:r w:rsidR="00F8433A" w:rsidRPr="00CD439F">
        <w:rPr>
          <w:lang w:val="en-US"/>
        </w:rPr>
        <w:t>Whatever may be the merits of the Indian Act in other respects, it does not seem to the Committee that to deny Sandra Lovelace the right to reside on the reserve is reasonable, or necessary to preserve the identity of the tribe. The Committee therefore concludes that to prevent her recognition as belonging to the band is an unjustifiable denial of her rights under article 27 of the Covenant.</w:t>
      </w:r>
      <w:r>
        <w:rPr>
          <w:lang w:val="en-US"/>
        </w:rPr>
        <w:t>»</w:t>
      </w:r>
    </w:p>
    <w:p w14:paraId="0F2240D5" w14:textId="53FB5B2C" w:rsidR="00F8433A" w:rsidRPr="00367731" w:rsidRDefault="00F8433A" w:rsidP="00F8433A">
      <w:r w:rsidRPr="40CD0FAB">
        <w:t xml:space="preserve">I </w:t>
      </w:r>
      <w:proofErr w:type="spellStart"/>
      <w:r w:rsidRPr="00CD439F">
        <w:rPr>
          <w:rStyle w:val="kursiv"/>
        </w:rPr>
        <w:t>Kitok</w:t>
      </w:r>
      <w:proofErr w:type="spellEnd"/>
      <w:r w:rsidRPr="00CD439F">
        <w:rPr>
          <w:rStyle w:val="kursiv"/>
        </w:rPr>
        <w:t xml:space="preserve"> mot Sverige</w:t>
      </w:r>
      <w:r w:rsidRPr="40CD0FAB">
        <w:t xml:space="preserve"> viser MRK til uttalelsen fra </w:t>
      </w:r>
      <w:proofErr w:type="spellStart"/>
      <w:r w:rsidRPr="40CD0FAB">
        <w:t>Lovelace</w:t>
      </w:r>
      <w:proofErr w:type="spellEnd"/>
      <w:r w:rsidRPr="40CD0FAB">
        <w:t>-saken og uttaler:</w:t>
      </w:r>
      <w:r w:rsidR="00CD439F" w:rsidRPr="00CD439F">
        <w:rPr>
          <w:rStyle w:val="Fotnotereferanse"/>
        </w:rPr>
        <w:footnoteReference w:id="87"/>
      </w:r>
    </w:p>
    <w:p w14:paraId="6BA222D5" w14:textId="4132A4B6" w:rsidR="00F8433A" w:rsidRPr="00CD439F" w:rsidRDefault="00CD439F" w:rsidP="00393223">
      <w:pPr>
        <w:pStyle w:val="blokksit"/>
        <w:ind w:left="757"/>
        <w:rPr>
          <w:lang w:val="en-US"/>
        </w:rPr>
      </w:pPr>
      <w:r>
        <w:rPr>
          <w:lang w:val="en-US"/>
        </w:rPr>
        <w:t>«</w:t>
      </w:r>
      <w:r w:rsidR="00F8433A" w:rsidRPr="00CD439F">
        <w:rPr>
          <w:lang w:val="en-US"/>
        </w:rPr>
        <w:t>In resolving this problem, in which there is an apparent conflict between the legislation, which seems to protect the rights of the minority as a whole, and its application to a single member of that minority, the Committee had been guided by the ratio decidendi in the Lovelace case …, namely that a restriction upon the right of an individual member of a minority must be shown to have a reasonable and objective justification and to be necessary for the continued viability an welfare of the minority as a whole.</w:t>
      </w:r>
      <w:r>
        <w:rPr>
          <w:lang w:val="en-US"/>
        </w:rPr>
        <w:t>»</w:t>
      </w:r>
    </w:p>
    <w:p w14:paraId="486E9DF8" w14:textId="36679D58" w:rsidR="00303661" w:rsidRDefault="00F8433A" w:rsidP="00F8433A">
      <w:pPr>
        <w:rPr>
          <w:lang w:val="en-US"/>
        </w:rPr>
      </w:pPr>
      <w:r w:rsidRPr="00693A45">
        <w:rPr>
          <w:lang w:val="en-US"/>
        </w:rPr>
        <w:t xml:space="preserve">I </w:t>
      </w:r>
      <w:r w:rsidRPr="00CD439F">
        <w:rPr>
          <w:rStyle w:val="kursiv"/>
          <w:lang w:val="en-US"/>
        </w:rPr>
        <w:t>Jovsset Ante Sara mot Norge</w:t>
      </w:r>
      <w:r w:rsidRPr="00693A45">
        <w:rPr>
          <w:lang w:val="en-US"/>
        </w:rPr>
        <w:t xml:space="preserve"> </w:t>
      </w:r>
      <w:proofErr w:type="spellStart"/>
      <w:r w:rsidRPr="00693A45">
        <w:rPr>
          <w:lang w:val="en-US"/>
        </w:rPr>
        <w:t>uttaler</w:t>
      </w:r>
      <w:proofErr w:type="spellEnd"/>
      <w:r w:rsidRPr="00693A45">
        <w:rPr>
          <w:lang w:val="en-US"/>
        </w:rPr>
        <w:t xml:space="preserve"> MRK at den </w:t>
      </w:r>
      <w:proofErr w:type="spellStart"/>
      <w:r w:rsidRPr="00693A45">
        <w:rPr>
          <w:lang w:val="en-US"/>
        </w:rPr>
        <w:t>norske</w:t>
      </w:r>
      <w:proofErr w:type="spellEnd"/>
      <w:r w:rsidRPr="00693A45">
        <w:rPr>
          <w:lang w:val="en-US"/>
        </w:rPr>
        <w:t xml:space="preserve"> </w:t>
      </w:r>
      <w:proofErr w:type="spellStart"/>
      <w:r w:rsidRPr="00693A45">
        <w:rPr>
          <w:lang w:val="en-US"/>
        </w:rPr>
        <w:t>reindriftslovens</w:t>
      </w:r>
      <w:proofErr w:type="spellEnd"/>
      <w:r w:rsidRPr="00693A45">
        <w:rPr>
          <w:lang w:val="en-US"/>
        </w:rPr>
        <w:t xml:space="preserve"> </w:t>
      </w:r>
      <w:proofErr w:type="spellStart"/>
      <w:r w:rsidRPr="00693A45">
        <w:rPr>
          <w:lang w:val="en-US"/>
        </w:rPr>
        <w:t>krav</w:t>
      </w:r>
      <w:proofErr w:type="spellEnd"/>
      <w:r w:rsidRPr="00693A45">
        <w:rPr>
          <w:lang w:val="en-US"/>
        </w:rPr>
        <w:t xml:space="preserve"> om </w:t>
      </w:r>
      <w:proofErr w:type="spellStart"/>
      <w:r w:rsidRPr="00693A45">
        <w:rPr>
          <w:lang w:val="en-US"/>
        </w:rPr>
        <w:t>reintallsreduksjon</w:t>
      </w:r>
      <w:proofErr w:type="spellEnd"/>
      <w:r w:rsidRPr="00693A45">
        <w:rPr>
          <w:lang w:val="en-US"/>
        </w:rPr>
        <w:t xml:space="preserve"> </w:t>
      </w:r>
      <w:proofErr w:type="spellStart"/>
      <w:r w:rsidRPr="00693A45">
        <w:rPr>
          <w:lang w:val="en-US"/>
        </w:rPr>
        <w:t>hadde</w:t>
      </w:r>
      <w:proofErr w:type="spellEnd"/>
      <w:r w:rsidRPr="00693A45">
        <w:rPr>
          <w:lang w:val="en-US"/>
        </w:rPr>
        <w:t xml:space="preserve"> et </w:t>
      </w:r>
      <w:proofErr w:type="spellStart"/>
      <w:r w:rsidRPr="00693A45">
        <w:rPr>
          <w:lang w:val="en-US"/>
        </w:rPr>
        <w:t>legitimt</w:t>
      </w:r>
      <w:proofErr w:type="spellEnd"/>
      <w:r w:rsidRPr="00693A45">
        <w:rPr>
          <w:lang w:val="en-US"/>
        </w:rPr>
        <w:t xml:space="preserve"> </w:t>
      </w:r>
      <w:proofErr w:type="spellStart"/>
      <w:r w:rsidRPr="00693A45">
        <w:rPr>
          <w:lang w:val="en-US"/>
        </w:rPr>
        <w:t>formål</w:t>
      </w:r>
      <w:proofErr w:type="spellEnd"/>
      <w:r w:rsidRPr="00693A45">
        <w:rPr>
          <w:lang w:val="en-US"/>
        </w:rPr>
        <w:t xml:space="preserve"> </w:t>
      </w:r>
      <w:proofErr w:type="spellStart"/>
      <w:r w:rsidRPr="00693A45">
        <w:rPr>
          <w:lang w:val="en-US"/>
        </w:rPr>
        <w:t>ved</w:t>
      </w:r>
      <w:proofErr w:type="spellEnd"/>
      <w:r w:rsidRPr="00693A45">
        <w:rPr>
          <w:lang w:val="en-US"/>
        </w:rPr>
        <w:t xml:space="preserve"> at </w:t>
      </w:r>
      <w:proofErr w:type="spellStart"/>
      <w:r w:rsidRPr="00693A45">
        <w:rPr>
          <w:lang w:val="en-US"/>
        </w:rPr>
        <w:t>tiltaket</w:t>
      </w:r>
      <w:proofErr w:type="spellEnd"/>
      <w:r w:rsidRPr="00693A45">
        <w:rPr>
          <w:lang w:val="en-US"/>
        </w:rPr>
        <w:t xml:space="preserve"> var </w:t>
      </w:r>
      <w:proofErr w:type="spellStart"/>
      <w:r w:rsidRPr="00693A45">
        <w:rPr>
          <w:lang w:val="en-US"/>
        </w:rPr>
        <w:t>begrunnet</w:t>
      </w:r>
      <w:proofErr w:type="spellEnd"/>
      <w:r w:rsidRPr="00693A45">
        <w:rPr>
          <w:lang w:val="en-US"/>
        </w:rPr>
        <w:t xml:space="preserve"> </w:t>
      </w:r>
      <w:proofErr w:type="spellStart"/>
      <w:r w:rsidRPr="00693A45">
        <w:rPr>
          <w:lang w:val="en-US"/>
        </w:rPr>
        <w:t>i</w:t>
      </w:r>
      <w:proofErr w:type="spellEnd"/>
      <w:r w:rsidRPr="00693A45">
        <w:rPr>
          <w:lang w:val="en-US"/>
        </w:rPr>
        <w:t xml:space="preserve"> </w:t>
      </w:r>
      <w:proofErr w:type="spellStart"/>
      <w:r w:rsidRPr="00693A45">
        <w:rPr>
          <w:lang w:val="en-US"/>
        </w:rPr>
        <w:t>hensynet</w:t>
      </w:r>
      <w:proofErr w:type="spellEnd"/>
      <w:r w:rsidRPr="00693A45">
        <w:rPr>
          <w:lang w:val="en-US"/>
        </w:rPr>
        <w:t xml:space="preserve"> </w:t>
      </w:r>
      <w:proofErr w:type="spellStart"/>
      <w:r w:rsidRPr="00693A45">
        <w:rPr>
          <w:lang w:val="en-US"/>
        </w:rPr>
        <w:t>til</w:t>
      </w:r>
      <w:proofErr w:type="spellEnd"/>
      <w:r w:rsidRPr="00693A45">
        <w:rPr>
          <w:lang w:val="en-US"/>
        </w:rPr>
        <w:t xml:space="preserve"> å </w:t>
      </w:r>
      <w:proofErr w:type="spellStart"/>
      <w:r w:rsidRPr="00693A45">
        <w:rPr>
          <w:lang w:val="en-US"/>
        </w:rPr>
        <w:t>sikre</w:t>
      </w:r>
      <w:proofErr w:type="spellEnd"/>
      <w:r w:rsidRPr="00693A45">
        <w:rPr>
          <w:lang w:val="en-US"/>
        </w:rPr>
        <w:t xml:space="preserve"> </w:t>
      </w:r>
      <w:proofErr w:type="spellStart"/>
      <w:r w:rsidRPr="00693A45">
        <w:rPr>
          <w:lang w:val="en-US"/>
        </w:rPr>
        <w:t>en</w:t>
      </w:r>
      <w:proofErr w:type="spellEnd"/>
      <w:r w:rsidRPr="00693A45">
        <w:rPr>
          <w:lang w:val="en-US"/>
        </w:rPr>
        <w:t xml:space="preserve"> </w:t>
      </w:r>
      <w:proofErr w:type="spellStart"/>
      <w:r w:rsidRPr="00693A45">
        <w:rPr>
          <w:lang w:val="en-US"/>
        </w:rPr>
        <w:t>økologisk</w:t>
      </w:r>
      <w:proofErr w:type="spellEnd"/>
      <w:r w:rsidRPr="00693A45">
        <w:rPr>
          <w:lang w:val="en-US"/>
        </w:rPr>
        <w:t xml:space="preserve">, </w:t>
      </w:r>
      <w:proofErr w:type="spellStart"/>
      <w:r w:rsidRPr="00693A45">
        <w:rPr>
          <w:lang w:val="en-US"/>
        </w:rPr>
        <w:t>økonomisk</w:t>
      </w:r>
      <w:proofErr w:type="spellEnd"/>
      <w:r w:rsidRPr="00693A45">
        <w:rPr>
          <w:lang w:val="en-US"/>
        </w:rPr>
        <w:t xml:space="preserve"> og </w:t>
      </w:r>
      <w:proofErr w:type="spellStart"/>
      <w:r w:rsidRPr="00693A45">
        <w:rPr>
          <w:lang w:val="en-US"/>
        </w:rPr>
        <w:t>kulturelt</w:t>
      </w:r>
      <w:proofErr w:type="spellEnd"/>
      <w:r w:rsidRPr="00693A45">
        <w:rPr>
          <w:lang w:val="en-US"/>
        </w:rPr>
        <w:t xml:space="preserve"> </w:t>
      </w:r>
      <w:proofErr w:type="spellStart"/>
      <w:r w:rsidRPr="00693A45">
        <w:rPr>
          <w:lang w:val="en-US"/>
        </w:rPr>
        <w:t>bærekraftig</w:t>
      </w:r>
      <w:proofErr w:type="spellEnd"/>
      <w:r w:rsidRPr="00693A45">
        <w:rPr>
          <w:lang w:val="en-US"/>
        </w:rPr>
        <w:t xml:space="preserve"> </w:t>
      </w:r>
      <w:proofErr w:type="spellStart"/>
      <w:r w:rsidRPr="00693A45">
        <w:rPr>
          <w:lang w:val="en-US"/>
        </w:rPr>
        <w:t>reindrift</w:t>
      </w:r>
      <w:proofErr w:type="spellEnd"/>
      <w:r w:rsidRPr="00693A45">
        <w:rPr>
          <w:lang w:val="en-US"/>
        </w:rPr>
        <w:t xml:space="preserve">, men </w:t>
      </w:r>
      <w:proofErr w:type="spellStart"/>
      <w:r w:rsidRPr="00693A45">
        <w:rPr>
          <w:lang w:val="en-US"/>
        </w:rPr>
        <w:t>som</w:t>
      </w:r>
      <w:proofErr w:type="spellEnd"/>
      <w:r w:rsidRPr="00693A45">
        <w:rPr>
          <w:lang w:val="en-US"/>
        </w:rPr>
        <w:t xml:space="preserve"> </w:t>
      </w:r>
      <w:proofErr w:type="spellStart"/>
      <w:r w:rsidRPr="00693A45">
        <w:rPr>
          <w:lang w:val="en-US"/>
        </w:rPr>
        <w:t>referert</w:t>
      </w:r>
      <w:proofErr w:type="spellEnd"/>
      <w:r w:rsidRPr="00693A45">
        <w:rPr>
          <w:lang w:val="en-US"/>
        </w:rPr>
        <w:t xml:space="preserve"> </w:t>
      </w:r>
      <w:proofErr w:type="spellStart"/>
      <w:r w:rsidRPr="00693A45">
        <w:rPr>
          <w:lang w:val="en-US"/>
        </w:rPr>
        <w:t>ovenfor</w:t>
      </w:r>
      <w:proofErr w:type="spellEnd"/>
      <w:r w:rsidRPr="00693A45">
        <w:rPr>
          <w:lang w:val="en-US"/>
        </w:rPr>
        <w:t xml:space="preserve">, </w:t>
      </w:r>
      <w:proofErr w:type="spellStart"/>
      <w:r w:rsidRPr="00693A45">
        <w:rPr>
          <w:lang w:val="en-US"/>
        </w:rPr>
        <w:t>fant</w:t>
      </w:r>
      <w:proofErr w:type="spellEnd"/>
      <w:r w:rsidRPr="00693A45">
        <w:rPr>
          <w:lang w:val="en-US"/>
        </w:rPr>
        <w:t xml:space="preserve"> </w:t>
      </w:r>
      <w:proofErr w:type="spellStart"/>
      <w:r w:rsidRPr="00693A45">
        <w:rPr>
          <w:lang w:val="en-US"/>
        </w:rPr>
        <w:t>komiteen</w:t>
      </w:r>
      <w:proofErr w:type="spellEnd"/>
      <w:r w:rsidRPr="00693A45">
        <w:rPr>
          <w:lang w:val="en-US"/>
        </w:rPr>
        <w:t xml:space="preserve"> at </w:t>
      </w:r>
      <w:proofErr w:type="spellStart"/>
      <w:r w:rsidRPr="00693A45">
        <w:rPr>
          <w:lang w:val="en-US"/>
        </w:rPr>
        <w:t>myndighetene</w:t>
      </w:r>
      <w:proofErr w:type="spellEnd"/>
      <w:r w:rsidRPr="00693A45">
        <w:rPr>
          <w:lang w:val="en-US"/>
        </w:rPr>
        <w:t xml:space="preserve"> </w:t>
      </w:r>
      <w:proofErr w:type="spellStart"/>
      <w:r w:rsidRPr="00693A45">
        <w:rPr>
          <w:lang w:val="en-US"/>
        </w:rPr>
        <w:t>ikke</w:t>
      </w:r>
      <w:proofErr w:type="spellEnd"/>
      <w:r w:rsidRPr="00693A45">
        <w:rPr>
          <w:lang w:val="en-US"/>
        </w:rPr>
        <w:t xml:space="preserve"> </w:t>
      </w:r>
      <w:proofErr w:type="spellStart"/>
      <w:r w:rsidRPr="00693A45">
        <w:rPr>
          <w:lang w:val="en-US"/>
        </w:rPr>
        <w:t>hadde</w:t>
      </w:r>
      <w:proofErr w:type="spellEnd"/>
      <w:r w:rsidRPr="00693A45">
        <w:rPr>
          <w:lang w:val="en-US"/>
        </w:rPr>
        <w:t xml:space="preserve"> </w:t>
      </w:r>
      <w:proofErr w:type="spellStart"/>
      <w:r w:rsidRPr="00693A45">
        <w:rPr>
          <w:lang w:val="en-US"/>
        </w:rPr>
        <w:t>vist</w:t>
      </w:r>
      <w:proofErr w:type="spellEnd"/>
      <w:r w:rsidRPr="00693A45">
        <w:rPr>
          <w:lang w:val="en-US"/>
        </w:rPr>
        <w:t xml:space="preserve"> at </w:t>
      </w:r>
      <w:proofErr w:type="spellStart"/>
      <w:r w:rsidRPr="00693A45">
        <w:rPr>
          <w:lang w:val="en-US"/>
        </w:rPr>
        <w:t>tiltakets</w:t>
      </w:r>
      <w:proofErr w:type="spellEnd"/>
      <w:r w:rsidRPr="00693A45">
        <w:rPr>
          <w:lang w:val="en-US"/>
        </w:rPr>
        <w:t xml:space="preserve"> </w:t>
      </w:r>
      <w:proofErr w:type="spellStart"/>
      <w:r w:rsidRPr="00693A45">
        <w:rPr>
          <w:lang w:val="en-US"/>
        </w:rPr>
        <w:t>utforming</w:t>
      </w:r>
      <w:proofErr w:type="spellEnd"/>
      <w:r w:rsidRPr="00693A45">
        <w:rPr>
          <w:lang w:val="en-US"/>
        </w:rPr>
        <w:t xml:space="preserve"> var </w:t>
      </w:r>
      <w:proofErr w:type="spellStart"/>
      <w:r w:rsidRPr="00693A45">
        <w:rPr>
          <w:lang w:val="en-US"/>
        </w:rPr>
        <w:t>basert</w:t>
      </w:r>
      <w:proofErr w:type="spellEnd"/>
      <w:r w:rsidRPr="00693A45">
        <w:rPr>
          <w:lang w:val="en-US"/>
        </w:rPr>
        <w:t xml:space="preserve"> </w:t>
      </w:r>
      <w:proofErr w:type="spellStart"/>
      <w:r w:rsidRPr="00693A45">
        <w:rPr>
          <w:lang w:val="en-US"/>
        </w:rPr>
        <w:t>på</w:t>
      </w:r>
      <w:proofErr w:type="spellEnd"/>
      <w:r w:rsidRPr="00693A45">
        <w:rPr>
          <w:lang w:val="en-US"/>
        </w:rPr>
        <w:t xml:space="preserve"> </w:t>
      </w:r>
      <w:r w:rsidR="00CD439F">
        <w:rPr>
          <w:lang w:val="en-US"/>
        </w:rPr>
        <w:t>«</w:t>
      </w:r>
      <w:r w:rsidRPr="00693A45">
        <w:rPr>
          <w:lang w:val="en-US"/>
        </w:rPr>
        <w:t>reasonable and objective justifications</w:t>
      </w:r>
      <w:r w:rsidR="00CD439F">
        <w:rPr>
          <w:lang w:val="en-US"/>
        </w:rPr>
        <w:t>»</w:t>
      </w:r>
      <w:r w:rsidRPr="00693A45">
        <w:rPr>
          <w:lang w:val="en-US"/>
        </w:rPr>
        <w:t xml:space="preserve"> </w:t>
      </w:r>
      <w:proofErr w:type="spellStart"/>
      <w:r w:rsidRPr="00693A45">
        <w:rPr>
          <w:lang w:val="en-US"/>
        </w:rPr>
        <w:t>eller</w:t>
      </w:r>
      <w:proofErr w:type="spellEnd"/>
      <w:r w:rsidRPr="00693A45">
        <w:rPr>
          <w:lang w:val="en-US"/>
        </w:rPr>
        <w:t xml:space="preserve"> </w:t>
      </w:r>
      <w:r w:rsidR="00CD439F">
        <w:rPr>
          <w:lang w:val="en-US"/>
        </w:rPr>
        <w:t>«</w:t>
      </w:r>
      <w:r w:rsidRPr="00693A45">
        <w:rPr>
          <w:lang w:val="en-US"/>
        </w:rPr>
        <w:t>was necessary in order to ensure the continued viability and welfare of the Sami reindeer husbandry industry</w:t>
      </w:r>
      <w:r w:rsidR="00CD439F">
        <w:rPr>
          <w:lang w:val="en-US"/>
        </w:rPr>
        <w:t>»</w:t>
      </w:r>
      <w:r w:rsidRPr="00693A45">
        <w:rPr>
          <w:lang w:val="en-US"/>
        </w:rPr>
        <w:t>.</w:t>
      </w:r>
    </w:p>
    <w:p w14:paraId="12179AF3" w14:textId="7E170E4E" w:rsidR="00303661" w:rsidRDefault="00F8433A" w:rsidP="00F8433A">
      <w:r w:rsidRPr="1755F46F">
        <w:t xml:space="preserve">Derimot foretas det ikke denne typen forholdsmessighetsvurderinger i saker der storsamfunnets interesser står mot minoritetens. I slike saker er vurderingen mer direkte knyttet til tiltakets konkrete og antatte skadevirkninger, og er skadevirkningene store nok, konstaterer MRK konvensjonsbrudd. Riktignok viser MRK til </w:t>
      </w:r>
      <w:r w:rsidR="00CD439F">
        <w:rPr>
          <w:sz w:val="20"/>
          <w:szCs w:val="20"/>
        </w:rPr>
        <w:t>«</w:t>
      </w:r>
      <w:proofErr w:type="spellStart"/>
      <w:r w:rsidRPr="1755F46F">
        <w:t>the</w:t>
      </w:r>
      <w:proofErr w:type="spellEnd"/>
      <w:r w:rsidRPr="1755F46F">
        <w:t xml:space="preserve"> </w:t>
      </w:r>
      <w:proofErr w:type="spellStart"/>
      <w:r w:rsidRPr="1755F46F">
        <w:t>principle</w:t>
      </w:r>
      <w:proofErr w:type="spellEnd"/>
      <w:r w:rsidRPr="1755F46F">
        <w:t xml:space="preserve"> </w:t>
      </w:r>
      <w:proofErr w:type="spellStart"/>
      <w:r w:rsidRPr="1755F46F">
        <w:t>of</w:t>
      </w:r>
      <w:proofErr w:type="spellEnd"/>
      <w:r w:rsidRPr="1755F46F">
        <w:t xml:space="preserve"> </w:t>
      </w:r>
      <w:proofErr w:type="spellStart"/>
      <w:r w:rsidRPr="1755F46F">
        <w:t>proportionality</w:t>
      </w:r>
      <w:proofErr w:type="spellEnd"/>
      <w:r w:rsidR="00CD439F">
        <w:t>»</w:t>
      </w:r>
      <w:r w:rsidRPr="1755F46F">
        <w:t xml:space="preserve"> også i slike saker, men da som et uttrykk for at inngrepet vil være i strid </w:t>
      </w:r>
      <w:r w:rsidRPr="1755F46F">
        <w:lastRenderedPageBreak/>
        <w:t xml:space="preserve">med artikkel 27 dersom det får så store negative konsekvenser at det </w:t>
      </w:r>
      <w:r w:rsidR="00CD439F">
        <w:t>«</w:t>
      </w:r>
      <w:proofErr w:type="spellStart"/>
      <w:r w:rsidRPr="1755F46F">
        <w:t>endanger</w:t>
      </w:r>
      <w:proofErr w:type="spellEnd"/>
      <w:r w:rsidRPr="1755F46F">
        <w:t xml:space="preserve"> </w:t>
      </w:r>
      <w:proofErr w:type="spellStart"/>
      <w:r w:rsidRPr="1755F46F">
        <w:t>the</w:t>
      </w:r>
      <w:proofErr w:type="spellEnd"/>
      <w:r w:rsidRPr="1755F46F">
        <w:t xml:space="preserve"> </w:t>
      </w:r>
      <w:proofErr w:type="spellStart"/>
      <w:r w:rsidRPr="1755F46F">
        <w:t>very</w:t>
      </w:r>
      <w:proofErr w:type="spellEnd"/>
      <w:r w:rsidRPr="1755F46F">
        <w:t xml:space="preserve"> </w:t>
      </w:r>
      <w:proofErr w:type="spellStart"/>
      <w:r w:rsidRPr="1755F46F">
        <w:t>survival</w:t>
      </w:r>
      <w:proofErr w:type="spellEnd"/>
      <w:r w:rsidRPr="1755F46F">
        <w:t xml:space="preserve"> </w:t>
      </w:r>
      <w:proofErr w:type="spellStart"/>
      <w:r w:rsidRPr="1755F46F">
        <w:t>of</w:t>
      </w:r>
      <w:proofErr w:type="spellEnd"/>
      <w:r w:rsidRPr="1755F46F">
        <w:t xml:space="preserve"> </w:t>
      </w:r>
      <w:proofErr w:type="spellStart"/>
      <w:r w:rsidRPr="1755F46F">
        <w:t>the</w:t>
      </w:r>
      <w:proofErr w:type="spellEnd"/>
      <w:r w:rsidRPr="1755F46F">
        <w:t xml:space="preserve"> </w:t>
      </w:r>
      <w:proofErr w:type="spellStart"/>
      <w:r w:rsidRPr="1755F46F">
        <w:t>community</w:t>
      </w:r>
      <w:proofErr w:type="spellEnd"/>
      <w:r w:rsidRPr="1755F46F">
        <w:t xml:space="preserve"> and </w:t>
      </w:r>
      <w:proofErr w:type="spellStart"/>
      <w:r w:rsidRPr="1755F46F">
        <w:t>its</w:t>
      </w:r>
      <w:proofErr w:type="spellEnd"/>
      <w:r w:rsidRPr="1755F46F">
        <w:t xml:space="preserve"> </w:t>
      </w:r>
      <w:proofErr w:type="spellStart"/>
      <w:r w:rsidRPr="1755F46F">
        <w:t>members</w:t>
      </w:r>
      <w:proofErr w:type="spellEnd"/>
      <w:r w:rsidR="00CD439F">
        <w:t>»</w:t>
      </w:r>
      <w:r w:rsidRPr="1755F46F">
        <w:t>.</w:t>
      </w:r>
      <w:r w:rsidR="00CD439F" w:rsidRPr="00CD439F">
        <w:rPr>
          <w:rStyle w:val="Fotnotereferanse"/>
        </w:rPr>
        <w:footnoteReference w:id="88"/>
      </w:r>
    </w:p>
    <w:p w14:paraId="0E2039D9" w14:textId="75C45499" w:rsidR="00F33E13" w:rsidRDefault="00F33E13" w:rsidP="00F33E13">
      <w:r w:rsidRPr="6B7E9414">
        <w:t xml:space="preserve">Det følger videre av SP artikkel 4 at artikkel 27 kan fravikes i nasjonale krisesituasjoner, men ordlyden etablerer en meget høy terskel for slike fravikelser: </w:t>
      </w:r>
      <w:r w:rsidR="00CD439F">
        <w:t>«</w:t>
      </w:r>
      <w:r w:rsidRPr="00972476">
        <w:t xml:space="preserve">In time </w:t>
      </w:r>
      <w:proofErr w:type="spellStart"/>
      <w:r w:rsidRPr="00972476">
        <w:t>of</w:t>
      </w:r>
      <w:proofErr w:type="spellEnd"/>
      <w:r w:rsidRPr="00972476">
        <w:t xml:space="preserve"> </w:t>
      </w:r>
      <w:proofErr w:type="spellStart"/>
      <w:r w:rsidRPr="00972476">
        <w:t>public</w:t>
      </w:r>
      <w:proofErr w:type="spellEnd"/>
      <w:r w:rsidRPr="00972476">
        <w:t xml:space="preserve"> </w:t>
      </w:r>
      <w:proofErr w:type="spellStart"/>
      <w:r w:rsidRPr="00972476">
        <w:t>emergency</w:t>
      </w:r>
      <w:proofErr w:type="spellEnd"/>
      <w:r w:rsidRPr="00972476">
        <w:t xml:space="preserve"> </w:t>
      </w:r>
      <w:proofErr w:type="spellStart"/>
      <w:r w:rsidRPr="00972476">
        <w:t>which</w:t>
      </w:r>
      <w:proofErr w:type="spellEnd"/>
      <w:r w:rsidRPr="00972476">
        <w:t xml:space="preserve"> </w:t>
      </w:r>
      <w:proofErr w:type="spellStart"/>
      <w:r w:rsidRPr="00972476">
        <w:t>threate</w:t>
      </w:r>
      <w:r>
        <w:t>n</w:t>
      </w:r>
      <w:r w:rsidRPr="00972476">
        <w:t>s</w:t>
      </w:r>
      <w:proofErr w:type="spellEnd"/>
      <w:r w:rsidRPr="00972476">
        <w:t xml:space="preserve"> </w:t>
      </w:r>
      <w:proofErr w:type="spellStart"/>
      <w:r w:rsidRPr="00972476">
        <w:t>the</w:t>
      </w:r>
      <w:proofErr w:type="spellEnd"/>
      <w:r w:rsidRPr="00972476">
        <w:t xml:space="preserve"> </w:t>
      </w:r>
      <w:proofErr w:type="spellStart"/>
      <w:r w:rsidRPr="00972476">
        <w:t>life</w:t>
      </w:r>
      <w:proofErr w:type="spellEnd"/>
      <w:r w:rsidRPr="00972476">
        <w:t xml:space="preserve"> </w:t>
      </w:r>
      <w:proofErr w:type="spellStart"/>
      <w:r w:rsidRPr="00972476">
        <w:t>of</w:t>
      </w:r>
      <w:proofErr w:type="spellEnd"/>
      <w:r w:rsidRPr="00972476">
        <w:t xml:space="preserve"> </w:t>
      </w:r>
      <w:proofErr w:type="spellStart"/>
      <w:r w:rsidRPr="00972476">
        <w:t>the</w:t>
      </w:r>
      <w:proofErr w:type="spellEnd"/>
      <w:r w:rsidRPr="00972476">
        <w:t xml:space="preserve"> </w:t>
      </w:r>
      <w:proofErr w:type="spellStart"/>
      <w:r w:rsidRPr="00972476">
        <w:t>nation</w:t>
      </w:r>
      <w:proofErr w:type="spellEnd"/>
      <w:r w:rsidRPr="00972476">
        <w:t xml:space="preserve"> and </w:t>
      </w:r>
      <w:proofErr w:type="spellStart"/>
      <w:r w:rsidRPr="00972476">
        <w:t>the</w:t>
      </w:r>
      <w:proofErr w:type="spellEnd"/>
      <w:r w:rsidRPr="00972476">
        <w:t xml:space="preserve"> </w:t>
      </w:r>
      <w:proofErr w:type="spellStart"/>
      <w:r w:rsidRPr="00972476">
        <w:t>existence</w:t>
      </w:r>
      <w:proofErr w:type="spellEnd"/>
      <w:r w:rsidRPr="00972476">
        <w:t xml:space="preserve"> </w:t>
      </w:r>
      <w:proofErr w:type="spellStart"/>
      <w:r w:rsidRPr="00972476">
        <w:t>of</w:t>
      </w:r>
      <w:proofErr w:type="spellEnd"/>
      <w:r w:rsidRPr="00972476">
        <w:t xml:space="preserve"> </w:t>
      </w:r>
      <w:proofErr w:type="spellStart"/>
      <w:r w:rsidRPr="00972476">
        <w:t>which</w:t>
      </w:r>
      <w:proofErr w:type="spellEnd"/>
      <w:r w:rsidRPr="00972476">
        <w:t xml:space="preserve"> is </w:t>
      </w:r>
      <w:proofErr w:type="spellStart"/>
      <w:r w:rsidRPr="00972476">
        <w:t>officially</w:t>
      </w:r>
      <w:proofErr w:type="spellEnd"/>
      <w:r w:rsidRPr="00972476">
        <w:t xml:space="preserve"> </w:t>
      </w:r>
      <w:proofErr w:type="spellStart"/>
      <w:r w:rsidRPr="00972476">
        <w:t>proclaimed</w:t>
      </w:r>
      <w:proofErr w:type="spellEnd"/>
      <w:r w:rsidR="00CD439F" w:rsidRPr="00CD439F">
        <w:rPr>
          <w:rStyle w:val="kursiv"/>
        </w:rPr>
        <w:t>»</w:t>
      </w:r>
      <w:r w:rsidRPr="6B7E9414">
        <w:t>.</w:t>
      </w:r>
    </w:p>
    <w:p w14:paraId="13A9589D" w14:textId="77777777" w:rsidR="00F33E13" w:rsidRDefault="00F33E13" w:rsidP="00F33E13">
      <w:r w:rsidRPr="6B7E9414">
        <w:t>Videre kan det oppstå situasjoner der en minoritets eller et urfolks rett til kulturutøvelse etter SP artikkel 27 kan komme i konflikt med andre rettigheter i konvensjonen. I slike tilfeller vil de i utgangspunktet motstridende rettighetene måtte veies mot hverandre og harmoniseres på grunnlag av alminnelige folkerettslige tolkningsprinsipper nedfelt i Wienkonvensjonen om traktatretten artikkel 31 flg. Dette kan i noen tilfeller få som utfall at artikkel 27 må tolkes innskrenkende, og i andre tilfeller at den bestemmelsen som i utgangspunktet strider mot artikkel 27 må tolkes innskrenkende.</w:t>
      </w:r>
    </w:p>
    <w:p w14:paraId="511B47A9" w14:textId="174F3E9F" w:rsidR="00303661" w:rsidRDefault="00F33E13" w:rsidP="00F33E13">
      <w:r w:rsidRPr="242C6949">
        <w:t xml:space="preserve">Det kan også oppstå situasjoner der rettighetene etter artikkel 27 står i disharmoni med andre viktige rettigheter. I Fosen-saken antar førstvoterende at retten til miljø er en rettighet som </w:t>
      </w:r>
      <w:r w:rsidR="00CD439F">
        <w:t>«</w:t>
      </w:r>
      <w:r w:rsidRPr="0011500E">
        <w:t>i et konkret tilfelle kan komme inn med en slik tyngde at det må foretas en avveining</w:t>
      </w:r>
      <w:r w:rsidR="00CD439F">
        <w:t>»</w:t>
      </w:r>
      <w:r w:rsidRPr="242C6949">
        <w:t xml:space="preserve">, og at hensynet til </w:t>
      </w:r>
      <w:r w:rsidR="00CD439F">
        <w:t>«</w:t>
      </w:r>
      <w:r w:rsidRPr="242C6949">
        <w:t>det grønne skiftet</w:t>
      </w:r>
      <w:r w:rsidR="00CD439F">
        <w:t>»</w:t>
      </w:r>
      <w:r w:rsidRPr="242C6949">
        <w:t xml:space="preserve"> kan være et relevant moment. Fosen-saken lå imidlertid slik an at førstvoterende ikke fant det nødvendig å utdype dette nærmere.</w:t>
      </w:r>
      <w:r w:rsidR="00CD439F" w:rsidRPr="00CD439F">
        <w:rPr>
          <w:rStyle w:val="Fotnotereferanse"/>
        </w:rPr>
        <w:footnoteReference w:id="89"/>
      </w:r>
    </w:p>
    <w:p w14:paraId="151264DD" w14:textId="18D2B117" w:rsidR="00F33E13" w:rsidRDefault="00F33E13" w:rsidP="00F33E13">
      <w:r w:rsidRPr="40CD0FAB">
        <w:t>I forlengelsen av dette kan det også oppstå spørsmål om avveiningen av rettighetene etter artikkel 27 og statens traktatfestede forpliktelser, for eksempel til å opprettholde en viss rovdyrbestand.</w:t>
      </w:r>
      <w:r w:rsidR="00303661">
        <w:t xml:space="preserve"> </w:t>
      </w:r>
      <w:r w:rsidRPr="242C6949">
        <w:t xml:space="preserve">Avveiningen av forholdet mellom retten til kulturutøvelse etter artikkel 27 og retten til miljø </w:t>
      </w:r>
      <w:r w:rsidRPr="00425BF5">
        <w:t xml:space="preserve">ser ikke ut til å ha vært nærmere konkretisert i </w:t>
      </w:r>
      <w:proofErr w:type="spellStart"/>
      <w:r w:rsidRPr="00425BF5">
        <w:t>MRKs</w:t>
      </w:r>
      <w:proofErr w:type="spellEnd"/>
      <w:r w:rsidRPr="00425BF5">
        <w:t xml:space="preserve"> praksis</w:t>
      </w:r>
      <w:r>
        <w:t xml:space="preserve">. Miljøhensyn sto riktignok sentralt i </w:t>
      </w:r>
      <w:r w:rsidRPr="00CD439F">
        <w:rPr>
          <w:rStyle w:val="kursiv"/>
        </w:rPr>
        <w:t xml:space="preserve">Daniel Billy and </w:t>
      </w:r>
      <w:proofErr w:type="spellStart"/>
      <w:r w:rsidRPr="00CD439F">
        <w:rPr>
          <w:rStyle w:val="kursiv"/>
        </w:rPr>
        <w:t>other</w:t>
      </w:r>
      <w:r w:rsidR="000F3258" w:rsidRPr="00CD439F">
        <w:rPr>
          <w:rStyle w:val="kursiv"/>
        </w:rPr>
        <w:t>s</w:t>
      </w:r>
      <w:proofErr w:type="spellEnd"/>
      <w:r w:rsidRPr="00CD439F">
        <w:rPr>
          <w:rStyle w:val="kursiv"/>
        </w:rPr>
        <w:t xml:space="preserve"> mot Australia</w:t>
      </w:r>
      <w:r>
        <w:t xml:space="preserve"> som ble avgjort i 2022. Saken gjaldt imidlertid ikke en konflikt mellom hensynet til tradisjonell urfolksvirksomhet og miljøhensyn, men om australske myndigheter hadde gjort nok for å motvirke at virkningene av klimaendringene blant annet i form av oversvømmelser og temperaturøkninger, rammet urfolkets kulturutøvelse uforholdsmessig negativt.</w:t>
      </w:r>
      <w:r w:rsidR="00CD439F" w:rsidRPr="00CD439F">
        <w:rPr>
          <w:rStyle w:val="Fotnotereferanse"/>
        </w:rPr>
        <w:footnoteReference w:id="90"/>
      </w:r>
    </w:p>
    <w:p w14:paraId="415B4301" w14:textId="04BCAD3D" w:rsidR="000758B3" w:rsidRDefault="000758B3" w:rsidP="000758B3">
      <w:pPr>
        <w:pStyle w:val="Overskrift4"/>
      </w:pPr>
      <w:r>
        <w:lastRenderedPageBreak/>
        <w:t>En sammensatt vurdering</w:t>
      </w:r>
    </w:p>
    <w:p w14:paraId="2B14AE29" w14:textId="77777777" w:rsidR="000758B3" w:rsidRDefault="000758B3" w:rsidP="000758B3">
      <w:r>
        <w:t xml:space="preserve">Den foregående gjennomgangen av hovedtrekkene i SP artikkel 27 viser at vurderingen av om det foreligger en krenkelse av SP artikkel 27 er en utpreget sammensatt vurdering. Avgjørende for om det foreligger en krenkelse vil være hvilke virkninger et omstridt tiltak vil ha for den eller de som berøres av det, på kort og på lang sikt. </w:t>
      </w:r>
      <w:proofErr w:type="spellStart"/>
      <w:r>
        <w:t>Jovsset</w:t>
      </w:r>
      <w:proofErr w:type="spellEnd"/>
      <w:r>
        <w:t xml:space="preserve"> Ante Sara-saken viser at også inngrep eller tiltak som bare rammer én enkelt reineier, kan være en krenkelse.</w:t>
      </w:r>
    </w:p>
    <w:p w14:paraId="6EA45956" w14:textId="77777777" w:rsidR="000758B3" w:rsidRDefault="000758B3" w:rsidP="000758B3">
      <w:r w:rsidRPr="57473D06">
        <w:t xml:space="preserve">På grunnlag av </w:t>
      </w:r>
      <w:proofErr w:type="spellStart"/>
      <w:r w:rsidRPr="57473D06">
        <w:t>MRKs</w:t>
      </w:r>
      <w:proofErr w:type="spellEnd"/>
      <w:r w:rsidRPr="57473D06">
        <w:t xml:space="preserve"> uttalelser blant annet i </w:t>
      </w:r>
      <w:proofErr w:type="spellStart"/>
      <w:r w:rsidRPr="57473D06">
        <w:t>Poma</w:t>
      </w:r>
      <w:proofErr w:type="spellEnd"/>
      <w:r w:rsidRPr="57473D06">
        <w:t xml:space="preserve"> </w:t>
      </w:r>
      <w:proofErr w:type="spellStart"/>
      <w:r w:rsidRPr="57473D06">
        <w:t>Poma</w:t>
      </w:r>
      <w:proofErr w:type="spellEnd"/>
      <w:r w:rsidRPr="57473D06">
        <w:t xml:space="preserve"> mot Peru og i </w:t>
      </w:r>
      <w:proofErr w:type="spellStart"/>
      <w:r w:rsidRPr="57473D06">
        <w:t>Länsman</w:t>
      </w:r>
      <w:proofErr w:type="spellEnd"/>
      <w:r w:rsidRPr="57473D06">
        <w:t>-sakene mot Finland, kan man inndele tiltakene ut fra hvilke virkninger de har.</w:t>
      </w:r>
    </w:p>
    <w:p w14:paraId="0BC4DF90" w14:textId="1D7CDA6E" w:rsidR="000758B3" w:rsidRDefault="000758B3" w:rsidP="000758B3">
      <w:proofErr w:type="spellStart"/>
      <w:r>
        <w:rPr>
          <w:lang w:val="en-US"/>
        </w:rPr>
        <w:t>T</w:t>
      </w:r>
      <w:r w:rsidRPr="00E75280">
        <w:rPr>
          <w:lang w:val="en-US"/>
        </w:rPr>
        <w:t>iltak</w:t>
      </w:r>
      <w:proofErr w:type="spellEnd"/>
      <w:r w:rsidRPr="00E75280">
        <w:rPr>
          <w:lang w:val="en-US"/>
        </w:rPr>
        <w:t xml:space="preserve"> </w:t>
      </w:r>
      <w:proofErr w:type="spellStart"/>
      <w:r w:rsidRPr="00E75280">
        <w:rPr>
          <w:lang w:val="en-US"/>
        </w:rPr>
        <w:t>som</w:t>
      </w:r>
      <w:proofErr w:type="spellEnd"/>
      <w:r w:rsidRPr="00E75280">
        <w:rPr>
          <w:lang w:val="en-US"/>
        </w:rPr>
        <w:t xml:space="preserve"> </w:t>
      </w:r>
      <w:proofErr w:type="spellStart"/>
      <w:r w:rsidRPr="00E75280">
        <w:rPr>
          <w:lang w:val="en-US"/>
        </w:rPr>
        <w:t>har</w:t>
      </w:r>
      <w:proofErr w:type="spellEnd"/>
      <w:r w:rsidRPr="40CD0FAB">
        <w:rPr>
          <w:lang w:val="en-US"/>
        </w:rPr>
        <w:t xml:space="preserve"> </w:t>
      </w:r>
      <w:r w:rsidR="00CD439F">
        <w:rPr>
          <w:lang w:val="en-US"/>
        </w:rPr>
        <w:t>«</w:t>
      </w:r>
      <w:r w:rsidRPr="00741D58">
        <w:rPr>
          <w:lang w:val="en-US"/>
        </w:rPr>
        <w:t>a certain limited impact on the way of life of persons belonging to a minority</w:t>
      </w:r>
      <w:r w:rsidR="00CD439F">
        <w:rPr>
          <w:lang w:val="en-US"/>
        </w:rPr>
        <w:t>»</w:t>
      </w:r>
      <w:r w:rsidRPr="00EF1509">
        <w:rPr>
          <w:lang w:val="en-US"/>
        </w:rPr>
        <w:t xml:space="preserve"> </w:t>
      </w:r>
      <w:proofErr w:type="spellStart"/>
      <w:r w:rsidRPr="00EF1509">
        <w:rPr>
          <w:lang w:val="en-US"/>
        </w:rPr>
        <w:t>vil</w:t>
      </w:r>
      <w:proofErr w:type="spellEnd"/>
      <w:r w:rsidRPr="00EF1509">
        <w:rPr>
          <w:lang w:val="en-US"/>
        </w:rPr>
        <w:t xml:space="preserve"> </w:t>
      </w:r>
      <w:proofErr w:type="spellStart"/>
      <w:r w:rsidRPr="00EF1509">
        <w:rPr>
          <w:lang w:val="en-US"/>
        </w:rPr>
        <w:t>ikke</w:t>
      </w:r>
      <w:proofErr w:type="spellEnd"/>
      <w:r w:rsidRPr="00EF1509">
        <w:rPr>
          <w:lang w:val="en-US"/>
        </w:rPr>
        <w:t xml:space="preserve"> </w:t>
      </w:r>
      <w:proofErr w:type="spellStart"/>
      <w:r w:rsidRPr="00EF1509">
        <w:rPr>
          <w:lang w:val="en-US"/>
        </w:rPr>
        <w:t>nødvendigvis</w:t>
      </w:r>
      <w:proofErr w:type="spellEnd"/>
      <w:r w:rsidRPr="00EF1509">
        <w:rPr>
          <w:lang w:val="en-US"/>
        </w:rPr>
        <w:t xml:space="preserve"> (</w:t>
      </w:r>
      <w:r w:rsidR="00CD439F">
        <w:rPr>
          <w:lang w:val="en-US"/>
        </w:rPr>
        <w:t>«</w:t>
      </w:r>
      <w:r w:rsidRPr="00EF1509">
        <w:rPr>
          <w:lang w:val="en-US"/>
        </w:rPr>
        <w:t>not necessarily</w:t>
      </w:r>
      <w:r w:rsidR="00CD439F">
        <w:rPr>
          <w:lang w:val="en-US"/>
        </w:rPr>
        <w:t>»</w:t>
      </w:r>
      <w:r w:rsidRPr="00EF1509">
        <w:rPr>
          <w:lang w:val="en-US"/>
        </w:rPr>
        <w:t xml:space="preserve">) </w:t>
      </w:r>
      <w:proofErr w:type="spellStart"/>
      <w:r w:rsidRPr="00EF1509">
        <w:rPr>
          <w:lang w:val="en-US"/>
        </w:rPr>
        <w:t>være</w:t>
      </w:r>
      <w:proofErr w:type="spellEnd"/>
      <w:r w:rsidRPr="00EF1509">
        <w:rPr>
          <w:lang w:val="en-US"/>
        </w:rPr>
        <w:t xml:space="preserve"> </w:t>
      </w:r>
      <w:proofErr w:type="spellStart"/>
      <w:r w:rsidRPr="00EF1509">
        <w:rPr>
          <w:lang w:val="en-US"/>
        </w:rPr>
        <w:t>i</w:t>
      </w:r>
      <w:proofErr w:type="spellEnd"/>
      <w:r w:rsidRPr="00EF1509">
        <w:rPr>
          <w:lang w:val="en-US"/>
        </w:rPr>
        <w:t xml:space="preserve"> strid med SP </w:t>
      </w:r>
      <w:proofErr w:type="spellStart"/>
      <w:r w:rsidRPr="00EF1509">
        <w:rPr>
          <w:lang w:val="en-US"/>
        </w:rPr>
        <w:t>artikkel</w:t>
      </w:r>
      <w:proofErr w:type="spellEnd"/>
      <w:r w:rsidRPr="00EF1509">
        <w:rPr>
          <w:lang w:val="en-US"/>
        </w:rPr>
        <w:t xml:space="preserve"> 27.</w:t>
      </w:r>
      <w:r w:rsidR="00303661">
        <w:rPr>
          <w:lang w:val="en-US"/>
        </w:rPr>
        <w:t xml:space="preserve"> </w:t>
      </w:r>
      <w:r w:rsidRPr="40CD0FAB">
        <w:t xml:space="preserve">MRK brukte formuleringen første gang i Ilmari </w:t>
      </w:r>
      <w:proofErr w:type="spellStart"/>
      <w:r w:rsidRPr="40CD0FAB">
        <w:t>Länsman</w:t>
      </w:r>
      <w:proofErr w:type="spellEnd"/>
      <w:r w:rsidRPr="40CD0FAB">
        <w:t xml:space="preserve"> mot Finland i 1992, og </w:t>
      </w:r>
      <w:r>
        <w:t xml:space="preserve">har </w:t>
      </w:r>
      <w:r w:rsidRPr="40CD0FAB">
        <w:t xml:space="preserve">gjentatt den i flere senere saker, blant annet i de to andre </w:t>
      </w:r>
      <w:proofErr w:type="spellStart"/>
      <w:r w:rsidRPr="40CD0FAB">
        <w:t>Län</w:t>
      </w:r>
      <w:r>
        <w:t>s</w:t>
      </w:r>
      <w:r w:rsidRPr="40CD0FAB">
        <w:t>man</w:t>
      </w:r>
      <w:proofErr w:type="spellEnd"/>
      <w:r w:rsidRPr="40CD0FAB">
        <w:t xml:space="preserve">-sakene, i </w:t>
      </w:r>
      <w:proofErr w:type="spellStart"/>
      <w:r w:rsidRPr="40CD0FAB">
        <w:t>Näkkäläjärvi</w:t>
      </w:r>
      <w:proofErr w:type="spellEnd"/>
      <w:r w:rsidRPr="40CD0FAB">
        <w:t xml:space="preserve">-saken og i </w:t>
      </w:r>
      <w:proofErr w:type="spellStart"/>
      <w:r w:rsidRPr="40CD0FAB">
        <w:t>Poma</w:t>
      </w:r>
      <w:proofErr w:type="spellEnd"/>
      <w:r w:rsidRPr="40CD0FAB">
        <w:t xml:space="preserve"> </w:t>
      </w:r>
      <w:proofErr w:type="spellStart"/>
      <w:r w:rsidRPr="40CD0FAB">
        <w:t>Poma</w:t>
      </w:r>
      <w:proofErr w:type="spellEnd"/>
      <w:r w:rsidRPr="40CD0FAB">
        <w:t xml:space="preserve">-saken. I den sistnevnte saken fant MRK at SP artikkel 27 var krenket, men ikke i de øvrige nevnte sakene. Felles for disse var at tiltakene var relativt beskjedne i geografisk omfang, og ikke later til å ha hatt dramatiske virkninger for de berørte, selv om disse ble påført en del ulemper. Det er etter dette nærliggende å anta at tiltak som bare har </w:t>
      </w:r>
      <w:r w:rsidR="00CD439F">
        <w:t>«</w:t>
      </w:r>
      <w:r w:rsidRPr="00A46F81">
        <w:t xml:space="preserve">a </w:t>
      </w:r>
      <w:proofErr w:type="spellStart"/>
      <w:r w:rsidRPr="00A46F81">
        <w:t>certain</w:t>
      </w:r>
      <w:proofErr w:type="spellEnd"/>
      <w:r w:rsidRPr="00A46F81">
        <w:t xml:space="preserve"> </w:t>
      </w:r>
      <w:proofErr w:type="spellStart"/>
      <w:r w:rsidRPr="00A46F81">
        <w:t>limited</w:t>
      </w:r>
      <w:proofErr w:type="spellEnd"/>
      <w:r w:rsidRPr="00A46F81">
        <w:t xml:space="preserve"> </w:t>
      </w:r>
      <w:proofErr w:type="spellStart"/>
      <w:r w:rsidRPr="00A46F81">
        <w:t>impact</w:t>
      </w:r>
      <w:proofErr w:type="spellEnd"/>
      <w:r w:rsidR="00CD439F">
        <w:t>»</w:t>
      </w:r>
      <w:r w:rsidRPr="40CD0FAB">
        <w:t xml:space="preserve"> som hovedregel ikke vil utgjøre et brudd på artikkel 27, men MRK har ved formuleringen </w:t>
      </w:r>
      <w:r w:rsidR="00CD439F">
        <w:t>«</w:t>
      </w:r>
      <w:r w:rsidRPr="40CD0FAB">
        <w:t xml:space="preserve">not </w:t>
      </w:r>
      <w:proofErr w:type="spellStart"/>
      <w:r w:rsidRPr="40CD0FAB">
        <w:t>necessarily</w:t>
      </w:r>
      <w:proofErr w:type="spellEnd"/>
      <w:r w:rsidR="00CD439F">
        <w:t>»</w:t>
      </w:r>
      <w:r w:rsidRPr="40CD0FAB">
        <w:t xml:space="preserve"> åpnet for at det unntaksvis kan tenkes tilfeller der også slike tiltak kan utgjøre et konvensjonsbrudd.</w:t>
      </w:r>
    </w:p>
    <w:p w14:paraId="6C7AF2D9" w14:textId="55E0E4EB" w:rsidR="00303661" w:rsidRDefault="000758B3" w:rsidP="000758B3">
      <w:proofErr w:type="spellStart"/>
      <w:r w:rsidRPr="0082647A">
        <w:rPr>
          <w:lang w:val="en-US"/>
        </w:rPr>
        <w:t>På</w:t>
      </w:r>
      <w:proofErr w:type="spellEnd"/>
      <w:r w:rsidRPr="0082647A">
        <w:rPr>
          <w:lang w:val="en-US"/>
        </w:rPr>
        <w:t xml:space="preserve"> den </w:t>
      </w:r>
      <w:proofErr w:type="spellStart"/>
      <w:r w:rsidRPr="0082647A">
        <w:rPr>
          <w:lang w:val="en-US"/>
        </w:rPr>
        <w:t>andre</w:t>
      </w:r>
      <w:proofErr w:type="spellEnd"/>
      <w:r w:rsidRPr="0082647A">
        <w:rPr>
          <w:lang w:val="en-US"/>
        </w:rPr>
        <w:t xml:space="preserve"> </w:t>
      </w:r>
      <w:proofErr w:type="spellStart"/>
      <w:r w:rsidRPr="0082647A">
        <w:rPr>
          <w:lang w:val="en-US"/>
        </w:rPr>
        <w:t>siden</w:t>
      </w:r>
      <w:proofErr w:type="spellEnd"/>
      <w:r w:rsidRPr="0082647A">
        <w:rPr>
          <w:lang w:val="en-US"/>
        </w:rPr>
        <w:t xml:space="preserve"> </w:t>
      </w:r>
      <w:proofErr w:type="spellStart"/>
      <w:r w:rsidRPr="0082647A">
        <w:rPr>
          <w:lang w:val="en-US"/>
        </w:rPr>
        <w:t>kan</w:t>
      </w:r>
      <w:proofErr w:type="spellEnd"/>
      <w:r w:rsidRPr="0082647A">
        <w:rPr>
          <w:lang w:val="en-US"/>
        </w:rPr>
        <w:t xml:space="preserve"> </w:t>
      </w:r>
      <w:proofErr w:type="spellStart"/>
      <w:r w:rsidRPr="0082647A">
        <w:rPr>
          <w:lang w:val="en-US"/>
        </w:rPr>
        <w:t>tiltak</w:t>
      </w:r>
      <w:proofErr w:type="spellEnd"/>
      <w:r w:rsidRPr="0082647A">
        <w:rPr>
          <w:lang w:val="en-US"/>
        </w:rPr>
        <w:t xml:space="preserve"> </w:t>
      </w:r>
      <w:proofErr w:type="spellStart"/>
      <w:r w:rsidRPr="0082647A">
        <w:rPr>
          <w:lang w:val="en-US"/>
        </w:rPr>
        <w:t>som</w:t>
      </w:r>
      <w:proofErr w:type="spellEnd"/>
      <w:r w:rsidRPr="0082647A">
        <w:rPr>
          <w:lang w:val="en-US"/>
        </w:rPr>
        <w:t xml:space="preserve"> </w:t>
      </w:r>
      <w:r w:rsidR="00CD439F">
        <w:rPr>
          <w:lang w:val="en-US"/>
        </w:rPr>
        <w:t>«</w:t>
      </w:r>
      <w:r w:rsidRPr="0082647A">
        <w:rPr>
          <w:lang w:val="en-US"/>
        </w:rPr>
        <w:t>substantially compromise or interfere with the culturally significant activities of a minority or indigenous community</w:t>
      </w:r>
      <w:r w:rsidR="00CD439F">
        <w:rPr>
          <w:lang w:val="en-US"/>
        </w:rPr>
        <w:t>»</w:t>
      </w:r>
      <w:r w:rsidRPr="00CD439F">
        <w:rPr>
          <w:rStyle w:val="kursiv"/>
          <w:lang w:val="en-US"/>
        </w:rPr>
        <w:t xml:space="preserve">, </w:t>
      </w:r>
      <w:r w:rsidRPr="0082647A">
        <w:rPr>
          <w:lang w:val="en-US"/>
        </w:rPr>
        <w:t xml:space="preserve">men </w:t>
      </w:r>
      <w:proofErr w:type="spellStart"/>
      <w:r w:rsidRPr="0082647A">
        <w:rPr>
          <w:lang w:val="en-US"/>
        </w:rPr>
        <w:t>uten</w:t>
      </w:r>
      <w:proofErr w:type="spellEnd"/>
      <w:r w:rsidRPr="0082647A">
        <w:rPr>
          <w:lang w:val="en-US"/>
        </w:rPr>
        <w:t xml:space="preserve"> å </w:t>
      </w:r>
      <w:r w:rsidR="00CD439F">
        <w:rPr>
          <w:lang w:val="en-US"/>
        </w:rPr>
        <w:t>«</w:t>
      </w:r>
      <w:r w:rsidRPr="0082647A">
        <w:rPr>
          <w:lang w:val="en-US"/>
        </w:rPr>
        <w:t>endanger the very survival of the community and its members</w:t>
      </w:r>
      <w:r w:rsidR="00CD439F">
        <w:rPr>
          <w:lang w:val="en-US"/>
        </w:rPr>
        <w:t>»</w:t>
      </w:r>
      <w:r w:rsidRPr="0082647A">
        <w:rPr>
          <w:lang w:val="en-US"/>
        </w:rPr>
        <w:t xml:space="preserve"> (Poma </w:t>
      </w:r>
      <w:proofErr w:type="spellStart"/>
      <w:r w:rsidRPr="0082647A">
        <w:rPr>
          <w:lang w:val="en-US"/>
        </w:rPr>
        <w:t>Poma</w:t>
      </w:r>
      <w:proofErr w:type="spellEnd"/>
      <w:r w:rsidRPr="0082647A">
        <w:rPr>
          <w:lang w:val="en-US"/>
        </w:rPr>
        <w:t xml:space="preserve"> </w:t>
      </w:r>
      <w:proofErr w:type="spellStart"/>
      <w:r w:rsidRPr="0082647A">
        <w:rPr>
          <w:lang w:val="en-US"/>
        </w:rPr>
        <w:t>avsnitt</w:t>
      </w:r>
      <w:proofErr w:type="spellEnd"/>
      <w:r w:rsidRPr="0082647A">
        <w:rPr>
          <w:lang w:val="en-US"/>
        </w:rPr>
        <w:t xml:space="preserve"> 7.6) </w:t>
      </w:r>
      <w:proofErr w:type="spellStart"/>
      <w:r w:rsidRPr="0082647A">
        <w:rPr>
          <w:lang w:val="en-US"/>
        </w:rPr>
        <w:t>være</w:t>
      </w:r>
      <w:proofErr w:type="spellEnd"/>
      <w:r w:rsidRPr="0082647A">
        <w:rPr>
          <w:lang w:val="en-US"/>
        </w:rPr>
        <w:t xml:space="preserve"> </w:t>
      </w:r>
      <w:proofErr w:type="spellStart"/>
      <w:r w:rsidRPr="0082647A">
        <w:rPr>
          <w:lang w:val="en-US"/>
        </w:rPr>
        <w:t>akseptable</w:t>
      </w:r>
      <w:proofErr w:type="spellEnd"/>
      <w:r w:rsidRPr="0082647A">
        <w:rPr>
          <w:lang w:val="en-US"/>
        </w:rPr>
        <w:t xml:space="preserve">. </w:t>
      </w:r>
      <w:r w:rsidRPr="1755F46F">
        <w:t xml:space="preserve">Dette forutsetter imidlertid at de som rammes av tiltaket, har hatt effektiv deltakelse i den beslutningsprosessen som ledet frem til tiltaket (fritt forhåndsinformert samtykke). Det må også være gjennomført forsvarlige konsekvensutredninger, og de som rammes av tiltaket må fortsatt kunne ha økonomisk utbytte av sin tradisjonelle aktivitet. </w:t>
      </w:r>
      <w:proofErr w:type="spellStart"/>
      <w:r w:rsidRPr="1755F46F">
        <w:t>Poma</w:t>
      </w:r>
      <w:proofErr w:type="spellEnd"/>
      <w:r w:rsidRPr="1755F46F">
        <w:t xml:space="preserve"> </w:t>
      </w:r>
      <w:proofErr w:type="spellStart"/>
      <w:r w:rsidRPr="1755F46F">
        <w:t>Poma</w:t>
      </w:r>
      <w:proofErr w:type="spellEnd"/>
      <w:r w:rsidRPr="1755F46F">
        <w:t>-saken er et eksempel på et tiltak i denne kategorien, men saken var ikke et grensetilfelle (flere tusen lamaer var døde, muligheten for å fortsatt kunne utøve den tradisjonelle virksomheten var så godt som umuliggjort, og tiltaket var iverksatt uten konsultasjoner og uten konsekvensutredninger).</w:t>
      </w:r>
    </w:p>
    <w:p w14:paraId="07A0938E" w14:textId="62232A52" w:rsidR="000758B3" w:rsidRDefault="000758B3" w:rsidP="000758B3">
      <w:r w:rsidRPr="57473D06">
        <w:t xml:space="preserve">Grensen mellom tiltak som er konvensjonsstridige og tiltak som ikke er det, vil etter dette ligge et sted mellom tiltak som truer </w:t>
      </w:r>
      <w:r w:rsidR="00CD439F">
        <w:t>«</w:t>
      </w:r>
      <w:proofErr w:type="spellStart"/>
      <w:r w:rsidRPr="00674CC2">
        <w:t>the</w:t>
      </w:r>
      <w:proofErr w:type="spellEnd"/>
      <w:r w:rsidRPr="00674CC2">
        <w:t xml:space="preserve"> </w:t>
      </w:r>
      <w:proofErr w:type="spellStart"/>
      <w:r w:rsidRPr="00674CC2">
        <w:t>very</w:t>
      </w:r>
      <w:proofErr w:type="spellEnd"/>
      <w:r w:rsidRPr="00674CC2">
        <w:t xml:space="preserve"> </w:t>
      </w:r>
      <w:proofErr w:type="spellStart"/>
      <w:r w:rsidRPr="00674CC2">
        <w:t>survival</w:t>
      </w:r>
      <w:proofErr w:type="spellEnd"/>
      <w:r w:rsidRPr="00674CC2">
        <w:t xml:space="preserve"> </w:t>
      </w:r>
      <w:proofErr w:type="spellStart"/>
      <w:r w:rsidRPr="00674CC2">
        <w:t>of</w:t>
      </w:r>
      <w:proofErr w:type="spellEnd"/>
      <w:r w:rsidRPr="00674CC2">
        <w:t xml:space="preserve"> </w:t>
      </w:r>
      <w:proofErr w:type="spellStart"/>
      <w:r w:rsidRPr="00674CC2">
        <w:t>the</w:t>
      </w:r>
      <w:proofErr w:type="spellEnd"/>
      <w:r w:rsidRPr="00674CC2">
        <w:t xml:space="preserve"> </w:t>
      </w:r>
      <w:proofErr w:type="spellStart"/>
      <w:r w:rsidRPr="00674CC2">
        <w:t>community</w:t>
      </w:r>
      <w:proofErr w:type="spellEnd"/>
      <w:r w:rsidRPr="00674CC2">
        <w:t xml:space="preserve"> and </w:t>
      </w:r>
      <w:proofErr w:type="spellStart"/>
      <w:r w:rsidRPr="00674CC2">
        <w:t>its</w:t>
      </w:r>
      <w:proofErr w:type="spellEnd"/>
      <w:r w:rsidRPr="00674CC2">
        <w:t xml:space="preserve"> </w:t>
      </w:r>
      <w:proofErr w:type="spellStart"/>
      <w:r w:rsidRPr="00674CC2">
        <w:t>members</w:t>
      </w:r>
      <w:proofErr w:type="spellEnd"/>
      <w:r w:rsidR="00CD439F">
        <w:t>»</w:t>
      </w:r>
      <w:r w:rsidRPr="57473D06">
        <w:t xml:space="preserve"> og tiltak som </w:t>
      </w:r>
      <w:r w:rsidR="00CD439F">
        <w:t>«</w:t>
      </w:r>
      <w:proofErr w:type="spellStart"/>
      <w:r w:rsidRPr="00674CC2">
        <w:t>substantially</w:t>
      </w:r>
      <w:proofErr w:type="spellEnd"/>
      <w:r w:rsidRPr="00674CC2">
        <w:t xml:space="preserve"> </w:t>
      </w:r>
      <w:proofErr w:type="spellStart"/>
      <w:r w:rsidRPr="00674CC2">
        <w:t>compromise</w:t>
      </w:r>
      <w:proofErr w:type="spellEnd"/>
      <w:r w:rsidRPr="00674CC2">
        <w:t xml:space="preserve"> or </w:t>
      </w:r>
      <w:proofErr w:type="spellStart"/>
      <w:r w:rsidRPr="00674CC2">
        <w:t>interfere</w:t>
      </w:r>
      <w:proofErr w:type="spellEnd"/>
      <w:r w:rsidRPr="00674CC2">
        <w:t xml:space="preserve"> </w:t>
      </w:r>
      <w:proofErr w:type="spellStart"/>
      <w:r w:rsidRPr="00674CC2">
        <w:t>with</w:t>
      </w:r>
      <w:proofErr w:type="spellEnd"/>
      <w:r w:rsidRPr="00674CC2">
        <w:t xml:space="preserve"> </w:t>
      </w:r>
      <w:proofErr w:type="spellStart"/>
      <w:r w:rsidRPr="00674CC2">
        <w:t>the</w:t>
      </w:r>
      <w:proofErr w:type="spellEnd"/>
      <w:r w:rsidRPr="00674CC2">
        <w:t xml:space="preserve"> </w:t>
      </w:r>
      <w:proofErr w:type="spellStart"/>
      <w:r w:rsidRPr="00674CC2">
        <w:t>culturally</w:t>
      </w:r>
      <w:proofErr w:type="spellEnd"/>
      <w:r w:rsidRPr="00674CC2">
        <w:t xml:space="preserve"> </w:t>
      </w:r>
      <w:proofErr w:type="spellStart"/>
      <w:r w:rsidRPr="00674CC2">
        <w:t>significant</w:t>
      </w:r>
      <w:proofErr w:type="spellEnd"/>
      <w:r w:rsidRPr="00674CC2">
        <w:t xml:space="preserve"> </w:t>
      </w:r>
      <w:proofErr w:type="spellStart"/>
      <w:r w:rsidRPr="00674CC2">
        <w:t>activities</w:t>
      </w:r>
      <w:proofErr w:type="spellEnd"/>
      <w:r w:rsidRPr="00674CC2">
        <w:t xml:space="preserve"> </w:t>
      </w:r>
      <w:proofErr w:type="spellStart"/>
      <w:r w:rsidRPr="00674CC2">
        <w:t>of</w:t>
      </w:r>
      <w:proofErr w:type="spellEnd"/>
      <w:r w:rsidRPr="00674CC2">
        <w:t xml:space="preserve"> a </w:t>
      </w:r>
      <w:proofErr w:type="spellStart"/>
      <w:r w:rsidRPr="00674CC2">
        <w:t>minority</w:t>
      </w:r>
      <w:proofErr w:type="spellEnd"/>
      <w:r w:rsidRPr="00674CC2">
        <w:t xml:space="preserve"> or </w:t>
      </w:r>
      <w:proofErr w:type="spellStart"/>
      <w:r w:rsidRPr="00674CC2">
        <w:t>ind</w:t>
      </w:r>
      <w:r>
        <w:t>i</w:t>
      </w:r>
      <w:r w:rsidRPr="00674CC2">
        <w:t>genous</w:t>
      </w:r>
      <w:proofErr w:type="spellEnd"/>
      <w:r w:rsidRPr="00674CC2">
        <w:t xml:space="preserve"> </w:t>
      </w:r>
      <w:proofErr w:type="spellStart"/>
      <w:r w:rsidRPr="00674CC2">
        <w:t>community</w:t>
      </w:r>
      <w:proofErr w:type="spellEnd"/>
      <w:r w:rsidR="00CD439F">
        <w:t>»</w:t>
      </w:r>
      <w:r w:rsidRPr="57473D06">
        <w:t xml:space="preserve">. Tiltak av den førstnevnte typen vil alltid være et brudd på artikkel 27, mens tiltak av den sistnevnte typen kan </w:t>
      </w:r>
      <w:r w:rsidRPr="57473D06">
        <w:lastRenderedPageBreak/>
        <w:t xml:space="preserve">være akseptable, dersom det er gjort forsvarlige konsekvensutredninger, </w:t>
      </w:r>
      <w:r>
        <w:t xml:space="preserve">at </w:t>
      </w:r>
      <w:r w:rsidRPr="57473D06">
        <w:t>de som rammes</w:t>
      </w:r>
      <w:r>
        <w:t xml:space="preserve"> har kunnet delta effektivt i beslutningsprosessen</w:t>
      </w:r>
      <w:r w:rsidRPr="57473D06">
        <w:t xml:space="preserve">, og </w:t>
      </w:r>
      <w:r>
        <w:t xml:space="preserve">at </w:t>
      </w:r>
      <w:r w:rsidRPr="57473D06">
        <w:t>disse fortsatt vil kunne ha økonomisk utbytte av sin tradisjonelle virksomhet.</w:t>
      </w:r>
    </w:p>
    <w:p w14:paraId="6C3B306C" w14:textId="37525C59" w:rsidR="000758B3" w:rsidRDefault="000758B3" w:rsidP="000758B3">
      <w:r w:rsidRPr="57473D06">
        <w:t xml:space="preserve">Iverksettelse av positive støttetiltak fra statens side </w:t>
      </w:r>
      <w:r>
        <w:t xml:space="preserve">kan </w:t>
      </w:r>
      <w:r w:rsidRPr="57473D06">
        <w:t xml:space="preserve">få betydning for vurderingen, ved at slike tiltak vil kunne begrense de negative virkningene av et tiltak. For eksempel kan økonomiske overføringer og støtte til skadeforebyggende tiltak, gjøre </w:t>
      </w:r>
      <w:r>
        <w:t xml:space="preserve">det </w:t>
      </w:r>
      <w:r w:rsidRPr="57473D06">
        <w:t>lettere for de</w:t>
      </w:r>
      <w:r>
        <w:t>m</w:t>
      </w:r>
      <w:r w:rsidRPr="57473D06">
        <w:t xml:space="preserve"> som berøres av tiltaket å fortsatt kunne skaffe seg et økonomisk utbytte av sin tradisjonelle aktivitet. </w:t>
      </w:r>
      <w:proofErr w:type="spellStart"/>
      <w:r w:rsidRPr="57473D06">
        <w:t>MRKs</w:t>
      </w:r>
      <w:proofErr w:type="spellEnd"/>
      <w:r w:rsidRPr="57473D06">
        <w:t xml:space="preserve"> praksis gir relativt liten veiledning med tanke på hvilke støttetiltak som kan eller bør gjennomføres, men dette vil nødvendigvis bero på en konkret vurdering.</w:t>
      </w:r>
    </w:p>
    <w:p w14:paraId="705D7D1E" w14:textId="3BE7667F" w:rsidR="007A5E6E" w:rsidRDefault="007A5E6E" w:rsidP="007A5E6E">
      <w:pPr>
        <w:pStyle w:val="Overskrift4"/>
      </w:pPr>
      <w:r>
        <w:t>Betydning for norsk rovdyrforvaltning</w:t>
      </w:r>
    </w:p>
    <w:p w14:paraId="214DD40A" w14:textId="590854A6" w:rsidR="007A5E6E" w:rsidRDefault="007A5E6E" w:rsidP="007A5E6E">
      <w:r w:rsidRPr="1755F46F">
        <w:t xml:space="preserve">Det er mulig å tenke seg at det under gitte omstendigheter kan foreligge en krenkelse av artikkel 27. Et mulig scenario kan for eksempel være at rovdyrforvaltningen bidrar til at det i et område der den samiske reindriften alt er særlig sårbar, blir bygd opp relativt store rovdyrstammer, og at dette skaper betydelige ulemper for de lokale reineierne i form av store dyretap og økte utgifter til forebyggende tiltak. Dersom dette har en </w:t>
      </w:r>
      <w:r w:rsidR="00CD439F">
        <w:t>«</w:t>
      </w:r>
      <w:proofErr w:type="spellStart"/>
      <w:r w:rsidRPr="00CD439F">
        <w:rPr>
          <w:rStyle w:val="kursiv"/>
        </w:rPr>
        <w:t>substantive</w:t>
      </w:r>
      <w:proofErr w:type="spellEnd"/>
      <w:r w:rsidRPr="00CD439F">
        <w:rPr>
          <w:rStyle w:val="kursiv"/>
        </w:rPr>
        <w:t xml:space="preserve"> negative </w:t>
      </w:r>
      <w:proofErr w:type="spellStart"/>
      <w:r w:rsidRPr="00CD439F">
        <w:rPr>
          <w:rStyle w:val="kursiv"/>
        </w:rPr>
        <w:t>impact</w:t>
      </w:r>
      <w:proofErr w:type="spellEnd"/>
      <w:r w:rsidR="00CD439F">
        <w:t>»</w:t>
      </w:r>
      <w:r w:rsidRPr="1755F46F">
        <w:t xml:space="preserve">, som var den inngrepsterskelen som MRK stilte opp i </w:t>
      </w:r>
      <w:proofErr w:type="spellStart"/>
      <w:r w:rsidRPr="1755F46F">
        <w:t>Poma</w:t>
      </w:r>
      <w:proofErr w:type="spellEnd"/>
      <w:r w:rsidRPr="1755F46F">
        <w:t xml:space="preserve"> </w:t>
      </w:r>
      <w:proofErr w:type="spellStart"/>
      <w:r w:rsidRPr="1755F46F">
        <w:t>Poma</w:t>
      </w:r>
      <w:proofErr w:type="spellEnd"/>
      <w:r w:rsidRPr="1755F46F">
        <w:t>-sakens avsnitt 7.5, og medfører at det i området vil være umulig å drive reindrift på en økonomisk bærekraftig måte, vil SP artikkel 27 være overtrådt, med mindre det iverksettes adekvate kompenserende tiltak.</w:t>
      </w:r>
    </w:p>
    <w:p w14:paraId="38516301" w14:textId="77777777" w:rsidR="00303661" w:rsidRDefault="007A5E6E" w:rsidP="007A5E6E">
      <w:pPr>
        <w:spacing w:line="276" w:lineRule="auto"/>
      </w:pPr>
      <w:r w:rsidRPr="57473D06">
        <w:rPr>
          <w:rFonts w:cs="Times New Roman"/>
        </w:rPr>
        <w:t xml:space="preserve">Dersom en reineier har et tilsvarende tap av rein til rovdyr, vil det være en indirekte følge – og en uheldig sideeffekt – av statens rovdyrforvaltning. Det </w:t>
      </w:r>
      <w:r>
        <w:rPr>
          <w:rFonts w:cs="Times New Roman"/>
        </w:rPr>
        <w:t>kan</w:t>
      </w:r>
      <w:r w:rsidRPr="57473D06">
        <w:rPr>
          <w:rFonts w:cs="Times New Roman"/>
        </w:rPr>
        <w:t xml:space="preserve"> også være vanskeligere å påvise en klar årsakssammenheng mellom myndighetenes rovdyrforvaltning og antall rein tatt av rovdyr, enn å påvise årsakssammenhengen </w:t>
      </w:r>
      <w:r>
        <w:rPr>
          <w:rFonts w:cs="Times New Roman"/>
        </w:rPr>
        <w:t>for eksempel ved bygging av vindkraftverk slik som i Fosen-saken</w:t>
      </w:r>
      <w:r w:rsidRPr="57473D06">
        <w:rPr>
          <w:rFonts w:cs="Times New Roman"/>
        </w:rPr>
        <w:t>. Når det gjelder rovdyrene, er årsakssammenhengen mer indirekte, og flokkreduksjonen kan ha flere samvirkende årsaker, for eksempel ved at noen av de reinsdyrene som blir tatt av rovdyr, uansett ville ha dødd som følge av sykdommer, påkjørsler eller andre ulykker</w:t>
      </w:r>
      <w:r w:rsidRPr="00AE2DF8">
        <w:t>.</w:t>
      </w:r>
    </w:p>
    <w:p w14:paraId="072D3EAE" w14:textId="77777777" w:rsidR="00303661" w:rsidRDefault="007A5E6E" w:rsidP="007A5E6E">
      <w:pPr>
        <w:spacing w:line="276" w:lineRule="auto"/>
      </w:pPr>
      <w:r w:rsidRPr="57473D06">
        <w:rPr>
          <w:rFonts w:cs="Times New Roman"/>
        </w:rPr>
        <w:t xml:space="preserve">Det følger videre av </w:t>
      </w:r>
      <w:proofErr w:type="spellStart"/>
      <w:r w:rsidRPr="57473D06">
        <w:rPr>
          <w:rFonts w:cs="Times New Roman"/>
        </w:rPr>
        <w:t>MRKs</w:t>
      </w:r>
      <w:proofErr w:type="spellEnd"/>
      <w:r w:rsidRPr="57473D06">
        <w:rPr>
          <w:rFonts w:cs="Times New Roman"/>
        </w:rPr>
        <w:t xml:space="preserve"> praksis at statene etter SP artikkel 27 også har en viss plikt til å iverksette positive støttetiltak. Når det gjelder rovdyr, vil for eksempel iverksettelse av skadeforebyggende tiltak i form av støtte til gjerdebygging i </w:t>
      </w:r>
      <w:proofErr w:type="spellStart"/>
      <w:r w:rsidRPr="57473D06">
        <w:rPr>
          <w:rFonts w:cs="Times New Roman"/>
        </w:rPr>
        <w:t>kalvingsområder</w:t>
      </w:r>
      <w:proofErr w:type="spellEnd"/>
      <w:r w:rsidRPr="57473D06">
        <w:rPr>
          <w:rFonts w:cs="Times New Roman"/>
        </w:rPr>
        <w:t xml:space="preserve"> og andre rovdyrutsatte områder, kunne motvirke at statens rovdyrforvaltning virker uforholdsmessig negativt inn på mulighetene for å utøve samisk reindrift. Slike tiltak kan dermed bidra til at staten unngår å komme i en situasjon som ellers kunne utviklet seg til en krenkelse</w:t>
      </w:r>
      <w:r>
        <w:rPr>
          <w:rFonts w:cs="Times New Roman"/>
        </w:rPr>
        <w:t xml:space="preserve"> av artikkel 27</w:t>
      </w:r>
      <w:r w:rsidRPr="00AE2DF8">
        <w:t>.</w:t>
      </w:r>
    </w:p>
    <w:p w14:paraId="16B296DD" w14:textId="77777777" w:rsidR="00CD439F" w:rsidRPr="00CD439F" w:rsidRDefault="007A5E6E" w:rsidP="007A5E6E">
      <w:pPr>
        <w:spacing w:line="276" w:lineRule="auto"/>
        <w:rPr>
          <w:rStyle w:val="skrift-hevet"/>
        </w:rPr>
      </w:pPr>
      <w:r w:rsidRPr="57473D06">
        <w:rPr>
          <w:rFonts w:cs="Times New Roman"/>
        </w:rPr>
        <w:t xml:space="preserve">Også økonomisk erstatning for dyr tapt til rovdyr kan ha en slik effekt. Dette er riktignok ikke et skadeforebyggende, men et kompenserende tiltak. Har erstatningen et adekvat </w:t>
      </w:r>
      <w:r w:rsidRPr="57473D06">
        <w:rPr>
          <w:rFonts w:cs="Times New Roman"/>
        </w:rPr>
        <w:lastRenderedPageBreak/>
        <w:t xml:space="preserve">nivå og det ikke stilles uforholdsmessig strenge krav til å sannsynliggjøre tapet, kan det være lettere for de berørte reineierne å fortsette sin tradisjonelle virksomhet og ha et økonomisk utbytte av den. I de delene av det samiske reinbeiteområdet der tapene til rovdyr er relativt små, kan erstatningsutbetalinger også bidra </w:t>
      </w:r>
      <w:r>
        <w:rPr>
          <w:rFonts w:cs="Times New Roman"/>
        </w:rPr>
        <w:t xml:space="preserve">til </w:t>
      </w:r>
      <w:r w:rsidRPr="57473D06">
        <w:rPr>
          <w:rFonts w:cs="Times New Roman"/>
        </w:rPr>
        <w:t>at spørsmålet om brudd på SP artikkel 27 ikke oppstår, i alle fall dersom erstatningene gjør at reindriften fortsatt kan drives med et økonomisk utbytte.</w:t>
      </w:r>
      <w:r>
        <w:rPr>
          <w:rFonts w:cs="Times New Roman"/>
        </w:rPr>
        <w:t xml:space="preserve"> </w:t>
      </w:r>
      <w:r w:rsidRPr="57473D06">
        <w:rPr>
          <w:rFonts w:cs="Times New Roman"/>
        </w:rPr>
        <w:t>Erstatning alene vil imidlertid ikke være tilstrekkelig til å unngå konvensjonsbrudd dersom rovdyrtapene er så store at de har en vesentlig negativ effekt (</w:t>
      </w:r>
      <w:r w:rsidR="00CD439F">
        <w:rPr>
          <w:rFonts w:cs="Times New Roman"/>
        </w:rPr>
        <w:t>«</w:t>
      </w:r>
      <w:r w:rsidRPr="007C0E81">
        <w:rPr>
          <w:rFonts w:cs="Times New Roman"/>
        </w:rPr>
        <w:t xml:space="preserve">a </w:t>
      </w:r>
      <w:proofErr w:type="spellStart"/>
      <w:r w:rsidRPr="007C0E81">
        <w:rPr>
          <w:rFonts w:cs="Times New Roman"/>
        </w:rPr>
        <w:t>substantive</w:t>
      </w:r>
      <w:proofErr w:type="spellEnd"/>
      <w:r w:rsidRPr="007C0E81">
        <w:rPr>
          <w:rFonts w:cs="Times New Roman"/>
        </w:rPr>
        <w:t xml:space="preserve"> negative </w:t>
      </w:r>
      <w:proofErr w:type="spellStart"/>
      <w:r w:rsidRPr="007C0E81">
        <w:rPr>
          <w:rFonts w:cs="Times New Roman"/>
        </w:rPr>
        <w:t>impact</w:t>
      </w:r>
      <w:proofErr w:type="spellEnd"/>
      <w:r w:rsidR="00CD439F">
        <w:rPr>
          <w:rFonts w:cs="Times New Roman"/>
        </w:rPr>
        <w:t>»</w:t>
      </w:r>
      <w:r w:rsidRPr="57473D06">
        <w:rPr>
          <w:rFonts w:cs="Times New Roman"/>
        </w:rPr>
        <w:t>) på muligheten til å drive reindrift i det aktuelle området, og dermed truer reindriftens overlevelse der (</w:t>
      </w:r>
      <w:r w:rsidR="00CD439F">
        <w:rPr>
          <w:rFonts w:cs="Times New Roman"/>
        </w:rPr>
        <w:t>«</w:t>
      </w:r>
      <w:proofErr w:type="spellStart"/>
      <w:r w:rsidRPr="007C0E81">
        <w:rPr>
          <w:rFonts w:cs="Times New Roman"/>
        </w:rPr>
        <w:t>endanger</w:t>
      </w:r>
      <w:proofErr w:type="spellEnd"/>
      <w:r w:rsidRPr="007C0E81">
        <w:rPr>
          <w:rFonts w:cs="Times New Roman"/>
        </w:rPr>
        <w:t xml:space="preserve"> </w:t>
      </w:r>
      <w:proofErr w:type="spellStart"/>
      <w:r w:rsidRPr="007C0E81">
        <w:rPr>
          <w:rFonts w:cs="Times New Roman"/>
        </w:rPr>
        <w:t>the</w:t>
      </w:r>
      <w:proofErr w:type="spellEnd"/>
      <w:r w:rsidRPr="007C0E81">
        <w:rPr>
          <w:rFonts w:cs="Times New Roman"/>
        </w:rPr>
        <w:t xml:space="preserve"> </w:t>
      </w:r>
      <w:proofErr w:type="spellStart"/>
      <w:r w:rsidRPr="007C0E81">
        <w:rPr>
          <w:rFonts w:cs="Times New Roman"/>
        </w:rPr>
        <w:t>very</w:t>
      </w:r>
      <w:proofErr w:type="spellEnd"/>
      <w:r w:rsidRPr="007C0E81">
        <w:rPr>
          <w:rFonts w:cs="Times New Roman"/>
        </w:rPr>
        <w:t xml:space="preserve"> </w:t>
      </w:r>
      <w:proofErr w:type="spellStart"/>
      <w:r w:rsidRPr="007C0E81">
        <w:rPr>
          <w:rFonts w:cs="Times New Roman"/>
        </w:rPr>
        <w:t>survival</w:t>
      </w:r>
      <w:proofErr w:type="spellEnd"/>
      <w:r w:rsidR="00CD439F">
        <w:rPr>
          <w:rFonts w:cs="Times New Roman"/>
        </w:rPr>
        <w:t>»</w:t>
      </w:r>
      <w:r w:rsidRPr="57473D06">
        <w:rPr>
          <w:rFonts w:cs="Times New Roman"/>
        </w:rPr>
        <w:t>).</w:t>
      </w:r>
    </w:p>
    <w:p w14:paraId="4D508029" w14:textId="5C525395" w:rsidR="00303661" w:rsidRDefault="007A5E6E" w:rsidP="007A5E6E">
      <w:pPr>
        <w:spacing w:line="276" w:lineRule="auto"/>
        <w:rPr>
          <w:rFonts w:cs="Times New Roman"/>
        </w:rPr>
      </w:pPr>
      <w:r w:rsidRPr="57473D06">
        <w:rPr>
          <w:rFonts w:cs="Times New Roman"/>
        </w:rPr>
        <w:t xml:space="preserve">Det følger også av </w:t>
      </w:r>
      <w:proofErr w:type="spellStart"/>
      <w:r w:rsidRPr="57473D06">
        <w:rPr>
          <w:rFonts w:cs="Times New Roman"/>
        </w:rPr>
        <w:t>MRKs</w:t>
      </w:r>
      <w:proofErr w:type="spellEnd"/>
      <w:r w:rsidRPr="57473D06">
        <w:rPr>
          <w:rFonts w:cs="Times New Roman"/>
        </w:rPr>
        <w:t xml:space="preserve"> praksis at konsultasjoner og deltakelse i beslutningsprosessene kan være et virkemiddel for å overholde statens forpliktelser etter SP artikkel 27. I </w:t>
      </w:r>
      <w:proofErr w:type="spellStart"/>
      <w:r w:rsidRPr="57473D06">
        <w:rPr>
          <w:rFonts w:cs="Times New Roman"/>
        </w:rPr>
        <w:t>Poma</w:t>
      </w:r>
      <w:proofErr w:type="spellEnd"/>
      <w:r w:rsidRPr="57473D06">
        <w:rPr>
          <w:rFonts w:cs="Times New Roman"/>
        </w:rPr>
        <w:t xml:space="preserve"> </w:t>
      </w:r>
      <w:proofErr w:type="spellStart"/>
      <w:r w:rsidRPr="57473D06">
        <w:rPr>
          <w:rFonts w:cs="Times New Roman"/>
        </w:rPr>
        <w:t>Poma</w:t>
      </w:r>
      <w:proofErr w:type="spellEnd"/>
      <w:r w:rsidRPr="57473D06">
        <w:rPr>
          <w:rFonts w:cs="Times New Roman"/>
        </w:rPr>
        <w:t xml:space="preserve"> mot Peru var manglende konsultasjoner en medvirkende årsak til at MRK konstaterte krenkelse. </w:t>
      </w:r>
      <w:proofErr w:type="spellStart"/>
      <w:r w:rsidRPr="57473D06">
        <w:rPr>
          <w:rFonts w:cs="Times New Roman"/>
        </w:rPr>
        <w:t>Apriana</w:t>
      </w:r>
      <w:proofErr w:type="spellEnd"/>
      <w:r w:rsidRPr="57473D06">
        <w:rPr>
          <w:rFonts w:cs="Times New Roman"/>
        </w:rPr>
        <w:t xml:space="preserve"> </w:t>
      </w:r>
      <w:proofErr w:type="spellStart"/>
      <w:r w:rsidRPr="57473D06">
        <w:rPr>
          <w:rFonts w:cs="Times New Roman"/>
        </w:rPr>
        <w:t>Mahuika</w:t>
      </w:r>
      <w:proofErr w:type="spellEnd"/>
      <w:r w:rsidRPr="57473D06">
        <w:rPr>
          <w:rFonts w:cs="Times New Roman"/>
        </w:rPr>
        <w:t xml:space="preserve"> mot New Zealand fikk motsatt utfall, blant annet fordi det var gjennomført konsultasjoner før tiltaket (i form av fiskerireguleringer) ble iverksatt.</w:t>
      </w:r>
      <w:r>
        <w:rPr>
          <w:rFonts w:cs="Times New Roman"/>
        </w:rPr>
        <w:t xml:space="preserve"> Men gjennomføring av </w:t>
      </w:r>
      <w:r w:rsidRPr="57473D06">
        <w:rPr>
          <w:rFonts w:cs="Times New Roman"/>
        </w:rPr>
        <w:t xml:space="preserve">konsultasjoner og liknende former for medvirkning er ikke </w:t>
      </w:r>
      <w:r>
        <w:rPr>
          <w:rFonts w:cs="Times New Roman"/>
        </w:rPr>
        <w:t>nødvendigvis</w:t>
      </w:r>
      <w:r w:rsidRPr="57473D06">
        <w:rPr>
          <w:rFonts w:cs="Times New Roman"/>
        </w:rPr>
        <w:t xml:space="preserve"> nok til at staten oppfyller sine forpliktelser etter SP artikkel 27. En annen type medvirkning er at samiske organer generelt, og reindriftens organisasjoner spesielt</w:t>
      </w:r>
      <w:r>
        <w:rPr>
          <w:rFonts w:cs="Times New Roman"/>
        </w:rPr>
        <w:t>,</w:t>
      </w:r>
      <w:r w:rsidRPr="57473D06">
        <w:rPr>
          <w:rFonts w:cs="Times New Roman"/>
        </w:rPr>
        <w:t xml:space="preserve"> deltar i rovdyrforvaltningen på regionalt og lokalt nivå, i form av representasjon i besluttende organer. Også slik medvirkning kan motvirke krenkelser av artikkel 27.</w:t>
      </w:r>
    </w:p>
    <w:p w14:paraId="046B5696" w14:textId="3704C6EF" w:rsidR="007A5E6E" w:rsidRDefault="007A5E6E" w:rsidP="007A5E6E">
      <w:pPr>
        <w:pStyle w:val="Overskrift2"/>
      </w:pPr>
      <w:bookmarkStart w:id="23" w:name="_Toc223433086"/>
      <w:r>
        <w:t>ILO-konvensjon nr. 169 om urfolk og stammefolk i selvstendige stater</w:t>
      </w:r>
      <w:bookmarkEnd w:id="23"/>
    </w:p>
    <w:p w14:paraId="308DAFB1" w14:textId="60E225D5" w:rsidR="009A1462" w:rsidRDefault="009A1462" w:rsidP="009A1462">
      <w:pPr>
        <w:pStyle w:val="Overskrift3"/>
      </w:pPr>
      <w:bookmarkStart w:id="24" w:name="_Toc223433087"/>
      <w:r>
        <w:t>Innledning</w:t>
      </w:r>
      <w:bookmarkEnd w:id="24"/>
    </w:p>
    <w:p w14:paraId="67B6AA1A" w14:textId="4CCB7F12" w:rsidR="00303661" w:rsidRDefault="00A62E80" w:rsidP="00A62E80">
      <w:r w:rsidRPr="00853769">
        <w:t>ILO-konvensjon nr. 169 ble vedtatt i 1989, og trådte i kraft i 1991 etter at to stater (Norge og Mexico) hadde ratifisert konvensjonen. Etter dette har ytterligere 22 stater ratifisert, slik at den per desember 2025 er ratifisert av 24 stater.</w:t>
      </w:r>
      <w:r w:rsidR="00CD439F" w:rsidRPr="00CD439F">
        <w:rPr>
          <w:rStyle w:val="Fotnotereferanse"/>
        </w:rPr>
        <w:footnoteReference w:id="91"/>
      </w:r>
      <w:r w:rsidRPr="00853769">
        <w:t xml:space="preserve"> ILO-konvensjon nr. 169 har en forgjenger i ILO-konvensjon nr. 107 av 1957 om vern og integrering av urfolk og andre folkegrupper som helt eller delvis le</w:t>
      </w:r>
      <w:r>
        <w:t>v</w:t>
      </w:r>
      <w:r w:rsidRPr="00853769">
        <w:t>er under stammeforhold. Sistnevnte ble stengt for nye ratifikasjoner etter vedtakelsen</w:t>
      </w:r>
      <w:r>
        <w:t xml:space="preserve"> av</w:t>
      </w:r>
      <w:r w:rsidRPr="00853769">
        <w:t xml:space="preserve"> konvensjon nr. 169, og var da ratifisert av 27 stater. Norge var ikke blant disse.</w:t>
      </w:r>
    </w:p>
    <w:p w14:paraId="0F5A3DD4" w14:textId="3AD388A4" w:rsidR="00303661" w:rsidRDefault="00A62E80" w:rsidP="00A62E80">
      <w:r w:rsidRPr="00853769">
        <w:t xml:space="preserve">ILO-konvensjon nr. 169 er i motsetning til SP ikke inkorporert i norsk rett ved menneskerettsloven, men den er omfattet av </w:t>
      </w:r>
      <w:r w:rsidR="00CD439F">
        <w:t>«</w:t>
      </w:r>
      <w:r w:rsidRPr="00853769">
        <w:t>sektormonisme</w:t>
      </w:r>
      <w:r w:rsidR="00CD439F">
        <w:t>»</w:t>
      </w:r>
      <w:r w:rsidRPr="00853769">
        <w:t xml:space="preserve">-bestemmelser i sameloven 12. juni 1987 nr. 56 </w:t>
      </w:r>
      <w:r w:rsidR="00CD439F">
        <w:t>§ </w:t>
      </w:r>
      <w:r w:rsidR="00CD439F" w:rsidRPr="00853769">
        <w:t>1</w:t>
      </w:r>
      <w:r w:rsidRPr="00853769">
        <w:t xml:space="preserve">-1 andre ledd, finnmarksloven 17. juni 2005 nr. 85 </w:t>
      </w:r>
      <w:r w:rsidR="00CD439F">
        <w:t>§ </w:t>
      </w:r>
      <w:r w:rsidR="00CD439F" w:rsidRPr="00853769">
        <w:t>3</w:t>
      </w:r>
      <w:r w:rsidRPr="00853769">
        <w:t xml:space="preserve"> og reindriftsloven 15. juni 2007 nr. 40 </w:t>
      </w:r>
      <w:r w:rsidR="00CD439F">
        <w:t>§ </w:t>
      </w:r>
      <w:r w:rsidR="00CD439F" w:rsidRPr="00853769">
        <w:t>3</w:t>
      </w:r>
      <w:r w:rsidRPr="00853769">
        <w:t xml:space="preserve">, der den riktignok i motsetning til i de to andre </w:t>
      </w:r>
      <w:r w:rsidRPr="00853769">
        <w:lastRenderedPageBreak/>
        <w:t xml:space="preserve">lovene ikke er nevnt i ordlyden, men omfattet av formuleringen </w:t>
      </w:r>
      <w:r w:rsidR="00CD439F">
        <w:t>«</w:t>
      </w:r>
      <w:r w:rsidRPr="00B632C5">
        <w:t>folkerettens regler om urfolk og minoriteter</w:t>
      </w:r>
      <w:r w:rsidR="00CD439F">
        <w:t>»</w:t>
      </w:r>
      <w:r w:rsidRPr="00853769">
        <w:t>.</w:t>
      </w:r>
    </w:p>
    <w:p w14:paraId="458C9E57" w14:textId="72037C3F" w:rsidR="00303661" w:rsidRDefault="00A62E80" w:rsidP="00A62E80">
      <w:r w:rsidRPr="00853769">
        <w:t>Sameloven er av særlig interesse i denne sammenhengen. Loven ble i 2021 supplert med et nytt kapittel 4 om konsultasjoner som tar sikte på å konkretisere og gjennomføre de forpliktelsene som følger ILO-konvensjonens bestemmelser om konsultasjoner og deltakelse i beslutningsprosesser i norsk rett.</w:t>
      </w:r>
      <w:r w:rsidR="00CD439F" w:rsidRPr="00CD439F">
        <w:rPr>
          <w:rStyle w:val="Fotnotereferanse"/>
        </w:rPr>
        <w:footnoteReference w:id="92"/>
      </w:r>
    </w:p>
    <w:p w14:paraId="6EEB063D" w14:textId="1402ABFC" w:rsidR="00A62E80" w:rsidRDefault="00A62E80" w:rsidP="00B937D5">
      <w:r w:rsidRPr="00853769">
        <w:t>Nedenfor følger i punkt 3.3.2 en omtale av formålet med ILO-konvensjon nr. 169, og av hvilke regler som gjelder for håndhevelsen av konvensjonen, og hvilke krav som stilles til gjennomføringen av den. Punkt 3.3.3 omtaler konvensjonens viktigste bestemmelser om urfolkets rett til konsultasjoner og annen deltakelse i beslutningsprosesser i saker som angår dem i artikkel 6, 7 og 15, med hovedvekt på artikkel 6.</w:t>
      </w:r>
    </w:p>
    <w:p w14:paraId="18FAAF73" w14:textId="77777777" w:rsidR="00303661" w:rsidRDefault="00A62E80" w:rsidP="00A62E80">
      <w:pPr>
        <w:rPr>
          <w:sz w:val="24"/>
          <w:szCs w:val="24"/>
        </w:rPr>
      </w:pPr>
      <w:r w:rsidRPr="00853769">
        <w:t xml:space="preserve">ILO-konvensjonen artikkel 14 om anerkjennelse av urfolks landrettigheter, har hatt en sentral plass i norsk samerettslig og </w:t>
      </w:r>
      <w:proofErr w:type="spellStart"/>
      <w:r w:rsidRPr="00853769">
        <w:t>samepolitisk</w:t>
      </w:r>
      <w:proofErr w:type="spellEnd"/>
      <w:r w:rsidRPr="00853769">
        <w:t xml:space="preserve"> debatt helt siden Norge ratifiserte konvensjonen i 1990. Bestemmelsen har imidlertid – i motsetning til bestemmelsene om konsultasjoner mv. – ikke direkte betydning for norsk rovdyrforvaltning og omtales derfor ikke i det følgende.</w:t>
      </w:r>
    </w:p>
    <w:p w14:paraId="7B8F0A23" w14:textId="3EA3477F" w:rsidR="004D6807" w:rsidRDefault="004D6807" w:rsidP="004D6807">
      <w:pPr>
        <w:pStyle w:val="Overskrift3"/>
      </w:pPr>
      <w:bookmarkStart w:id="25" w:name="_Toc223433088"/>
      <w:r>
        <w:t>Formål, håndhevelse og gjennomføring</w:t>
      </w:r>
      <w:bookmarkEnd w:id="25"/>
    </w:p>
    <w:p w14:paraId="28AABFA2" w14:textId="1F0324CC" w:rsidR="004D6807" w:rsidRDefault="004D6807" w:rsidP="004D6807">
      <w:pPr>
        <w:pStyle w:val="Overskrift4"/>
      </w:pPr>
      <w:r>
        <w:t>Formål</w:t>
      </w:r>
    </w:p>
    <w:p w14:paraId="2BF4958E" w14:textId="77777777" w:rsidR="00303661" w:rsidRDefault="00A935AA" w:rsidP="00A935AA">
      <w:r w:rsidRPr="00853769">
        <w:t>Hovedformålet med ILO-konvensjon nr. 107 var å fremme urfolks materielle velstand, og legge til rette for at urfolk skulle bli en del av samfunnslivet i sine respektive land. Konvensjonen ble imidlertid kritisert fordi den i liten grad erkjente verdien av urfolkenes kulturer, og var basert på at urfolkene skulle assimileres i storsamfunnet.</w:t>
      </w:r>
    </w:p>
    <w:p w14:paraId="478FDFFA" w14:textId="3286B8CC" w:rsidR="00303661" w:rsidRDefault="00A935AA" w:rsidP="00A935AA">
      <w:r w:rsidRPr="00853769">
        <w:t>Kritikken bidro til at ILO-konvensjon nr. 169 ble vedtatt med et vesentlig annerledes hovedformål.</w:t>
      </w:r>
      <w:r w:rsidR="00CD439F" w:rsidRPr="00CD439F">
        <w:rPr>
          <w:rStyle w:val="Fotnotereferanse"/>
        </w:rPr>
        <w:footnoteReference w:id="93"/>
      </w:r>
      <w:r w:rsidRPr="00853769">
        <w:t xml:space="preserve"> Av fortalen til konvensjonen fremgår det at den blant annet er basert på et mål om å legge til rett</w:t>
      </w:r>
      <w:r>
        <w:t>e</w:t>
      </w:r>
      <w:r w:rsidRPr="00853769">
        <w:t xml:space="preserve"> for at urfolk kan ha kontroll over sine institusjoner, sin livsform og økonomiske utvikling, og kunne opprettholde og utvikle sin identitet som folkegruppe, og sitt språk og sin religion innen rammen av de statene de lever i. Hovedformålet med ILO-konvensjon nr. 169 er dermed at urfolk skal ha rett til å bevare sin identitet som folkegruppe, og ha rett til å bevare og videreutvikle sin livsform og kultur på sine egne premisser.</w:t>
      </w:r>
    </w:p>
    <w:p w14:paraId="70A858AF" w14:textId="611A432C" w:rsidR="004D6807" w:rsidRDefault="008F045D" w:rsidP="008F045D">
      <w:pPr>
        <w:pStyle w:val="Overskrift4"/>
      </w:pPr>
      <w:r>
        <w:lastRenderedPageBreak/>
        <w:t>Håndhevelse</w:t>
      </w:r>
    </w:p>
    <w:p w14:paraId="486A46E5" w14:textId="4E6165B3" w:rsidR="008F045D" w:rsidRDefault="008F045D" w:rsidP="008F045D">
      <w:r w:rsidRPr="00853769">
        <w:t>ILO</w:t>
      </w:r>
      <w:r>
        <w:t>-</w:t>
      </w:r>
      <w:r w:rsidRPr="00853769">
        <w:t xml:space="preserve">konvensjon nr. 169 regulerer ikke selv klageadgangen ved påståtte konvensjonsbrudd, men konvensjonen er </w:t>
      </w:r>
      <w:r>
        <w:t xml:space="preserve">en </w:t>
      </w:r>
      <w:r w:rsidRPr="00853769">
        <w:t>del av det generelle klagesystemet som gjelder for alle ILO-konvensjoner. Dette er regulert i ILOs konstitusjon (</w:t>
      </w:r>
      <w:r w:rsidR="00CD439F">
        <w:t>«</w:t>
      </w:r>
      <w:proofErr w:type="spellStart"/>
      <w:r w:rsidRPr="00853769">
        <w:t>Constitution</w:t>
      </w:r>
      <w:proofErr w:type="spellEnd"/>
      <w:r w:rsidR="00CD439F">
        <w:t>»</w:t>
      </w:r>
      <w:r w:rsidRPr="00853769">
        <w:t>) som det daværende Folkeforbundet fastsatte 29. oktober 1919, og som senere er revidert ved ulike anledninger.</w:t>
      </w:r>
    </w:p>
    <w:p w14:paraId="60A0C367" w14:textId="69BE7DB1" w:rsidR="008F045D" w:rsidRDefault="008F045D" w:rsidP="008F045D">
      <w:pPr>
        <w:rPr>
          <w:rFonts w:cs="Times New Roman"/>
          <w:lang w:val="en-GB"/>
        </w:rPr>
      </w:pPr>
      <w:r>
        <w:t xml:space="preserve">Medlemsstatene skal regelmessig sende inn rapporter om gjennomføring av sine forpliktelser etter ILO-konstitusjonens artikkel 22, tilsvarende </w:t>
      </w:r>
      <w:proofErr w:type="spellStart"/>
      <w:r>
        <w:t>statsrapportene</w:t>
      </w:r>
      <w:proofErr w:type="spellEnd"/>
      <w:r>
        <w:t xml:space="preserve"> som kreves i menneskerettighetskonvensjonene. </w:t>
      </w:r>
      <w:proofErr w:type="spellStart"/>
      <w:r w:rsidRPr="002B42B0">
        <w:rPr>
          <w:lang w:val="en-US"/>
        </w:rPr>
        <w:t>Rapportene</w:t>
      </w:r>
      <w:proofErr w:type="spellEnd"/>
      <w:r w:rsidRPr="002B42B0">
        <w:rPr>
          <w:lang w:val="en-US"/>
        </w:rPr>
        <w:t xml:space="preserve"> </w:t>
      </w:r>
      <w:proofErr w:type="spellStart"/>
      <w:r w:rsidRPr="002B42B0">
        <w:rPr>
          <w:lang w:val="en-US"/>
        </w:rPr>
        <w:t>kan</w:t>
      </w:r>
      <w:proofErr w:type="spellEnd"/>
      <w:r w:rsidRPr="002B42B0">
        <w:rPr>
          <w:lang w:val="en-US"/>
        </w:rPr>
        <w:t xml:space="preserve"> </w:t>
      </w:r>
      <w:proofErr w:type="spellStart"/>
      <w:r w:rsidRPr="002B42B0">
        <w:rPr>
          <w:lang w:val="en-US"/>
        </w:rPr>
        <w:t>føre</w:t>
      </w:r>
      <w:proofErr w:type="spellEnd"/>
      <w:r w:rsidRPr="002B42B0">
        <w:rPr>
          <w:lang w:val="en-US"/>
        </w:rPr>
        <w:t xml:space="preserve"> </w:t>
      </w:r>
      <w:proofErr w:type="spellStart"/>
      <w:r w:rsidRPr="002B42B0">
        <w:rPr>
          <w:lang w:val="en-US"/>
        </w:rPr>
        <w:t>til</w:t>
      </w:r>
      <w:proofErr w:type="spellEnd"/>
      <w:r w:rsidRPr="002B42B0">
        <w:rPr>
          <w:lang w:val="en-US"/>
        </w:rPr>
        <w:t xml:space="preserve"> </w:t>
      </w:r>
      <w:r w:rsidR="00CD439F">
        <w:rPr>
          <w:rFonts w:cs="Times New Roman"/>
          <w:lang w:val="en-US"/>
        </w:rPr>
        <w:t>«</w:t>
      </w:r>
      <w:r w:rsidRPr="00CD439F">
        <w:rPr>
          <w:rStyle w:val="kursiv"/>
          <w:lang w:val="en-US"/>
        </w:rPr>
        <w:t>individual observations</w:t>
      </w:r>
      <w:r w:rsidR="00CD439F">
        <w:rPr>
          <w:rFonts w:cs="Times New Roman"/>
          <w:lang w:val="en-US"/>
        </w:rPr>
        <w:t>»</w:t>
      </w:r>
      <w:r w:rsidRPr="002B42B0">
        <w:rPr>
          <w:rFonts w:cs="Times New Roman"/>
          <w:lang w:val="en-US"/>
        </w:rPr>
        <w:t xml:space="preserve"> </w:t>
      </w:r>
      <w:proofErr w:type="spellStart"/>
      <w:r w:rsidRPr="002B42B0">
        <w:rPr>
          <w:rFonts w:cs="Times New Roman"/>
          <w:lang w:val="en-US"/>
        </w:rPr>
        <w:t>eller</w:t>
      </w:r>
      <w:proofErr w:type="spellEnd"/>
      <w:r w:rsidRPr="002B42B0">
        <w:rPr>
          <w:rFonts w:cs="Times New Roman"/>
          <w:lang w:val="en-US"/>
        </w:rPr>
        <w:t xml:space="preserve"> </w:t>
      </w:r>
      <w:r w:rsidR="00CD439F">
        <w:rPr>
          <w:rFonts w:cs="Times New Roman"/>
          <w:lang w:val="en-US"/>
        </w:rPr>
        <w:t>«</w:t>
      </w:r>
      <w:r w:rsidRPr="00CD439F">
        <w:rPr>
          <w:rStyle w:val="kursiv"/>
          <w:lang w:val="en-US"/>
        </w:rPr>
        <w:t>direct requests</w:t>
      </w:r>
      <w:r w:rsidR="00CD439F">
        <w:rPr>
          <w:rFonts w:cs="Times New Roman"/>
          <w:lang w:val="en-US"/>
        </w:rPr>
        <w:t>»</w:t>
      </w:r>
      <w:r w:rsidRPr="002B42B0">
        <w:rPr>
          <w:rFonts w:cs="Times New Roman"/>
          <w:lang w:val="en-US"/>
        </w:rPr>
        <w:t xml:space="preserve"> </w:t>
      </w:r>
      <w:proofErr w:type="spellStart"/>
      <w:r w:rsidRPr="002B42B0">
        <w:rPr>
          <w:rFonts w:cs="Times New Roman"/>
          <w:lang w:val="en-US"/>
        </w:rPr>
        <w:t>rettet</w:t>
      </w:r>
      <w:proofErr w:type="spellEnd"/>
      <w:r w:rsidRPr="002B42B0">
        <w:rPr>
          <w:rFonts w:cs="Times New Roman"/>
          <w:lang w:val="en-US"/>
        </w:rPr>
        <w:t xml:space="preserve"> </w:t>
      </w:r>
      <w:proofErr w:type="spellStart"/>
      <w:r w:rsidRPr="002B42B0">
        <w:rPr>
          <w:rFonts w:cs="Times New Roman"/>
          <w:lang w:val="en-US"/>
        </w:rPr>
        <w:t>til</w:t>
      </w:r>
      <w:proofErr w:type="spellEnd"/>
      <w:r w:rsidRPr="002B42B0">
        <w:rPr>
          <w:rFonts w:cs="Times New Roman"/>
          <w:lang w:val="en-US"/>
        </w:rPr>
        <w:t xml:space="preserve"> de </w:t>
      </w:r>
      <w:proofErr w:type="spellStart"/>
      <w:r w:rsidRPr="002B42B0">
        <w:rPr>
          <w:rFonts w:cs="Times New Roman"/>
          <w:lang w:val="en-US"/>
        </w:rPr>
        <w:t>aktuelle</w:t>
      </w:r>
      <w:proofErr w:type="spellEnd"/>
      <w:r w:rsidRPr="002B42B0">
        <w:rPr>
          <w:rFonts w:cs="Times New Roman"/>
          <w:lang w:val="en-US"/>
        </w:rPr>
        <w:t xml:space="preserve"> </w:t>
      </w:r>
      <w:proofErr w:type="spellStart"/>
      <w:r w:rsidRPr="002B42B0">
        <w:rPr>
          <w:rFonts w:cs="Times New Roman"/>
          <w:lang w:val="en-US"/>
        </w:rPr>
        <w:t>medlemsstatene</w:t>
      </w:r>
      <w:proofErr w:type="spellEnd"/>
      <w:r w:rsidRPr="002B42B0">
        <w:rPr>
          <w:rFonts w:cs="Times New Roman"/>
          <w:lang w:val="en-US"/>
        </w:rPr>
        <w:t xml:space="preserve"> </w:t>
      </w:r>
      <w:proofErr w:type="spellStart"/>
      <w:r w:rsidRPr="002B42B0">
        <w:rPr>
          <w:rFonts w:cs="Times New Roman"/>
          <w:lang w:val="en-US"/>
        </w:rPr>
        <w:t>fra</w:t>
      </w:r>
      <w:proofErr w:type="spellEnd"/>
      <w:r w:rsidRPr="002B42B0">
        <w:rPr>
          <w:rFonts w:cs="Times New Roman"/>
          <w:lang w:val="en-US"/>
        </w:rPr>
        <w:t xml:space="preserve"> </w:t>
      </w:r>
      <w:r w:rsidRPr="00CD439F">
        <w:rPr>
          <w:rStyle w:val="kursiv"/>
          <w:lang w:val="en-US"/>
        </w:rPr>
        <w:t>Committee of Experts on the Application of Conventions and Recommendations</w:t>
      </w:r>
      <w:r w:rsidRPr="2FB46E9B">
        <w:rPr>
          <w:rFonts w:cs="Times New Roman"/>
          <w:lang w:val="en-GB"/>
        </w:rPr>
        <w:t xml:space="preserve"> (CEACR).</w:t>
      </w:r>
      <w:r w:rsidR="00CD439F" w:rsidRPr="00CD439F">
        <w:rPr>
          <w:rStyle w:val="Fotnotereferanse"/>
        </w:rPr>
        <w:footnoteReference w:id="94"/>
      </w:r>
    </w:p>
    <w:p w14:paraId="3C67D1C2" w14:textId="70EC7336" w:rsidR="00303661" w:rsidRDefault="008F045D" w:rsidP="008F045D">
      <w:r w:rsidRPr="00853769">
        <w:t>Etter ILO-konstitusjonens artikkel 24 kan arbeidstaker- og a</w:t>
      </w:r>
      <w:r>
        <w:t>r</w:t>
      </w:r>
      <w:r w:rsidRPr="00853769">
        <w:t xml:space="preserve">beidsgiverorganisasjoner som mener at en medlemsstat i ILO ikke har overholdt sine forpliktelser etter en konvensjon som staten er part i, fremsette en </w:t>
      </w:r>
      <w:r w:rsidR="00CD439F">
        <w:t>«</w:t>
      </w:r>
      <w:proofErr w:type="spellStart"/>
      <w:r w:rsidRPr="00CD439F">
        <w:rPr>
          <w:rStyle w:val="kursiv"/>
        </w:rPr>
        <w:t>representation</w:t>
      </w:r>
      <w:proofErr w:type="spellEnd"/>
      <w:r w:rsidR="00CD439F">
        <w:t>»</w:t>
      </w:r>
      <w:r w:rsidRPr="00853769">
        <w:t xml:space="preserve"> for ILOs styre (</w:t>
      </w:r>
      <w:r w:rsidR="00CD439F">
        <w:t>«</w:t>
      </w:r>
      <w:proofErr w:type="spellStart"/>
      <w:r w:rsidRPr="00CD439F">
        <w:rPr>
          <w:rStyle w:val="kursiv"/>
        </w:rPr>
        <w:t>Governing</w:t>
      </w:r>
      <w:proofErr w:type="spellEnd"/>
      <w:r w:rsidRPr="00CD439F">
        <w:rPr>
          <w:rStyle w:val="kursiv"/>
        </w:rPr>
        <w:t xml:space="preserve"> Body</w:t>
      </w:r>
      <w:r w:rsidR="00CD439F">
        <w:t>»</w:t>
      </w:r>
      <w:r w:rsidRPr="00853769">
        <w:t xml:space="preserve">). Dersom styret tar saken til realitetsbehandling, nedsetter det en </w:t>
      </w:r>
      <w:proofErr w:type="spellStart"/>
      <w:r w:rsidRPr="00853769">
        <w:t>trepartskomité</w:t>
      </w:r>
      <w:proofErr w:type="spellEnd"/>
      <w:r w:rsidRPr="00853769">
        <w:t xml:space="preserve"> bestående av én representant for arbeidsgiversiden, én for arbeidstakersiden og én for ILOs medlemsstater (en annen stat enn den innklagede). Komiteen undersøker saken, og dens rapport og konklusjoner vedtas av ILOs styre. </w:t>
      </w:r>
      <w:r w:rsidRPr="002B42B0">
        <w:t>Den videre oppfølgingen ligger til CEACR.</w:t>
      </w:r>
    </w:p>
    <w:p w14:paraId="257A5437" w14:textId="49B6767A" w:rsidR="008F045D" w:rsidRPr="00853769" w:rsidRDefault="008F045D" w:rsidP="008F045D">
      <w:r w:rsidRPr="00853769">
        <w:t xml:space="preserve">ILO-konstitusjonens artikkel 26 åpner for at </w:t>
      </w:r>
      <w:r w:rsidR="00CD439F">
        <w:t>«</w:t>
      </w:r>
      <w:proofErr w:type="spellStart"/>
      <w:r w:rsidRPr="00CD439F">
        <w:rPr>
          <w:rStyle w:val="kursiv"/>
        </w:rPr>
        <w:t>complaints</w:t>
      </w:r>
      <w:proofErr w:type="spellEnd"/>
      <w:r w:rsidR="00CD439F">
        <w:t>»</w:t>
      </w:r>
      <w:r w:rsidRPr="00853769">
        <w:t xml:space="preserve"> som gjelder brudd på ILOs konvensjoner, kan fremsettes for International Labour Office av medlemstater i ILO mot andre medlemsstater, dersom begge statene har ratifisert den konvensjonen klagen gjelder. Slike </w:t>
      </w:r>
      <w:r w:rsidR="00CD439F">
        <w:t>«</w:t>
      </w:r>
      <w:proofErr w:type="spellStart"/>
      <w:r w:rsidRPr="00CD439F">
        <w:rPr>
          <w:rStyle w:val="kursiv"/>
        </w:rPr>
        <w:t>complaints</w:t>
      </w:r>
      <w:proofErr w:type="spellEnd"/>
      <w:r w:rsidR="00CD439F">
        <w:t>»</w:t>
      </w:r>
      <w:r w:rsidRPr="00853769">
        <w:t xml:space="preserve"> kan også fremsettes av delegater til den Internasjonale arbeidskonferansen eller av ILOs styre</w:t>
      </w:r>
      <w:r>
        <w:t xml:space="preserve"> av eget initiativ</w:t>
      </w:r>
      <w:r w:rsidRPr="00853769">
        <w:t xml:space="preserve"> </w:t>
      </w:r>
      <w:r>
        <w:t>(</w:t>
      </w:r>
      <w:r w:rsidRPr="00CD439F">
        <w:rPr>
          <w:rStyle w:val="kursiv"/>
        </w:rPr>
        <w:t xml:space="preserve">ex </w:t>
      </w:r>
      <w:proofErr w:type="spellStart"/>
      <w:r w:rsidRPr="00CD439F">
        <w:rPr>
          <w:rStyle w:val="kursiv"/>
        </w:rPr>
        <w:t>officio</w:t>
      </w:r>
      <w:proofErr w:type="spellEnd"/>
      <w:r>
        <w:t>)</w:t>
      </w:r>
      <w:r w:rsidRPr="00853769">
        <w:t>, jf. artikkel 26 (1) sammenholdt med artikkel 26 (4).</w:t>
      </w:r>
    </w:p>
    <w:p w14:paraId="60FD95C0" w14:textId="04A0F2DB" w:rsidR="008F045D" w:rsidRPr="00853769" w:rsidRDefault="008F045D" w:rsidP="008F045D">
      <w:r w:rsidRPr="00853769">
        <w:t>Dersom ILOs styre tar klagen videre, nedsetter det en granskningskommisjon (</w:t>
      </w:r>
      <w:r w:rsidR="00CD439F">
        <w:t>«</w:t>
      </w:r>
      <w:r w:rsidRPr="00CD439F">
        <w:rPr>
          <w:rStyle w:val="kursiv"/>
        </w:rPr>
        <w:t xml:space="preserve">Commission </w:t>
      </w:r>
      <w:proofErr w:type="spellStart"/>
      <w:r w:rsidRPr="00CD439F">
        <w:rPr>
          <w:rStyle w:val="kursiv"/>
        </w:rPr>
        <w:t>of</w:t>
      </w:r>
      <w:proofErr w:type="spellEnd"/>
      <w:r w:rsidRPr="00CD439F">
        <w:rPr>
          <w:rStyle w:val="kursiv"/>
        </w:rPr>
        <w:t xml:space="preserve"> </w:t>
      </w:r>
      <w:proofErr w:type="spellStart"/>
      <w:r w:rsidRPr="00CD439F">
        <w:rPr>
          <w:rStyle w:val="kursiv"/>
        </w:rPr>
        <w:t>Inquiry</w:t>
      </w:r>
      <w:proofErr w:type="spellEnd"/>
      <w:r w:rsidR="00CD439F">
        <w:t>»</w:t>
      </w:r>
      <w:r w:rsidRPr="00853769">
        <w:t>). Kommisjonen innhenter uttalelser fra de involverte partene, jf. artikkel 26 (2) og (3), og utarbeider en rapport til ILOs styre med sine anbefalinger om hvilke tiltak som bør iverksettes for å imøtekomme klagen, og innenfor hvilke tidsrammer, jf. artikkel 28. Den videre gjennomføringen av kommisjon</w:t>
      </w:r>
      <w:r>
        <w:t>en</w:t>
      </w:r>
      <w:r w:rsidRPr="00853769">
        <w:t>s anbefalinger ligger til CEARC.</w:t>
      </w:r>
    </w:p>
    <w:p w14:paraId="0D68FE83" w14:textId="64D16036" w:rsidR="008F045D" w:rsidRDefault="008F045D" w:rsidP="008F045D">
      <w:r w:rsidRPr="00853769">
        <w:t xml:space="preserve">Det generelle folkerettslige prinsippet om </w:t>
      </w:r>
      <w:r w:rsidR="00CD439F">
        <w:t>«</w:t>
      </w:r>
      <w:proofErr w:type="spellStart"/>
      <w:r w:rsidRPr="00CD439F">
        <w:rPr>
          <w:rStyle w:val="kursiv"/>
        </w:rPr>
        <w:t>exhaustion</w:t>
      </w:r>
      <w:proofErr w:type="spellEnd"/>
      <w:r w:rsidRPr="00CD439F">
        <w:rPr>
          <w:rStyle w:val="kursiv"/>
        </w:rPr>
        <w:t xml:space="preserve"> </w:t>
      </w:r>
      <w:proofErr w:type="spellStart"/>
      <w:r w:rsidRPr="00CD439F">
        <w:rPr>
          <w:rStyle w:val="kursiv"/>
        </w:rPr>
        <w:t>of</w:t>
      </w:r>
      <w:proofErr w:type="spellEnd"/>
      <w:r w:rsidRPr="00CD439F">
        <w:rPr>
          <w:rStyle w:val="kursiv"/>
        </w:rPr>
        <w:t xml:space="preserve"> </w:t>
      </w:r>
      <w:proofErr w:type="spellStart"/>
      <w:r w:rsidRPr="00CD439F">
        <w:rPr>
          <w:rStyle w:val="kursiv"/>
        </w:rPr>
        <w:t>local</w:t>
      </w:r>
      <w:proofErr w:type="spellEnd"/>
      <w:r w:rsidRPr="00CD439F">
        <w:rPr>
          <w:rStyle w:val="kursiv"/>
        </w:rPr>
        <w:t xml:space="preserve"> remedies</w:t>
      </w:r>
      <w:r w:rsidR="00CD439F">
        <w:t>»</w:t>
      </w:r>
      <w:r w:rsidRPr="00853769">
        <w:t xml:space="preserve"> (at alle reelle muligheter til å få prøvd saken for nasjonale rettsinstanser må være uttømt før den kan </w:t>
      </w:r>
      <w:r w:rsidRPr="00853769">
        <w:lastRenderedPageBreak/>
        <w:t>bringes inn for internasjonale tvisteløsningsmekanismer), gjelder dermed ikke i disse tilfellene. Dette er en følge av at ILO-organene i disse sakene ikke avsier rettslig bindende avgjørelser.</w:t>
      </w:r>
    </w:p>
    <w:p w14:paraId="328DDCB9" w14:textId="24E6279C" w:rsidR="00303661" w:rsidRDefault="008F045D" w:rsidP="008F045D">
      <w:r w:rsidRPr="00853769">
        <w:t xml:space="preserve">ILO-konstitusjonens artikkel 26 åpner imidlertid for at den innklagede staten og den staten som er klager i saker som gjelder </w:t>
      </w:r>
      <w:r w:rsidR="00CD439F">
        <w:t>«</w:t>
      </w:r>
      <w:proofErr w:type="spellStart"/>
      <w:r w:rsidRPr="00853769">
        <w:t>complaints</w:t>
      </w:r>
      <w:proofErr w:type="spellEnd"/>
      <w:r w:rsidR="00CD439F">
        <w:t>»</w:t>
      </w:r>
      <w:r w:rsidRPr="00853769">
        <w:t xml:space="preserve"> kan bringe saken inn for </w:t>
      </w:r>
      <w:r>
        <w:t>D</w:t>
      </w:r>
      <w:r w:rsidRPr="00853769">
        <w:t>en internasjonale domstolen i Haag (ICJ), som etter konstitusjonens artikkel 29 (2) har avgjørelsesmyndighet. Videre fremgår det av artikkel 37 (1) i ILO-konstitusjonen at ICJ er det eneste internasjonale tvisteløsningsorganet som har myndighet til å avsi rettslig bindende avgjørelser i saker som gjelder tvister om tolkningen av bestemmelser i ILOs konvensjoner og anbefalinger.</w:t>
      </w:r>
    </w:p>
    <w:p w14:paraId="0C5264BB" w14:textId="506AF382" w:rsidR="00303661" w:rsidRDefault="008F045D" w:rsidP="008F045D">
      <w:r w:rsidRPr="00853769">
        <w:t xml:space="preserve">ILO konvensjon nr. 169 har i artikkel 12 en bestemmelse om at urfolk skal ha adgang til deres hjemstats nasjonale rettsapparat for å ivareta sine rettigheter. Denne bestemmelsen er forstått som en plikt for statene til å sikre personer tilhørende en urfolksgruppe </w:t>
      </w:r>
      <w:r w:rsidR="00CD439F">
        <w:t>«</w:t>
      </w:r>
      <w:proofErr w:type="spellStart"/>
      <w:r w:rsidRPr="00CD439F">
        <w:rPr>
          <w:rStyle w:val="kursiv"/>
        </w:rPr>
        <w:t>access</w:t>
      </w:r>
      <w:proofErr w:type="spellEnd"/>
      <w:r w:rsidRPr="00CD439F">
        <w:rPr>
          <w:rStyle w:val="kursiv"/>
        </w:rPr>
        <w:t xml:space="preserve"> to </w:t>
      </w:r>
      <w:proofErr w:type="spellStart"/>
      <w:r w:rsidRPr="00CD439F">
        <w:rPr>
          <w:rStyle w:val="kursiv"/>
        </w:rPr>
        <w:t>court</w:t>
      </w:r>
      <w:proofErr w:type="spellEnd"/>
      <w:r w:rsidR="00CD439F">
        <w:t>»</w:t>
      </w:r>
      <w:r w:rsidRPr="00853769">
        <w:t xml:space="preserve"> og med noenlunde samme innhold som EMK artikkel 6 (1) og 6 (3) bokstav e).</w:t>
      </w:r>
      <w:r w:rsidR="00CD439F" w:rsidRPr="00CD439F">
        <w:rPr>
          <w:rStyle w:val="Fotnotereferanse"/>
        </w:rPr>
        <w:footnoteReference w:id="95"/>
      </w:r>
    </w:p>
    <w:p w14:paraId="1ECB9EE0" w14:textId="57BABA33" w:rsidR="00303661" w:rsidRDefault="008F045D" w:rsidP="008F045D">
      <w:pPr>
        <w:rPr>
          <w:sz w:val="24"/>
          <w:szCs w:val="24"/>
        </w:rPr>
      </w:pPr>
      <w:r w:rsidRPr="00853769">
        <w:t>Artikkel 12 har imidlertid i norsk teori også vært forstått slik at den pålegger statene å godta at urfolk skal kunne gå til søksmål for nasjonale domstoler for å få prøvd om de</w:t>
      </w:r>
      <w:r>
        <w:t>t</w:t>
      </w:r>
      <w:r w:rsidRPr="00853769">
        <w:t xml:space="preserve"> foreligger brudd på de rettighetene de har etter ILO-konvensjon nr. 169.</w:t>
      </w:r>
      <w:r w:rsidR="00CD439F" w:rsidRPr="00CD439F">
        <w:rPr>
          <w:rStyle w:val="Fotnotereferanse"/>
        </w:rPr>
        <w:footnoteReference w:id="96"/>
      </w:r>
    </w:p>
    <w:p w14:paraId="11245CF3" w14:textId="4FEEFF79" w:rsidR="00980732" w:rsidRDefault="00980732" w:rsidP="00980732">
      <w:pPr>
        <w:pStyle w:val="Overskrift4"/>
      </w:pPr>
      <w:r>
        <w:t>Gjennomføring</w:t>
      </w:r>
    </w:p>
    <w:p w14:paraId="3C6B40F0" w14:textId="77777777" w:rsidR="00303661" w:rsidRDefault="00980732" w:rsidP="00980732">
      <w:pPr>
        <w:rPr>
          <w:lang w:val="en-GB"/>
        </w:rPr>
      </w:pPr>
      <w:r w:rsidRPr="00853769">
        <w:t xml:space="preserve">Det følger av konvensjonens artikkel 34 at gjennomføringen av konvensjonen i de respektive statene skal skje under hensyntagen til de særegne forholdene i hver stat. </w:t>
      </w:r>
      <w:proofErr w:type="spellStart"/>
      <w:r w:rsidRPr="00853769">
        <w:rPr>
          <w:lang w:val="en-GB"/>
        </w:rPr>
        <w:t>Bestemmelsen</w:t>
      </w:r>
      <w:proofErr w:type="spellEnd"/>
      <w:r w:rsidRPr="00853769">
        <w:rPr>
          <w:lang w:val="en-GB"/>
        </w:rPr>
        <w:t xml:space="preserve"> </w:t>
      </w:r>
      <w:proofErr w:type="spellStart"/>
      <w:r w:rsidRPr="00853769">
        <w:rPr>
          <w:lang w:val="en-GB"/>
        </w:rPr>
        <w:t>lyder</w:t>
      </w:r>
      <w:proofErr w:type="spellEnd"/>
      <w:r w:rsidRPr="00853769">
        <w:rPr>
          <w:lang w:val="en-GB"/>
        </w:rPr>
        <w:t>:</w:t>
      </w:r>
    </w:p>
    <w:p w14:paraId="5189435D" w14:textId="6B709CE8" w:rsidR="00980732" w:rsidRPr="00CD439F" w:rsidRDefault="00CD439F" w:rsidP="00393223">
      <w:pPr>
        <w:pStyle w:val="blokksit"/>
        <w:ind w:left="757"/>
        <w:rPr>
          <w:lang w:val="en-US"/>
        </w:rPr>
      </w:pPr>
      <w:r>
        <w:rPr>
          <w:lang w:val="en-US"/>
        </w:rPr>
        <w:t>«</w:t>
      </w:r>
      <w:r w:rsidR="00980732" w:rsidRPr="00CD439F">
        <w:rPr>
          <w:lang w:val="en-US"/>
        </w:rPr>
        <w:t>The nature and scope of the measures to be taken to give effect to this Convention shall be determined in a flexible manner, having regard to the conditions characteristics of each country.</w:t>
      </w:r>
      <w:r>
        <w:rPr>
          <w:lang w:val="en-US"/>
        </w:rPr>
        <w:t>»</w:t>
      </w:r>
    </w:p>
    <w:p w14:paraId="1795DE9E" w14:textId="39FE3588" w:rsidR="00303661" w:rsidRDefault="00980732" w:rsidP="00980732">
      <w:proofErr w:type="spellStart"/>
      <w:r w:rsidRPr="00693A45">
        <w:rPr>
          <w:lang w:val="en-US"/>
        </w:rPr>
        <w:t>Artikkel</w:t>
      </w:r>
      <w:proofErr w:type="spellEnd"/>
      <w:r w:rsidRPr="00693A45">
        <w:rPr>
          <w:lang w:val="en-US"/>
        </w:rPr>
        <w:t xml:space="preserve"> 34 </w:t>
      </w:r>
      <w:proofErr w:type="spellStart"/>
      <w:r w:rsidRPr="00693A45">
        <w:rPr>
          <w:lang w:val="en-US"/>
        </w:rPr>
        <w:t>må</w:t>
      </w:r>
      <w:proofErr w:type="spellEnd"/>
      <w:r w:rsidRPr="00693A45">
        <w:rPr>
          <w:lang w:val="en-US"/>
        </w:rPr>
        <w:t xml:space="preserve"> </w:t>
      </w:r>
      <w:proofErr w:type="spellStart"/>
      <w:r w:rsidRPr="00693A45">
        <w:rPr>
          <w:lang w:val="en-US"/>
        </w:rPr>
        <w:t>ses</w:t>
      </w:r>
      <w:proofErr w:type="spellEnd"/>
      <w:r w:rsidRPr="00693A45">
        <w:rPr>
          <w:lang w:val="en-US"/>
        </w:rPr>
        <w:t xml:space="preserve"> </w:t>
      </w:r>
      <w:proofErr w:type="spellStart"/>
      <w:r w:rsidRPr="00693A45">
        <w:rPr>
          <w:lang w:val="en-US"/>
        </w:rPr>
        <w:t>i</w:t>
      </w:r>
      <w:proofErr w:type="spellEnd"/>
      <w:r w:rsidRPr="00693A45">
        <w:rPr>
          <w:lang w:val="en-US"/>
        </w:rPr>
        <w:t xml:space="preserve"> </w:t>
      </w:r>
      <w:proofErr w:type="spellStart"/>
      <w:r w:rsidRPr="00693A45">
        <w:rPr>
          <w:lang w:val="en-US"/>
        </w:rPr>
        <w:t>lys</w:t>
      </w:r>
      <w:proofErr w:type="spellEnd"/>
      <w:r w:rsidRPr="00693A45">
        <w:rPr>
          <w:lang w:val="en-US"/>
        </w:rPr>
        <w:t xml:space="preserve"> av at </w:t>
      </w:r>
      <w:proofErr w:type="spellStart"/>
      <w:r w:rsidRPr="00693A45">
        <w:rPr>
          <w:lang w:val="en-US"/>
        </w:rPr>
        <w:t>konvensjonen</w:t>
      </w:r>
      <w:proofErr w:type="spellEnd"/>
      <w:r w:rsidRPr="00693A45">
        <w:rPr>
          <w:lang w:val="en-US"/>
        </w:rPr>
        <w:t xml:space="preserve"> er </w:t>
      </w:r>
      <w:proofErr w:type="spellStart"/>
      <w:r w:rsidRPr="00693A45">
        <w:rPr>
          <w:lang w:val="en-US"/>
        </w:rPr>
        <w:t>ment</w:t>
      </w:r>
      <w:proofErr w:type="spellEnd"/>
      <w:r w:rsidRPr="00693A45">
        <w:rPr>
          <w:lang w:val="en-US"/>
        </w:rPr>
        <w:t xml:space="preserve"> å </w:t>
      </w:r>
      <w:proofErr w:type="spellStart"/>
      <w:r w:rsidRPr="00693A45">
        <w:rPr>
          <w:lang w:val="en-US"/>
        </w:rPr>
        <w:t>skulle</w:t>
      </w:r>
      <w:proofErr w:type="spellEnd"/>
      <w:r w:rsidRPr="00693A45">
        <w:rPr>
          <w:lang w:val="en-US"/>
        </w:rPr>
        <w:t xml:space="preserve"> </w:t>
      </w:r>
      <w:proofErr w:type="spellStart"/>
      <w:r w:rsidRPr="00693A45">
        <w:rPr>
          <w:lang w:val="en-US"/>
        </w:rPr>
        <w:t>gjelde</w:t>
      </w:r>
      <w:proofErr w:type="spellEnd"/>
      <w:r w:rsidRPr="00693A45">
        <w:rPr>
          <w:lang w:val="en-US"/>
        </w:rPr>
        <w:t xml:space="preserve"> for alle land </w:t>
      </w:r>
      <w:proofErr w:type="spellStart"/>
      <w:r w:rsidRPr="00693A45">
        <w:rPr>
          <w:lang w:val="en-US"/>
        </w:rPr>
        <w:t>i</w:t>
      </w:r>
      <w:proofErr w:type="spellEnd"/>
      <w:r w:rsidRPr="00693A45">
        <w:rPr>
          <w:lang w:val="en-US"/>
        </w:rPr>
        <w:t xml:space="preserve"> </w:t>
      </w:r>
      <w:proofErr w:type="spellStart"/>
      <w:r w:rsidRPr="00693A45">
        <w:rPr>
          <w:lang w:val="en-US"/>
        </w:rPr>
        <w:t>verden</w:t>
      </w:r>
      <w:proofErr w:type="spellEnd"/>
      <w:r w:rsidRPr="00693A45">
        <w:rPr>
          <w:lang w:val="en-US"/>
        </w:rPr>
        <w:t xml:space="preserve"> </w:t>
      </w:r>
      <w:proofErr w:type="spellStart"/>
      <w:r w:rsidRPr="00693A45">
        <w:rPr>
          <w:lang w:val="en-US"/>
        </w:rPr>
        <w:t>som</w:t>
      </w:r>
      <w:proofErr w:type="spellEnd"/>
      <w:r w:rsidRPr="00693A45">
        <w:rPr>
          <w:lang w:val="en-US"/>
        </w:rPr>
        <w:t xml:space="preserve"> </w:t>
      </w:r>
      <w:proofErr w:type="spellStart"/>
      <w:r w:rsidRPr="00693A45">
        <w:rPr>
          <w:lang w:val="en-US"/>
        </w:rPr>
        <w:t>har</w:t>
      </w:r>
      <w:proofErr w:type="spellEnd"/>
      <w:r w:rsidRPr="00693A45">
        <w:rPr>
          <w:lang w:val="en-US"/>
        </w:rPr>
        <w:t xml:space="preserve"> </w:t>
      </w:r>
      <w:proofErr w:type="spellStart"/>
      <w:r w:rsidRPr="00693A45">
        <w:rPr>
          <w:lang w:val="en-US"/>
        </w:rPr>
        <w:t>urfolk</w:t>
      </w:r>
      <w:proofErr w:type="spellEnd"/>
      <w:r w:rsidRPr="00693A45">
        <w:rPr>
          <w:lang w:val="en-US"/>
        </w:rPr>
        <w:t xml:space="preserve"> </w:t>
      </w:r>
      <w:proofErr w:type="spellStart"/>
      <w:r w:rsidRPr="00693A45">
        <w:rPr>
          <w:lang w:val="en-US"/>
        </w:rPr>
        <w:t>innenfor</w:t>
      </w:r>
      <w:proofErr w:type="spellEnd"/>
      <w:r w:rsidRPr="00693A45">
        <w:rPr>
          <w:lang w:val="en-US"/>
        </w:rPr>
        <w:t xml:space="preserve"> sine </w:t>
      </w:r>
      <w:proofErr w:type="spellStart"/>
      <w:r w:rsidRPr="00693A45">
        <w:rPr>
          <w:lang w:val="en-US"/>
        </w:rPr>
        <w:t>grenser</w:t>
      </w:r>
      <w:proofErr w:type="spellEnd"/>
      <w:r w:rsidRPr="00693A45">
        <w:rPr>
          <w:lang w:val="en-US"/>
        </w:rPr>
        <w:t xml:space="preserve">. </w:t>
      </w:r>
      <w:r w:rsidRPr="00853769">
        <w:t xml:space="preserve">Den åpner derfor for en viss fleksibilitet når det gjelder hvordan statene gjennomfører de tiltakene konvensjonen pålegger. Dette er naturlig fordi det er store faktiske forskjeller mellom de statene som har urfolk innenfor sine grenser, slik at konvensjonen vanskelig kan angi presist hvordan løsningene bør </w:t>
      </w:r>
      <w:r w:rsidRPr="00853769">
        <w:lastRenderedPageBreak/>
        <w:t>være i de ulike statene, ut over å angi visse ytre rammer som statene må holde seg innenfor.</w:t>
      </w:r>
      <w:r w:rsidR="00CD439F" w:rsidRPr="00CD439F">
        <w:rPr>
          <w:rStyle w:val="Fotnotereferanse"/>
        </w:rPr>
        <w:footnoteReference w:id="97"/>
      </w:r>
    </w:p>
    <w:p w14:paraId="29CC0A53" w14:textId="78E02B9F" w:rsidR="00303661" w:rsidRDefault="00980732" w:rsidP="00980732">
      <w:r w:rsidRPr="00853769">
        <w:t>Det må ut fra dette legges til grunn at statene etter artikkel 34 har et visst spillerom – eller skjønnsmargin – med hensyn til hvilke tiltak de anser som hensiktsmessige for å møte konvensjonens krav. Spillerommet vil imidlertid ikke gi grunnlag for innskrenkende fortolkninger som undergraver konvensjonens rettigheter. Dette er understreket i en tolkningsuttalelse som International Labour Office avga i 2001 etter en forespørsel fra Sveits angående tolkningen av artikkel 14:</w:t>
      </w:r>
      <w:r w:rsidR="00CD439F" w:rsidRPr="00CD439F">
        <w:rPr>
          <w:rStyle w:val="Fotnotereferanse"/>
        </w:rPr>
        <w:footnoteReference w:id="98"/>
      </w:r>
    </w:p>
    <w:p w14:paraId="19DDDDDB" w14:textId="6AB137F3" w:rsidR="00980732" w:rsidRPr="00CD439F" w:rsidRDefault="00CD439F" w:rsidP="00393223">
      <w:pPr>
        <w:pStyle w:val="blokksit"/>
        <w:ind w:left="757"/>
        <w:rPr>
          <w:lang w:val="en-US"/>
        </w:rPr>
      </w:pPr>
      <w:r>
        <w:rPr>
          <w:lang w:val="en-US"/>
        </w:rPr>
        <w:t>«</w:t>
      </w:r>
      <w:r w:rsidR="00980732" w:rsidRPr="00CD439F">
        <w:rPr>
          <w:lang w:val="en-US"/>
        </w:rPr>
        <w:t xml:space="preserve">Article 34 stipulates that the nature and scope of such measures </w:t>
      </w:r>
      <w:r>
        <w:rPr>
          <w:lang w:val="en-US"/>
        </w:rPr>
        <w:t>«</w:t>
      </w:r>
      <w:r w:rsidR="00980732" w:rsidRPr="00CD439F">
        <w:rPr>
          <w:lang w:val="en-US"/>
        </w:rPr>
        <w:t>shall be determined in a flexible manner, having regard to the conditions characteristic of each country</w:t>
      </w:r>
      <w:r>
        <w:rPr>
          <w:lang w:val="en-US"/>
        </w:rPr>
        <w:t>»</w:t>
      </w:r>
      <w:r w:rsidR="00980732" w:rsidRPr="00CD439F">
        <w:rPr>
          <w:lang w:val="en-US"/>
        </w:rPr>
        <w:t>. Leeway in terms of implementation does not, however, release a Member party to the Convention from its obligation under Article 14.</w:t>
      </w:r>
      <w:r>
        <w:rPr>
          <w:lang w:val="en-US"/>
        </w:rPr>
        <w:t>»</w:t>
      </w:r>
    </w:p>
    <w:p w14:paraId="1B646843" w14:textId="77777777" w:rsidR="00303661" w:rsidRDefault="00980732" w:rsidP="00980732">
      <w:r w:rsidRPr="00853769">
        <w:t>En stat vil dermed ikke med henvisning til artikkel 34 kunne anføre at den for eksempel ikke er bundet av konvensjonens artikkel 6 om konsultasjoner fordi det vil være praktisk vanskelig å gjennomføre annen saksbehandling dersom det også skal konsulteres med urfolket.</w:t>
      </w:r>
    </w:p>
    <w:p w14:paraId="10CF09EC" w14:textId="77777777" w:rsidR="00303661" w:rsidRDefault="00980732" w:rsidP="00980732">
      <w:pPr>
        <w:pStyle w:val="Overskrift3"/>
      </w:pPr>
      <w:bookmarkStart w:id="26" w:name="_Toc223433089"/>
      <w:r>
        <w:t>Konsultasjoner og deltakelse i beslutningsprosesser – oversikt</w:t>
      </w:r>
      <w:bookmarkEnd w:id="26"/>
    </w:p>
    <w:p w14:paraId="645D8398" w14:textId="77777777" w:rsidR="00303661" w:rsidRDefault="00BE5AFA" w:rsidP="00BE5AFA">
      <w:r w:rsidRPr="00853769">
        <w:t xml:space="preserve">ILO-konvensjonen nr. 169 har flere bestemmelser om konsultasjoner med urfolk og deres rett til å delta </w:t>
      </w:r>
      <w:r>
        <w:t xml:space="preserve">i </w:t>
      </w:r>
      <w:r w:rsidRPr="00853769">
        <w:t>beslutningsprosesser i saker som angår dem, men de viktigste er artikkel 6, 7 og 15.</w:t>
      </w:r>
    </w:p>
    <w:p w14:paraId="5703525C" w14:textId="77777777" w:rsidR="00303661" w:rsidRDefault="00BE5AFA" w:rsidP="00BE5AFA">
      <w:pPr>
        <w:rPr>
          <w:sz w:val="24"/>
          <w:szCs w:val="24"/>
        </w:rPr>
      </w:pPr>
      <w:r w:rsidRPr="00853769">
        <w:t>Artikkel 6 gir en generell regulering av statenes plikt til å konsultere urfolksgrupper som blir direkte berørt av statlige tiltak. Artikkel 7 har regler om urfolks rett til deltakelse i beslutningsprosessene. Artikkel 15 har blant annet regler om urfolks rett til å delta i bruk og forvaltning av naturressursene i deres tradisjonelle bruksområder, og kan til en viss grad anses som en spesialregulering av de generelle prinsippene som er nedfelt i artikkel 6 og 7.</w:t>
      </w:r>
    </w:p>
    <w:p w14:paraId="5B99EF52" w14:textId="77777777" w:rsidR="00303661" w:rsidRDefault="008D16DC" w:rsidP="008D16DC">
      <w:pPr>
        <w:pStyle w:val="Overskrift4"/>
      </w:pPr>
      <w:r>
        <w:t>Artikkel 6 – konsultasjoner</w:t>
      </w:r>
    </w:p>
    <w:p w14:paraId="55177B3B" w14:textId="357B708F" w:rsidR="00A62A1B" w:rsidRDefault="00A62A1B" w:rsidP="00A62A1B">
      <w:r w:rsidRPr="00853769">
        <w:t>Det naturlige startpunktet for en redegjørelse av innholdet i disse bestemmelsene er artikkel 6 som har følgende ordlyd:</w:t>
      </w:r>
    </w:p>
    <w:p w14:paraId="19EEB6CA" w14:textId="7254F678" w:rsidR="00A62A1B" w:rsidRPr="00CD439F" w:rsidRDefault="00CD439F" w:rsidP="00393223">
      <w:pPr>
        <w:pStyle w:val="blokksit"/>
        <w:ind w:left="757"/>
        <w:rPr>
          <w:lang w:val="en-US"/>
        </w:rPr>
      </w:pPr>
      <w:r>
        <w:rPr>
          <w:lang w:val="en-US"/>
        </w:rPr>
        <w:t>«</w:t>
      </w:r>
      <w:r w:rsidR="00A62A1B" w:rsidRPr="00CD439F">
        <w:rPr>
          <w:lang w:val="en-US"/>
        </w:rPr>
        <w:t>1. In applying the provisions of this Convention, governments shall:</w:t>
      </w:r>
    </w:p>
    <w:p w14:paraId="75E72C6F" w14:textId="77777777" w:rsidR="00A62A1B" w:rsidRPr="00CD439F" w:rsidRDefault="00A62A1B" w:rsidP="00393223">
      <w:pPr>
        <w:pStyle w:val="blokksit"/>
        <w:ind w:left="757"/>
        <w:rPr>
          <w:lang w:val="en-US"/>
        </w:rPr>
      </w:pPr>
      <w:r w:rsidRPr="00CD439F">
        <w:rPr>
          <w:lang w:val="en-US"/>
        </w:rPr>
        <w:lastRenderedPageBreak/>
        <w:t>a. consult the peoples concerned, through appropriate procedures and in particular through their representative institutions, whenever consideration is being given to legislative or administrative measures which may affect them directly;</w:t>
      </w:r>
    </w:p>
    <w:p w14:paraId="40A0A259" w14:textId="77777777" w:rsidR="00A62A1B" w:rsidRPr="00CD439F" w:rsidRDefault="00A62A1B" w:rsidP="00393223">
      <w:pPr>
        <w:pStyle w:val="blokksit"/>
        <w:ind w:left="757"/>
        <w:rPr>
          <w:lang w:val="en-US"/>
        </w:rPr>
      </w:pPr>
      <w:r w:rsidRPr="00CD439F">
        <w:rPr>
          <w:lang w:val="en-US"/>
        </w:rPr>
        <w:t xml:space="preserve">b. establish means by which these peoples can freely participate, to at least the same extent as other sectors of the population, at all levels of decision-making in elective institutions and administrative and other bodies responsible for policies and </w:t>
      </w:r>
      <w:proofErr w:type="spellStart"/>
      <w:r w:rsidRPr="00CD439F">
        <w:rPr>
          <w:lang w:val="en-US"/>
        </w:rPr>
        <w:t>programmes</w:t>
      </w:r>
      <w:proofErr w:type="spellEnd"/>
      <w:r w:rsidRPr="00CD439F">
        <w:rPr>
          <w:lang w:val="en-US"/>
        </w:rPr>
        <w:t xml:space="preserve"> which concern them;</w:t>
      </w:r>
    </w:p>
    <w:p w14:paraId="6D810C44" w14:textId="1BEC42AD" w:rsidR="00A62A1B" w:rsidRPr="00CD439F" w:rsidRDefault="00A62A1B" w:rsidP="00393223">
      <w:pPr>
        <w:pStyle w:val="blokksit"/>
        <w:ind w:left="757"/>
        <w:rPr>
          <w:lang w:val="en-US"/>
        </w:rPr>
      </w:pPr>
      <w:r w:rsidRPr="00CD439F">
        <w:rPr>
          <w:lang w:val="en-US"/>
        </w:rPr>
        <w:t>c. establish means for the full development of these peoples</w:t>
      </w:r>
      <w:r w:rsidR="00CD439F">
        <w:rPr>
          <w:lang w:val="en-US"/>
        </w:rPr>
        <w:t>’</w:t>
      </w:r>
      <w:r w:rsidRPr="00CD439F">
        <w:rPr>
          <w:lang w:val="en-US"/>
        </w:rPr>
        <w:t xml:space="preserve"> own institutions and initiatives, and in appropriate cases provide the resources necessary for this purpose.</w:t>
      </w:r>
    </w:p>
    <w:p w14:paraId="0AC0880A" w14:textId="15F664F6" w:rsidR="00A62A1B" w:rsidRPr="00CD439F" w:rsidRDefault="00A62A1B" w:rsidP="00393223">
      <w:pPr>
        <w:pStyle w:val="blokksit"/>
        <w:ind w:left="757"/>
        <w:rPr>
          <w:lang w:val="en-US"/>
        </w:rPr>
      </w:pPr>
      <w:r w:rsidRPr="00CD439F">
        <w:rPr>
          <w:lang w:val="en-US"/>
        </w:rPr>
        <w:t>2. The consultations carried out in application of this Convention shall be undertaken, in good faith and in a form appropriate to the circumstances, with the objective of achieving agreement or consent to the proposed measures.</w:t>
      </w:r>
      <w:r w:rsidR="00CD439F">
        <w:rPr>
          <w:lang w:val="en-US"/>
        </w:rPr>
        <w:t>»</w:t>
      </w:r>
    </w:p>
    <w:p w14:paraId="12497ED5" w14:textId="34D095AD" w:rsidR="00303661" w:rsidRDefault="00A62A1B" w:rsidP="00A62A1B">
      <w:r w:rsidRPr="00853769">
        <w:rPr>
          <w:rFonts w:cs="Times New Roman"/>
        </w:rPr>
        <w:t>ILO har ved en rekke anledninger, både i klagesaker (</w:t>
      </w:r>
      <w:r w:rsidR="00CD439F">
        <w:rPr>
          <w:rFonts w:cs="Times New Roman"/>
        </w:rPr>
        <w:t>«</w:t>
      </w:r>
      <w:proofErr w:type="spellStart"/>
      <w:r w:rsidRPr="00CD439F">
        <w:rPr>
          <w:rStyle w:val="kursiv"/>
        </w:rPr>
        <w:t>representations</w:t>
      </w:r>
      <w:proofErr w:type="spellEnd"/>
      <w:r w:rsidR="00CD439F">
        <w:rPr>
          <w:rFonts w:cs="Times New Roman"/>
        </w:rPr>
        <w:t>»</w:t>
      </w:r>
      <w:r w:rsidRPr="00853769">
        <w:rPr>
          <w:rFonts w:cs="Times New Roman"/>
        </w:rPr>
        <w:t>), direkte henvendelser til statene (</w:t>
      </w:r>
      <w:r w:rsidR="00CD439F">
        <w:rPr>
          <w:rFonts w:cs="Times New Roman"/>
        </w:rPr>
        <w:t>«</w:t>
      </w:r>
      <w:proofErr w:type="spellStart"/>
      <w:r w:rsidRPr="00CD439F">
        <w:rPr>
          <w:rStyle w:val="kursiv"/>
        </w:rPr>
        <w:t>Individual</w:t>
      </w:r>
      <w:proofErr w:type="spellEnd"/>
      <w:r w:rsidRPr="00CD439F">
        <w:rPr>
          <w:rStyle w:val="kursiv"/>
        </w:rPr>
        <w:t xml:space="preserve"> Direct </w:t>
      </w:r>
      <w:proofErr w:type="spellStart"/>
      <w:r w:rsidRPr="00CD439F">
        <w:rPr>
          <w:rStyle w:val="kursiv"/>
        </w:rPr>
        <w:t>Requests</w:t>
      </w:r>
      <w:proofErr w:type="spellEnd"/>
      <w:r w:rsidR="00CD439F">
        <w:rPr>
          <w:rFonts w:cs="Times New Roman"/>
        </w:rPr>
        <w:t>»</w:t>
      </w:r>
      <w:r w:rsidRPr="00853769">
        <w:rPr>
          <w:rFonts w:cs="Times New Roman"/>
        </w:rPr>
        <w:t>), observasjonsuttalelser (</w:t>
      </w:r>
      <w:r w:rsidR="00CD439F">
        <w:rPr>
          <w:rFonts w:cs="Times New Roman"/>
        </w:rPr>
        <w:t>«</w:t>
      </w:r>
      <w:proofErr w:type="spellStart"/>
      <w:r w:rsidRPr="00CD439F">
        <w:rPr>
          <w:rStyle w:val="kursiv"/>
        </w:rPr>
        <w:t>Individual</w:t>
      </w:r>
      <w:proofErr w:type="spellEnd"/>
      <w:r w:rsidRPr="00CD439F">
        <w:rPr>
          <w:rStyle w:val="kursiv"/>
        </w:rPr>
        <w:t xml:space="preserve"> </w:t>
      </w:r>
      <w:proofErr w:type="spellStart"/>
      <w:r w:rsidRPr="00CD439F">
        <w:rPr>
          <w:rStyle w:val="kursiv"/>
        </w:rPr>
        <w:t>Observations</w:t>
      </w:r>
      <w:proofErr w:type="spellEnd"/>
      <w:r w:rsidR="00CD439F">
        <w:rPr>
          <w:rFonts w:cs="Times New Roman"/>
        </w:rPr>
        <w:t>»</w:t>
      </w:r>
      <w:r w:rsidRPr="00853769">
        <w:rPr>
          <w:rFonts w:cs="Times New Roman"/>
        </w:rPr>
        <w:t xml:space="preserve">) og i ILOs </w:t>
      </w:r>
      <w:r w:rsidR="00CD439F">
        <w:rPr>
          <w:rFonts w:cs="Times New Roman"/>
        </w:rPr>
        <w:t>«</w:t>
      </w:r>
      <w:r w:rsidRPr="00853769">
        <w:rPr>
          <w:rFonts w:cs="Times New Roman"/>
        </w:rPr>
        <w:t>Manual</w:t>
      </w:r>
      <w:r w:rsidR="00CD439F">
        <w:rPr>
          <w:rFonts w:cs="Times New Roman"/>
        </w:rPr>
        <w:t>»</w:t>
      </w:r>
      <w:r w:rsidRPr="00853769">
        <w:rPr>
          <w:rFonts w:cs="Times New Roman"/>
        </w:rPr>
        <w:t xml:space="preserve"> til konvensjon nr. 169 fra 2003, fremhevet artikkel 6 som konvensjonens viktigste bestemmelse. I en sak mot Ecuador fra 2000 uttaler for eksempel den </w:t>
      </w:r>
      <w:proofErr w:type="spellStart"/>
      <w:r w:rsidRPr="00853769">
        <w:rPr>
          <w:rFonts w:cs="Times New Roman"/>
        </w:rPr>
        <w:t>trepartskomiteen</w:t>
      </w:r>
      <w:proofErr w:type="spellEnd"/>
      <w:r w:rsidRPr="00853769">
        <w:rPr>
          <w:rFonts w:cs="Times New Roman"/>
        </w:rPr>
        <w:t xml:space="preserve"> som ILOs styre nedsatte for å undersøke saken:</w:t>
      </w:r>
      <w:r w:rsidR="00CD439F" w:rsidRPr="00CD439F">
        <w:rPr>
          <w:rStyle w:val="Fotnotereferanse"/>
        </w:rPr>
        <w:footnoteReference w:id="99"/>
      </w:r>
    </w:p>
    <w:p w14:paraId="3CC9F7EA" w14:textId="419629AB" w:rsidR="00A62A1B" w:rsidRPr="00CD439F" w:rsidRDefault="00CD439F" w:rsidP="00393223">
      <w:pPr>
        <w:pStyle w:val="blokksit"/>
        <w:ind w:left="757"/>
        <w:rPr>
          <w:lang w:val="en-US"/>
        </w:rPr>
      </w:pPr>
      <w:r>
        <w:rPr>
          <w:lang w:val="en-US"/>
        </w:rPr>
        <w:t>«</w:t>
      </w:r>
      <w:r w:rsidR="00A62A1B" w:rsidRPr="00CD439F">
        <w:rPr>
          <w:lang w:val="en-US"/>
        </w:rPr>
        <w:t>The Committee considers that the spirit of consultations and participation constitutes the cornerstone of Convention No. 169 on which all its provisions are based. Article 6 (1) establishes the obligation for the States that ratify the Convention to consult the indigenous peoples of their territory.</w:t>
      </w:r>
      <w:r>
        <w:rPr>
          <w:lang w:val="en-US"/>
        </w:rPr>
        <w:t>»</w:t>
      </w:r>
    </w:p>
    <w:p w14:paraId="3CFACFEA" w14:textId="77777777" w:rsidR="00303661" w:rsidRDefault="00A62A1B" w:rsidP="00A62A1B">
      <w:r w:rsidRPr="00853769">
        <w:t>Når det gjelder det nærmere innholdet i og rekkevidden av konsultasjonsplikten, har særlig artikkel 6 (1) bokstav a) og artikkel 6 (2) interesse. Artikkel 6 (1) bokstav b) og c) pålegger statene å etablere ulike virkemidler for å legge til rette for i beslutningsprosessene, men sier ikke så mye konkret om konsultasjonspliktens innhold og rekkevidde.</w:t>
      </w:r>
    </w:p>
    <w:p w14:paraId="502BFFDE" w14:textId="471E213A" w:rsidR="00A62A1B" w:rsidRPr="00693A45" w:rsidRDefault="00CD439F" w:rsidP="00A62A1B">
      <w:pPr>
        <w:pStyle w:val="Overskrift5"/>
        <w:rPr>
          <w:lang w:val="en-US"/>
        </w:rPr>
      </w:pPr>
      <w:r>
        <w:rPr>
          <w:lang w:val="en-US"/>
        </w:rPr>
        <w:t>«</w:t>
      </w:r>
      <w:r w:rsidR="0004687F" w:rsidRPr="00693A45">
        <w:rPr>
          <w:lang w:val="en-US"/>
        </w:rPr>
        <w:t>Legislative or administrative measures which may affect them directly</w:t>
      </w:r>
      <w:r>
        <w:rPr>
          <w:lang w:val="en-US"/>
        </w:rPr>
        <w:t>»</w:t>
      </w:r>
    </w:p>
    <w:p w14:paraId="16F98985" w14:textId="545C173C" w:rsidR="00303661" w:rsidRDefault="0004687F" w:rsidP="0004687F">
      <w:r w:rsidRPr="00853769">
        <w:t>Etter ordlyden i artikkel 6 (1) er konsultasjonsplikten knyttet til anvendelsen av konvensjonen (</w:t>
      </w:r>
      <w:r w:rsidR="00CD439F">
        <w:t>«</w:t>
      </w:r>
      <w:r w:rsidRPr="00CD439F">
        <w:rPr>
          <w:rStyle w:val="kursiv"/>
        </w:rPr>
        <w:t xml:space="preserve">applying </w:t>
      </w:r>
      <w:proofErr w:type="spellStart"/>
      <w:r w:rsidRPr="00CD439F">
        <w:rPr>
          <w:rStyle w:val="kursiv"/>
        </w:rPr>
        <w:t>the</w:t>
      </w:r>
      <w:proofErr w:type="spellEnd"/>
      <w:r w:rsidRPr="00CD439F">
        <w:rPr>
          <w:rStyle w:val="kursiv"/>
        </w:rPr>
        <w:t xml:space="preserve"> </w:t>
      </w:r>
      <w:proofErr w:type="spellStart"/>
      <w:r w:rsidRPr="00CD439F">
        <w:rPr>
          <w:rStyle w:val="kursiv"/>
        </w:rPr>
        <w:t>provisions</w:t>
      </w:r>
      <w:proofErr w:type="spellEnd"/>
      <w:r w:rsidRPr="00CD439F">
        <w:rPr>
          <w:rStyle w:val="kursiv"/>
        </w:rPr>
        <w:t xml:space="preserve"> </w:t>
      </w:r>
      <w:proofErr w:type="spellStart"/>
      <w:r w:rsidRPr="00CD439F">
        <w:rPr>
          <w:rStyle w:val="kursiv"/>
        </w:rPr>
        <w:t>of</w:t>
      </w:r>
      <w:proofErr w:type="spellEnd"/>
      <w:r w:rsidRPr="00CD439F">
        <w:rPr>
          <w:rStyle w:val="kursiv"/>
        </w:rPr>
        <w:t xml:space="preserve"> </w:t>
      </w:r>
      <w:proofErr w:type="spellStart"/>
      <w:r w:rsidRPr="00CD439F">
        <w:rPr>
          <w:rStyle w:val="kursiv"/>
        </w:rPr>
        <w:t>this</w:t>
      </w:r>
      <w:proofErr w:type="spellEnd"/>
      <w:r w:rsidRPr="00CD439F">
        <w:rPr>
          <w:rStyle w:val="kursiv"/>
        </w:rPr>
        <w:t xml:space="preserve"> Convention</w:t>
      </w:r>
      <w:r w:rsidR="00CD439F">
        <w:t>»</w:t>
      </w:r>
      <w:r w:rsidRPr="00853769">
        <w:t xml:space="preserve">). Lest isolert tilsier dette at plikten bare gjelder for statens anvendelse av konvensjonens bestemmelser. Bestemmelsen har imidlertid ikke blitt forstått slik i praksis. Plikten til å konsultere </w:t>
      </w:r>
      <w:r w:rsidRPr="00853769">
        <w:lastRenderedPageBreak/>
        <w:t>inntrer også når en stat vurderer å iverksette tiltak som ikke direkte gjelder anvendelsen av konvensjonens bestemmelser, men som har direkte betydning for vedkommende urfolksgruppe (</w:t>
      </w:r>
      <w:r w:rsidR="00CD439F">
        <w:t>«</w:t>
      </w:r>
      <w:proofErr w:type="spellStart"/>
      <w:r w:rsidRPr="00CD439F">
        <w:rPr>
          <w:rStyle w:val="kursiv"/>
        </w:rPr>
        <w:t>may</w:t>
      </w:r>
      <w:proofErr w:type="spellEnd"/>
      <w:r w:rsidRPr="00CD439F">
        <w:rPr>
          <w:rStyle w:val="kursiv"/>
        </w:rPr>
        <w:t xml:space="preserve"> </w:t>
      </w:r>
      <w:proofErr w:type="spellStart"/>
      <w:r w:rsidRPr="00CD439F">
        <w:rPr>
          <w:rStyle w:val="kursiv"/>
        </w:rPr>
        <w:t>affect</w:t>
      </w:r>
      <w:proofErr w:type="spellEnd"/>
      <w:r w:rsidRPr="00CD439F">
        <w:rPr>
          <w:rStyle w:val="kursiv"/>
        </w:rPr>
        <w:t xml:space="preserve"> </w:t>
      </w:r>
      <w:proofErr w:type="spellStart"/>
      <w:r w:rsidRPr="00CD439F">
        <w:rPr>
          <w:rStyle w:val="kursiv"/>
        </w:rPr>
        <w:t>them</w:t>
      </w:r>
      <w:proofErr w:type="spellEnd"/>
      <w:r w:rsidRPr="00CD439F">
        <w:rPr>
          <w:rStyle w:val="kursiv"/>
        </w:rPr>
        <w:t xml:space="preserve"> </w:t>
      </w:r>
      <w:proofErr w:type="spellStart"/>
      <w:r w:rsidRPr="00CD439F">
        <w:rPr>
          <w:rStyle w:val="kursiv"/>
        </w:rPr>
        <w:t>directly</w:t>
      </w:r>
      <w:proofErr w:type="spellEnd"/>
      <w:r w:rsidR="00CD439F">
        <w:t>»</w:t>
      </w:r>
      <w:r w:rsidRPr="00853769">
        <w:t>).</w:t>
      </w:r>
      <w:r w:rsidR="00CD439F" w:rsidRPr="00CD439F">
        <w:rPr>
          <w:rStyle w:val="Fotnotereferanse"/>
        </w:rPr>
        <w:footnoteReference w:id="100"/>
      </w:r>
    </w:p>
    <w:p w14:paraId="232AEF54" w14:textId="7D072A95" w:rsidR="0004687F" w:rsidRDefault="0004687F" w:rsidP="0004687F">
      <w:r w:rsidRPr="00853769">
        <w:t xml:space="preserve">Konsultasjonsplikten inntrer ikke bare ved utarbeidelsen av </w:t>
      </w:r>
      <w:r w:rsidRPr="00CD439F">
        <w:rPr>
          <w:rStyle w:val="kursiv"/>
        </w:rPr>
        <w:t>lover</w:t>
      </w:r>
      <w:r w:rsidRPr="00853769">
        <w:t xml:space="preserve"> og </w:t>
      </w:r>
      <w:r w:rsidRPr="00CD439F">
        <w:rPr>
          <w:rStyle w:val="kursiv"/>
        </w:rPr>
        <w:t>forskrifter</w:t>
      </w:r>
      <w:r w:rsidRPr="00853769">
        <w:t xml:space="preserve">, men også ved </w:t>
      </w:r>
      <w:r w:rsidRPr="00CD439F">
        <w:rPr>
          <w:rStyle w:val="kursiv"/>
        </w:rPr>
        <w:t>enkeltvedtak</w:t>
      </w:r>
      <w:r w:rsidRPr="00853769">
        <w:t xml:space="preserve"> og ved </w:t>
      </w:r>
      <w:r w:rsidRPr="00CD439F">
        <w:rPr>
          <w:rStyle w:val="kursiv"/>
        </w:rPr>
        <w:t xml:space="preserve">beslutninger </w:t>
      </w:r>
      <w:r w:rsidRPr="00853769">
        <w:t>der tillatelse i form av enkeltvedtak ikke er nødvendig (for eksempel beslutninger i Stortinget om å etablere et skytefelt for forsvaret). Forutsetningen for at konsultasjonsplikten skal inntre, er imidlertid at det må dreie seg om lover, forskrifter, enkeltvedtak eller beslutninger som kan få direkte betydning for vedkommende urfolksgruppe.</w:t>
      </w:r>
    </w:p>
    <w:p w14:paraId="24DDC6AE" w14:textId="5000EB85" w:rsidR="0004687F" w:rsidRDefault="0004687F" w:rsidP="0004687F">
      <w:r w:rsidRPr="00853769">
        <w:t xml:space="preserve">Av særlig interesse i nærværende sammenheng er det at Direktoratet for naturforvaltning i sin høringsuttalelse til forslaget i NOU 2007: 13 om å lovfeste statens konsultasjonsforpliktelser i en særskilt saksbehandlings- og </w:t>
      </w:r>
      <w:proofErr w:type="spellStart"/>
      <w:r w:rsidRPr="00853769">
        <w:t>konsultasjonslov</w:t>
      </w:r>
      <w:proofErr w:type="spellEnd"/>
      <w:r w:rsidRPr="00853769">
        <w:t>, antok at vedtak i medhold av rovviltforskriften ville være omfattet av lovforslaget. Direktoratet fremholdt også at det i rovviltsakene er særlig viktig at vedtak treffes raskt og iverksettes umiddelbart, og at det derfor kunne være nødvendig å gjøre unntak fra noen av de foreslåtte bestemmelsene.</w:t>
      </w:r>
      <w:r w:rsidR="00CD439F" w:rsidRPr="00CD439F">
        <w:rPr>
          <w:rStyle w:val="Fotnotereferanse"/>
        </w:rPr>
        <w:footnoteReference w:id="101"/>
      </w:r>
    </w:p>
    <w:p w14:paraId="4D2A9B4F" w14:textId="173438D5" w:rsidR="00303661" w:rsidRDefault="0004687F" w:rsidP="0004687F">
      <w:r w:rsidRPr="00853769">
        <w:t xml:space="preserve">Innholdet i kriteriet </w:t>
      </w:r>
      <w:r w:rsidR="00CD439F">
        <w:t>«</w:t>
      </w:r>
      <w:proofErr w:type="spellStart"/>
      <w:r w:rsidRPr="00853769">
        <w:t>may</w:t>
      </w:r>
      <w:proofErr w:type="spellEnd"/>
      <w:r w:rsidRPr="00853769">
        <w:t xml:space="preserve"> </w:t>
      </w:r>
      <w:proofErr w:type="spellStart"/>
      <w:r w:rsidRPr="00853769">
        <w:t>affect</w:t>
      </w:r>
      <w:proofErr w:type="spellEnd"/>
      <w:r w:rsidRPr="00853769">
        <w:t xml:space="preserve"> </w:t>
      </w:r>
      <w:proofErr w:type="spellStart"/>
      <w:r w:rsidRPr="00853769">
        <w:t>them</w:t>
      </w:r>
      <w:proofErr w:type="spellEnd"/>
      <w:r w:rsidRPr="00853769">
        <w:t xml:space="preserve"> </w:t>
      </w:r>
      <w:proofErr w:type="spellStart"/>
      <w:r w:rsidRPr="00853769">
        <w:t>directly</w:t>
      </w:r>
      <w:proofErr w:type="spellEnd"/>
      <w:r w:rsidR="00CD439F">
        <w:t>»</w:t>
      </w:r>
      <w:r w:rsidRPr="00853769">
        <w:t xml:space="preserve"> er i liten grad berørt i ILOs klagepraksis. Det har i de fleste sakene som har vært reist, ikke vært noen tvil om at kriteriet er oppfylt. I en sak mot Colombia fra 1999 som gjaldt utstedelser av letetillatelser for petroleum i nærheten av et urfolksreservat</w:t>
      </w:r>
      <w:r>
        <w:t>,</w:t>
      </w:r>
      <w:r w:rsidRPr="00853769">
        <w:t xml:space="preserve"> avviste </w:t>
      </w:r>
      <w:proofErr w:type="spellStart"/>
      <w:r w:rsidRPr="00853769">
        <w:t>trepartskomiteen</w:t>
      </w:r>
      <w:proofErr w:type="spellEnd"/>
      <w:r w:rsidRPr="00853769">
        <w:t>, med tilslutning fra ILOs styre, myndighetenes anførsel om at letingen ikke ville påvirke urfolket direkte, og uttalte</w:t>
      </w:r>
      <w:r w:rsidRPr="00CD439F">
        <w:rPr>
          <w:rStyle w:val="kursiv"/>
        </w:rPr>
        <w:t xml:space="preserve">: </w:t>
      </w:r>
      <w:r w:rsidR="00CD439F" w:rsidRPr="00CD439F">
        <w:rPr>
          <w:rStyle w:val="kursiv"/>
        </w:rPr>
        <w:t>«</w:t>
      </w:r>
      <w:r w:rsidRPr="00853769">
        <w:t>…</w:t>
      </w:r>
      <w:proofErr w:type="spellStart"/>
      <w:r w:rsidRPr="00853769">
        <w:t>the</w:t>
      </w:r>
      <w:proofErr w:type="spellEnd"/>
      <w:r w:rsidRPr="00853769">
        <w:t xml:space="preserve"> Convention </w:t>
      </w:r>
      <w:proofErr w:type="spellStart"/>
      <w:r w:rsidRPr="00853769">
        <w:t>does</w:t>
      </w:r>
      <w:proofErr w:type="spellEnd"/>
      <w:r w:rsidRPr="00853769">
        <w:t xml:space="preserve"> not cover </w:t>
      </w:r>
      <w:proofErr w:type="spellStart"/>
      <w:r w:rsidRPr="00853769">
        <w:t>merely</w:t>
      </w:r>
      <w:proofErr w:type="spellEnd"/>
      <w:r w:rsidRPr="00853769">
        <w:t xml:space="preserve"> </w:t>
      </w:r>
      <w:proofErr w:type="spellStart"/>
      <w:r w:rsidRPr="00853769">
        <w:t>the</w:t>
      </w:r>
      <w:proofErr w:type="spellEnd"/>
      <w:r w:rsidRPr="00853769">
        <w:t xml:space="preserve"> areas </w:t>
      </w:r>
      <w:proofErr w:type="spellStart"/>
      <w:r w:rsidRPr="00853769">
        <w:t>occupied</w:t>
      </w:r>
      <w:proofErr w:type="spellEnd"/>
      <w:r w:rsidRPr="00853769">
        <w:t xml:space="preserve"> by </w:t>
      </w:r>
      <w:proofErr w:type="spellStart"/>
      <w:r w:rsidRPr="00853769">
        <w:t>indigenous</w:t>
      </w:r>
      <w:proofErr w:type="spellEnd"/>
      <w:r w:rsidRPr="00853769">
        <w:t xml:space="preserve"> </w:t>
      </w:r>
      <w:proofErr w:type="spellStart"/>
      <w:r w:rsidRPr="00853769">
        <w:t>peoples</w:t>
      </w:r>
      <w:proofErr w:type="spellEnd"/>
      <w:r w:rsidRPr="00853769">
        <w:t xml:space="preserve">, </w:t>
      </w:r>
      <w:proofErr w:type="spellStart"/>
      <w:r w:rsidRPr="00853769">
        <w:t>but</w:t>
      </w:r>
      <w:proofErr w:type="spellEnd"/>
      <w:r w:rsidRPr="00853769">
        <w:t xml:space="preserve"> </w:t>
      </w:r>
      <w:proofErr w:type="spellStart"/>
      <w:r w:rsidRPr="00853769">
        <w:t>also</w:t>
      </w:r>
      <w:proofErr w:type="spellEnd"/>
      <w:r w:rsidRPr="00853769">
        <w:t xml:space="preserve"> </w:t>
      </w:r>
      <w:proofErr w:type="spellStart"/>
      <w:r w:rsidRPr="00853769">
        <w:t>the</w:t>
      </w:r>
      <w:proofErr w:type="spellEnd"/>
      <w:r w:rsidRPr="00853769">
        <w:t xml:space="preserve"> </w:t>
      </w:r>
      <w:proofErr w:type="spellStart"/>
      <w:r w:rsidRPr="00853769">
        <w:t>process</w:t>
      </w:r>
      <w:proofErr w:type="spellEnd"/>
      <w:r w:rsidRPr="00853769">
        <w:t xml:space="preserve"> </w:t>
      </w:r>
      <w:proofErr w:type="spellStart"/>
      <w:r w:rsidRPr="00853769">
        <w:t>of</w:t>
      </w:r>
      <w:proofErr w:type="spellEnd"/>
      <w:r w:rsidRPr="00853769">
        <w:t xml:space="preserve"> </w:t>
      </w:r>
      <w:proofErr w:type="spellStart"/>
      <w:r w:rsidRPr="00853769">
        <w:t>development</w:t>
      </w:r>
      <w:proofErr w:type="spellEnd"/>
      <w:r w:rsidRPr="00853769">
        <w:t xml:space="preserve"> as it </w:t>
      </w:r>
      <w:proofErr w:type="spellStart"/>
      <w:r w:rsidRPr="00853769">
        <w:t>affects</w:t>
      </w:r>
      <w:proofErr w:type="spellEnd"/>
      <w:r w:rsidRPr="00853769">
        <w:t xml:space="preserve"> </w:t>
      </w:r>
      <w:proofErr w:type="spellStart"/>
      <w:r w:rsidRPr="00853769">
        <w:t>their</w:t>
      </w:r>
      <w:proofErr w:type="spellEnd"/>
      <w:r w:rsidRPr="00853769">
        <w:t xml:space="preserve"> lives … and </w:t>
      </w:r>
      <w:proofErr w:type="spellStart"/>
      <w:r w:rsidRPr="00853769">
        <w:t>the</w:t>
      </w:r>
      <w:proofErr w:type="spellEnd"/>
      <w:r w:rsidRPr="00853769">
        <w:t xml:space="preserve"> lands </w:t>
      </w:r>
      <w:proofErr w:type="spellStart"/>
      <w:r w:rsidRPr="00853769">
        <w:t>that</w:t>
      </w:r>
      <w:proofErr w:type="spellEnd"/>
      <w:r w:rsidRPr="00853769">
        <w:t xml:space="preserve"> </w:t>
      </w:r>
      <w:proofErr w:type="spellStart"/>
      <w:r w:rsidRPr="00853769">
        <w:t>they</w:t>
      </w:r>
      <w:proofErr w:type="spellEnd"/>
      <w:r w:rsidRPr="00853769">
        <w:t xml:space="preserve"> </w:t>
      </w:r>
      <w:proofErr w:type="spellStart"/>
      <w:r w:rsidRPr="00853769">
        <w:t>occupy</w:t>
      </w:r>
      <w:proofErr w:type="spellEnd"/>
      <w:r w:rsidRPr="00853769">
        <w:t xml:space="preserve"> or </w:t>
      </w:r>
      <w:proofErr w:type="spellStart"/>
      <w:r w:rsidRPr="00853769">
        <w:t>otherwise</w:t>
      </w:r>
      <w:proofErr w:type="spellEnd"/>
      <w:r w:rsidRPr="00853769">
        <w:t xml:space="preserve"> </w:t>
      </w:r>
      <w:proofErr w:type="spellStart"/>
      <w:r w:rsidRPr="00853769">
        <w:t>use</w:t>
      </w:r>
      <w:proofErr w:type="spellEnd"/>
      <w:r w:rsidR="00CD439F">
        <w:t>»</w:t>
      </w:r>
      <w:r w:rsidRPr="00853769">
        <w:t>.</w:t>
      </w:r>
      <w:r w:rsidR="00CD439F" w:rsidRPr="00CD439F">
        <w:rPr>
          <w:rStyle w:val="Fotnotereferanse"/>
        </w:rPr>
        <w:footnoteReference w:id="102"/>
      </w:r>
    </w:p>
    <w:p w14:paraId="5ED16600" w14:textId="419DF364" w:rsidR="0004687F" w:rsidRDefault="0004687F" w:rsidP="0004687F">
      <w:r w:rsidRPr="00853769">
        <w:t xml:space="preserve">Ut over å fastslå at også tiltak som er geografisk lokalisert utenfor urfolkets tradisjonelle bruks- og bosettingsområder, kan få </w:t>
      </w:r>
      <w:r w:rsidR="00CD439F">
        <w:t>«</w:t>
      </w:r>
      <w:r w:rsidRPr="00CD439F">
        <w:rPr>
          <w:rStyle w:val="kursiv"/>
        </w:rPr>
        <w:t>direkte betydning</w:t>
      </w:r>
      <w:r w:rsidR="00CD439F">
        <w:t>»</w:t>
      </w:r>
      <w:r w:rsidRPr="00853769">
        <w:t xml:space="preserve"> for dem, sier uttalelsen ellers ikke noe om hva som ligger i kriteriet </w:t>
      </w:r>
      <w:r w:rsidR="00CD439F">
        <w:t>«</w:t>
      </w:r>
      <w:r w:rsidRPr="00853769">
        <w:t>direkte betydning</w:t>
      </w:r>
      <w:r w:rsidR="00CD439F">
        <w:t>»</w:t>
      </w:r>
      <w:r w:rsidRPr="00853769">
        <w:t xml:space="preserve">. Både denne og andre </w:t>
      </w:r>
      <w:r w:rsidRPr="00853769">
        <w:lastRenderedPageBreak/>
        <w:t xml:space="preserve">klagesaker viser imidlertid at konvensjonen ikke stiller krav om at det må påvises at tiltakene vil påvirke urfolksgruppen direkte. Det er tilstrekkelig – slik også ordlyden i artikkel 6 (1) a tilsier ved formuleringen </w:t>
      </w:r>
      <w:r w:rsidR="00CD439F">
        <w:t>«</w:t>
      </w:r>
      <w:proofErr w:type="spellStart"/>
      <w:r w:rsidRPr="00853769">
        <w:t>may</w:t>
      </w:r>
      <w:proofErr w:type="spellEnd"/>
      <w:r w:rsidRPr="00853769">
        <w:t xml:space="preserve"> </w:t>
      </w:r>
      <w:proofErr w:type="spellStart"/>
      <w:r w:rsidRPr="00853769">
        <w:t>affect</w:t>
      </w:r>
      <w:proofErr w:type="spellEnd"/>
      <w:r w:rsidRPr="00853769">
        <w:t xml:space="preserve"> </w:t>
      </w:r>
      <w:proofErr w:type="spellStart"/>
      <w:r w:rsidRPr="00853769">
        <w:t>them</w:t>
      </w:r>
      <w:proofErr w:type="spellEnd"/>
      <w:r w:rsidRPr="00853769">
        <w:t xml:space="preserve"> </w:t>
      </w:r>
      <w:proofErr w:type="spellStart"/>
      <w:r w:rsidRPr="00853769">
        <w:t>directly</w:t>
      </w:r>
      <w:proofErr w:type="spellEnd"/>
      <w:r w:rsidR="00CD439F">
        <w:t>»</w:t>
      </w:r>
      <w:r w:rsidRPr="00853769">
        <w:t xml:space="preserve"> – at tiltakene </w:t>
      </w:r>
      <w:r w:rsidRPr="00CD439F">
        <w:rPr>
          <w:rStyle w:val="kursiv"/>
        </w:rPr>
        <w:t>kan</w:t>
      </w:r>
      <w:r w:rsidRPr="00853769">
        <w:t xml:space="preserve"> ha en slik effekt.</w:t>
      </w:r>
    </w:p>
    <w:p w14:paraId="04D2F94F" w14:textId="66897196" w:rsidR="0004687F" w:rsidRDefault="0004687F" w:rsidP="0004687F">
      <w:r w:rsidRPr="00853769">
        <w:t xml:space="preserve">En forutsetning for at et tiltak skal få </w:t>
      </w:r>
      <w:r w:rsidR="00CD439F">
        <w:t>«</w:t>
      </w:r>
      <w:r w:rsidRPr="00CD439F">
        <w:rPr>
          <w:rStyle w:val="kursiv"/>
        </w:rPr>
        <w:t>direkte betydning</w:t>
      </w:r>
      <w:r w:rsidR="00CD439F">
        <w:t>»</w:t>
      </w:r>
      <w:r w:rsidRPr="00853769">
        <w:t xml:space="preserve"> for en urfolksgruppe, er at saken</w:t>
      </w:r>
      <w:r>
        <w:t xml:space="preserve"> </w:t>
      </w:r>
      <w:r w:rsidRPr="00853769">
        <w:t>også må ha et innhold som kan påvirke gruppens kulturutøvelse. Det må trekkes en grense mot saker som må forventes å ville påvirke hele samfunnet på lik linje, for eksempel generelle endringer i skattelovgivningen. I slike saker vil urfolket på lik linje med andre ha rett til å delta i den demokratiske prosessen i forkant av at vedtakene treffes. Men deltakelsen vil da måtte skje gjennom samfunnets alminnelige kanaler for slik deltakelse, og ikke gjennom den særskilte kanalen for urfolksdeltakelse som følger av ILO-konvensjon nr. 169, jf. artikkel 6</w:t>
      </w:r>
      <w:r>
        <w:t xml:space="preserve"> </w:t>
      </w:r>
      <w:r w:rsidRPr="00853769">
        <w:t>(1)</w:t>
      </w:r>
      <w:r>
        <w:t xml:space="preserve"> </w:t>
      </w:r>
      <w:r w:rsidRPr="00853769">
        <w:t>(b).</w:t>
      </w:r>
    </w:p>
    <w:p w14:paraId="715B426C" w14:textId="4E29AF70" w:rsidR="009549A2" w:rsidRDefault="009549A2" w:rsidP="009549A2">
      <w:pPr>
        <w:pStyle w:val="Overskrift5"/>
      </w:pPr>
      <w:r>
        <w:t>Hvilke grupper innen urfolket har rett til å bli konsultert?</w:t>
      </w:r>
    </w:p>
    <w:p w14:paraId="4D4A20BC" w14:textId="4EC169CB" w:rsidR="00303661" w:rsidRDefault="009549A2" w:rsidP="009549A2">
      <w:pPr>
        <w:rPr>
          <w:lang w:val="en-US"/>
        </w:rPr>
      </w:pPr>
      <w:r w:rsidRPr="00693A45">
        <w:rPr>
          <w:lang w:val="en-US"/>
        </w:rPr>
        <w:t xml:space="preserve">Etter </w:t>
      </w:r>
      <w:proofErr w:type="spellStart"/>
      <w:r w:rsidRPr="00693A45">
        <w:rPr>
          <w:lang w:val="en-US"/>
        </w:rPr>
        <w:t>ordlyden</w:t>
      </w:r>
      <w:proofErr w:type="spellEnd"/>
      <w:r w:rsidRPr="00693A45">
        <w:rPr>
          <w:lang w:val="en-US"/>
        </w:rPr>
        <w:t xml:space="preserve"> </w:t>
      </w:r>
      <w:proofErr w:type="spellStart"/>
      <w:r w:rsidRPr="00693A45">
        <w:rPr>
          <w:lang w:val="en-US"/>
        </w:rPr>
        <w:t>i</w:t>
      </w:r>
      <w:proofErr w:type="spellEnd"/>
      <w:r w:rsidRPr="00693A45">
        <w:rPr>
          <w:lang w:val="en-US"/>
        </w:rPr>
        <w:t xml:space="preserve"> </w:t>
      </w:r>
      <w:proofErr w:type="spellStart"/>
      <w:r w:rsidRPr="00693A45">
        <w:rPr>
          <w:lang w:val="en-US"/>
        </w:rPr>
        <w:t>artikkel</w:t>
      </w:r>
      <w:proofErr w:type="spellEnd"/>
      <w:r w:rsidRPr="00693A45">
        <w:rPr>
          <w:lang w:val="en-US"/>
        </w:rPr>
        <w:t xml:space="preserve"> 6 (1) </w:t>
      </w:r>
      <w:proofErr w:type="spellStart"/>
      <w:r w:rsidRPr="00693A45">
        <w:rPr>
          <w:lang w:val="en-US"/>
        </w:rPr>
        <w:t>skal</w:t>
      </w:r>
      <w:proofErr w:type="spellEnd"/>
      <w:r w:rsidRPr="00693A45">
        <w:rPr>
          <w:lang w:val="en-US"/>
        </w:rPr>
        <w:t xml:space="preserve"> </w:t>
      </w:r>
      <w:r w:rsidR="00CD439F">
        <w:rPr>
          <w:lang w:val="en-US"/>
        </w:rPr>
        <w:t>«</w:t>
      </w:r>
      <w:r w:rsidRPr="00CD439F">
        <w:rPr>
          <w:rStyle w:val="kursiv"/>
          <w:lang w:val="en-US"/>
        </w:rPr>
        <w:t>the peoples concerned</w:t>
      </w:r>
      <w:r w:rsidR="00CD439F">
        <w:rPr>
          <w:lang w:val="en-US"/>
        </w:rPr>
        <w:t>»</w:t>
      </w:r>
      <w:r w:rsidRPr="00693A45">
        <w:rPr>
          <w:lang w:val="en-US"/>
        </w:rPr>
        <w:t xml:space="preserve"> </w:t>
      </w:r>
      <w:proofErr w:type="spellStart"/>
      <w:r w:rsidRPr="00693A45">
        <w:rPr>
          <w:lang w:val="en-US"/>
        </w:rPr>
        <w:t>konsulteres</w:t>
      </w:r>
      <w:proofErr w:type="spellEnd"/>
      <w:r w:rsidRPr="00693A45">
        <w:rPr>
          <w:lang w:val="en-US"/>
        </w:rPr>
        <w:t xml:space="preserve">, og </w:t>
      </w:r>
      <w:proofErr w:type="spellStart"/>
      <w:r w:rsidRPr="00693A45">
        <w:rPr>
          <w:lang w:val="en-US"/>
        </w:rPr>
        <w:t>særlig</w:t>
      </w:r>
      <w:proofErr w:type="spellEnd"/>
      <w:r w:rsidRPr="00693A45">
        <w:rPr>
          <w:lang w:val="en-US"/>
        </w:rPr>
        <w:t xml:space="preserve"> </w:t>
      </w:r>
      <w:proofErr w:type="spellStart"/>
      <w:r w:rsidRPr="00693A45">
        <w:rPr>
          <w:lang w:val="en-US"/>
        </w:rPr>
        <w:t>gjennom</w:t>
      </w:r>
      <w:proofErr w:type="spellEnd"/>
      <w:r w:rsidRPr="00693A45">
        <w:rPr>
          <w:lang w:val="en-US"/>
        </w:rPr>
        <w:t xml:space="preserve"> </w:t>
      </w:r>
      <w:proofErr w:type="spellStart"/>
      <w:r w:rsidRPr="00693A45">
        <w:rPr>
          <w:lang w:val="en-US"/>
        </w:rPr>
        <w:t>deres</w:t>
      </w:r>
      <w:proofErr w:type="spellEnd"/>
      <w:r w:rsidRPr="00693A45">
        <w:rPr>
          <w:lang w:val="en-US"/>
        </w:rPr>
        <w:t xml:space="preserve"> representative </w:t>
      </w:r>
      <w:proofErr w:type="spellStart"/>
      <w:r w:rsidRPr="00693A45">
        <w:rPr>
          <w:lang w:val="en-US"/>
        </w:rPr>
        <w:t>institusjoner</w:t>
      </w:r>
      <w:proofErr w:type="spellEnd"/>
      <w:r w:rsidRPr="00693A45">
        <w:rPr>
          <w:lang w:val="en-US"/>
        </w:rPr>
        <w:t xml:space="preserve">. </w:t>
      </w:r>
      <w:proofErr w:type="spellStart"/>
      <w:r w:rsidRPr="00853769">
        <w:rPr>
          <w:lang w:val="en-GB"/>
        </w:rPr>
        <w:t>Ifølge</w:t>
      </w:r>
      <w:proofErr w:type="spellEnd"/>
      <w:r w:rsidRPr="00853769">
        <w:rPr>
          <w:lang w:val="en-GB"/>
        </w:rPr>
        <w:t xml:space="preserve"> ILOs </w:t>
      </w:r>
      <w:r w:rsidR="00CD439F">
        <w:rPr>
          <w:lang w:val="en-GB"/>
        </w:rPr>
        <w:t>«</w:t>
      </w:r>
      <w:r w:rsidRPr="00853769">
        <w:rPr>
          <w:lang w:val="en-GB"/>
        </w:rPr>
        <w:t>manual</w:t>
      </w:r>
      <w:r w:rsidR="00CD439F">
        <w:rPr>
          <w:lang w:val="en-GB"/>
        </w:rPr>
        <w:t>»</w:t>
      </w:r>
      <w:r w:rsidRPr="00853769">
        <w:rPr>
          <w:lang w:val="en-GB"/>
        </w:rPr>
        <w:t xml:space="preserve"> </w:t>
      </w:r>
      <w:proofErr w:type="spellStart"/>
      <w:r w:rsidRPr="00853769">
        <w:rPr>
          <w:lang w:val="en-GB"/>
        </w:rPr>
        <w:t>til</w:t>
      </w:r>
      <w:proofErr w:type="spellEnd"/>
      <w:r w:rsidRPr="00853769">
        <w:rPr>
          <w:lang w:val="en-GB"/>
        </w:rPr>
        <w:t xml:space="preserve"> </w:t>
      </w:r>
      <w:proofErr w:type="spellStart"/>
      <w:r w:rsidRPr="00853769">
        <w:rPr>
          <w:lang w:val="en-GB"/>
        </w:rPr>
        <w:t>konvensjon</w:t>
      </w:r>
      <w:proofErr w:type="spellEnd"/>
      <w:r w:rsidRPr="00853769">
        <w:rPr>
          <w:lang w:val="en-GB"/>
        </w:rPr>
        <w:t xml:space="preserve"> nr. 169 </w:t>
      </w:r>
      <w:proofErr w:type="spellStart"/>
      <w:r w:rsidRPr="00853769">
        <w:rPr>
          <w:lang w:val="en-GB"/>
        </w:rPr>
        <w:t>kan</w:t>
      </w:r>
      <w:proofErr w:type="spellEnd"/>
      <w:r w:rsidRPr="00853769">
        <w:rPr>
          <w:lang w:val="en-GB"/>
        </w:rPr>
        <w:t xml:space="preserve"> </w:t>
      </w:r>
      <w:proofErr w:type="spellStart"/>
      <w:r w:rsidRPr="00853769">
        <w:rPr>
          <w:lang w:val="en-GB"/>
        </w:rPr>
        <w:t>dette</w:t>
      </w:r>
      <w:proofErr w:type="spellEnd"/>
      <w:r w:rsidRPr="00853769">
        <w:rPr>
          <w:lang w:val="en-GB"/>
        </w:rPr>
        <w:t xml:space="preserve"> </w:t>
      </w:r>
      <w:proofErr w:type="spellStart"/>
      <w:r w:rsidRPr="00853769">
        <w:rPr>
          <w:lang w:val="en-GB"/>
        </w:rPr>
        <w:t>blant</w:t>
      </w:r>
      <w:proofErr w:type="spellEnd"/>
      <w:r w:rsidRPr="00853769">
        <w:rPr>
          <w:lang w:val="en-GB"/>
        </w:rPr>
        <w:t xml:space="preserve"> </w:t>
      </w:r>
      <w:proofErr w:type="spellStart"/>
      <w:r w:rsidRPr="00853769">
        <w:rPr>
          <w:lang w:val="en-GB"/>
        </w:rPr>
        <w:t>annet</w:t>
      </w:r>
      <w:proofErr w:type="spellEnd"/>
      <w:r w:rsidRPr="00853769">
        <w:rPr>
          <w:lang w:val="en-GB"/>
        </w:rPr>
        <w:t xml:space="preserve"> </w:t>
      </w:r>
      <w:proofErr w:type="spellStart"/>
      <w:r w:rsidRPr="00853769">
        <w:rPr>
          <w:lang w:val="en-GB"/>
        </w:rPr>
        <w:t>omfatte</w:t>
      </w:r>
      <w:proofErr w:type="spellEnd"/>
      <w:r w:rsidRPr="00853769">
        <w:rPr>
          <w:lang w:val="en-GB"/>
        </w:rPr>
        <w:t xml:space="preserve"> </w:t>
      </w:r>
      <w:r w:rsidR="00CD439F">
        <w:rPr>
          <w:lang w:val="en-GB"/>
        </w:rPr>
        <w:t>«</w:t>
      </w:r>
      <w:r w:rsidRPr="00CD439F">
        <w:rPr>
          <w:rStyle w:val="kursiv"/>
          <w:lang w:val="en-US"/>
        </w:rPr>
        <w:t>council of elders, village councils, as well as contemporary structures such as indigenous and tribal peoples</w:t>
      </w:r>
      <w:r w:rsidR="00CD439F" w:rsidRPr="00CD439F">
        <w:rPr>
          <w:rStyle w:val="kursiv"/>
          <w:lang w:val="en-US"/>
        </w:rPr>
        <w:t>’</w:t>
      </w:r>
      <w:r w:rsidRPr="00CD439F">
        <w:rPr>
          <w:rStyle w:val="kursiv"/>
          <w:lang w:val="en-US"/>
        </w:rPr>
        <w:t xml:space="preserve"> parliaments or locally elected leaders</w:t>
      </w:r>
      <w:r w:rsidRPr="00853769">
        <w:rPr>
          <w:lang w:val="en-GB"/>
        </w:rPr>
        <w:t>.</w:t>
      </w:r>
      <w:r w:rsidR="00CD439F">
        <w:rPr>
          <w:lang w:val="en-GB"/>
        </w:rPr>
        <w:t>»</w:t>
      </w:r>
      <w:r w:rsidR="00CD439F" w:rsidRPr="00CD439F">
        <w:rPr>
          <w:rStyle w:val="Fotnotereferanse"/>
        </w:rPr>
        <w:footnoteReference w:id="103"/>
      </w:r>
    </w:p>
    <w:p w14:paraId="5A42CC48" w14:textId="1767AF49" w:rsidR="00303661" w:rsidRDefault="009549A2" w:rsidP="009549A2">
      <w:pPr>
        <w:rPr>
          <w:lang w:val="en-US"/>
        </w:rPr>
      </w:pPr>
      <w:r w:rsidRPr="00693A45">
        <w:rPr>
          <w:lang w:val="en-US"/>
        </w:rPr>
        <w:t xml:space="preserve">Til </w:t>
      </w:r>
      <w:proofErr w:type="spellStart"/>
      <w:r w:rsidRPr="00693A45">
        <w:rPr>
          <w:lang w:val="en-US"/>
        </w:rPr>
        <w:t>spørsmålet</w:t>
      </w:r>
      <w:proofErr w:type="spellEnd"/>
      <w:r w:rsidRPr="00693A45">
        <w:rPr>
          <w:lang w:val="en-US"/>
        </w:rPr>
        <w:t xml:space="preserve"> om </w:t>
      </w:r>
      <w:proofErr w:type="spellStart"/>
      <w:r w:rsidRPr="00693A45">
        <w:rPr>
          <w:lang w:val="en-US"/>
        </w:rPr>
        <w:t>hvilke</w:t>
      </w:r>
      <w:proofErr w:type="spellEnd"/>
      <w:r w:rsidRPr="00693A45">
        <w:rPr>
          <w:lang w:val="en-US"/>
        </w:rPr>
        <w:t xml:space="preserve"> </w:t>
      </w:r>
      <w:proofErr w:type="spellStart"/>
      <w:r w:rsidRPr="00693A45">
        <w:rPr>
          <w:lang w:val="en-US"/>
        </w:rPr>
        <w:t>institusjoner</w:t>
      </w:r>
      <w:proofErr w:type="spellEnd"/>
      <w:r w:rsidRPr="00693A45">
        <w:rPr>
          <w:lang w:val="en-US"/>
        </w:rPr>
        <w:t xml:space="preserve"> </w:t>
      </w:r>
      <w:proofErr w:type="spellStart"/>
      <w:r w:rsidRPr="00693A45">
        <w:rPr>
          <w:lang w:val="en-US"/>
        </w:rPr>
        <w:t>som</w:t>
      </w:r>
      <w:proofErr w:type="spellEnd"/>
      <w:r w:rsidRPr="00693A45">
        <w:rPr>
          <w:lang w:val="en-US"/>
        </w:rPr>
        <w:t xml:space="preserve"> </w:t>
      </w:r>
      <w:proofErr w:type="spellStart"/>
      <w:r w:rsidRPr="00693A45">
        <w:rPr>
          <w:lang w:val="en-US"/>
        </w:rPr>
        <w:t>kan</w:t>
      </w:r>
      <w:proofErr w:type="spellEnd"/>
      <w:r w:rsidRPr="00693A45">
        <w:rPr>
          <w:lang w:val="en-US"/>
        </w:rPr>
        <w:t xml:space="preserve"> </w:t>
      </w:r>
      <w:proofErr w:type="spellStart"/>
      <w:r w:rsidRPr="00693A45">
        <w:rPr>
          <w:lang w:val="en-US"/>
        </w:rPr>
        <w:t>anses</w:t>
      </w:r>
      <w:proofErr w:type="spellEnd"/>
      <w:r w:rsidRPr="00693A45">
        <w:rPr>
          <w:lang w:val="en-US"/>
        </w:rPr>
        <w:t xml:space="preserve"> </w:t>
      </w:r>
      <w:proofErr w:type="spellStart"/>
      <w:r w:rsidRPr="00693A45">
        <w:rPr>
          <w:lang w:val="en-US"/>
        </w:rPr>
        <w:t>som</w:t>
      </w:r>
      <w:proofErr w:type="spellEnd"/>
      <w:r w:rsidRPr="00693A45">
        <w:rPr>
          <w:lang w:val="en-US"/>
        </w:rPr>
        <w:t xml:space="preserve"> representative for den </w:t>
      </w:r>
      <w:proofErr w:type="spellStart"/>
      <w:r w:rsidRPr="00693A45">
        <w:rPr>
          <w:lang w:val="en-US"/>
        </w:rPr>
        <w:t>aktuelle</w:t>
      </w:r>
      <w:proofErr w:type="spellEnd"/>
      <w:r w:rsidRPr="00693A45">
        <w:rPr>
          <w:lang w:val="en-US"/>
        </w:rPr>
        <w:t xml:space="preserve"> </w:t>
      </w:r>
      <w:proofErr w:type="spellStart"/>
      <w:r w:rsidRPr="00693A45">
        <w:rPr>
          <w:lang w:val="en-US"/>
        </w:rPr>
        <w:t>urfolksgruppen</w:t>
      </w:r>
      <w:proofErr w:type="spellEnd"/>
      <w:r w:rsidRPr="00693A45">
        <w:rPr>
          <w:lang w:val="en-US"/>
        </w:rPr>
        <w:t xml:space="preserve">, </w:t>
      </w:r>
      <w:proofErr w:type="spellStart"/>
      <w:r w:rsidRPr="00693A45">
        <w:rPr>
          <w:lang w:val="en-US"/>
        </w:rPr>
        <w:t>uttalte</w:t>
      </w:r>
      <w:proofErr w:type="spellEnd"/>
      <w:r w:rsidRPr="00693A45">
        <w:rPr>
          <w:lang w:val="en-US"/>
        </w:rPr>
        <w:t xml:space="preserve"> ILO-</w:t>
      </w:r>
      <w:proofErr w:type="spellStart"/>
      <w:r w:rsidRPr="00693A45">
        <w:rPr>
          <w:lang w:val="en-US"/>
        </w:rPr>
        <w:t>organene</w:t>
      </w:r>
      <w:proofErr w:type="spellEnd"/>
      <w:r w:rsidRPr="00693A45">
        <w:rPr>
          <w:lang w:val="en-US"/>
        </w:rPr>
        <w:t xml:space="preserve"> </w:t>
      </w:r>
      <w:proofErr w:type="spellStart"/>
      <w:r w:rsidRPr="00693A45">
        <w:rPr>
          <w:lang w:val="en-US"/>
        </w:rPr>
        <w:t>blant</w:t>
      </w:r>
      <w:proofErr w:type="spellEnd"/>
      <w:r w:rsidRPr="00693A45">
        <w:rPr>
          <w:lang w:val="en-US"/>
        </w:rPr>
        <w:t xml:space="preserve"> </w:t>
      </w:r>
      <w:proofErr w:type="spellStart"/>
      <w:r w:rsidRPr="00693A45">
        <w:rPr>
          <w:lang w:val="en-US"/>
        </w:rPr>
        <w:t>annet</w:t>
      </w:r>
      <w:proofErr w:type="spellEnd"/>
      <w:r w:rsidRPr="00693A45">
        <w:rPr>
          <w:lang w:val="en-US"/>
        </w:rPr>
        <w:t xml:space="preserve"> det </w:t>
      </w:r>
      <w:proofErr w:type="spellStart"/>
      <w:r w:rsidRPr="00693A45">
        <w:rPr>
          <w:lang w:val="en-US"/>
        </w:rPr>
        <w:t>følgende</w:t>
      </w:r>
      <w:proofErr w:type="spellEnd"/>
      <w:r w:rsidRPr="00693A45">
        <w:rPr>
          <w:lang w:val="en-US"/>
        </w:rPr>
        <w:t xml:space="preserve"> </w:t>
      </w:r>
      <w:proofErr w:type="spellStart"/>
      <w:r w:rsidRPr="00693A45">
        <w:rPr>
          <w:lang w:val="en-US"/>
        </w:rPr>
        <w:t>i</w:t>
      </w:r>
      <w:proofErr w:type="spellEnd"/>
      <w:r w:rsidRPr="00693A45">
        <w:rPr>
          <w:lang w:val="en-US"/>
        </w:rPr>
        <w:t xml:space="preserve"> </w:t>
      </w:r>
      <w:proofErr w:type="spellStart"/>
      <w:r w:rsidRPr="00693A45">
        <w:rPr>
          <w:lang w:val="en-US"/>
        </w:rPr>
        <w:t>tre</w:t>
      </w:r>
      <w:proofErr w:type="spellEnd"/>
      <w:r w:rsidRPr="00693A45">
        <w:rPr>
          <w:lang w:val="en-US"/>
        </w:rPr>
        <w:t xml:space="preserve"> </w:t>
      </w:r>
      <w:proofErr w:type="spellStart"/>
      <w:r w:rsidRPr="00693A45">
        <w:rPr>
          <w:lang w:val="en-US"/>
        </w:rPr>
        <w:t>parallelle</w:t>
      </w:r>
      <w:proofErr w:type="spellEnd"/>
      <w:r w:rsidRPr="00693A45">
        <w:rPr>
          <w:lang w:val="en-US"/>
        </w:rPr>
        <w:t xml:space="preserve"> </w:t>
      </w:r>
      <w:proofErr w:type="spellStart"/>
      <w:r w:rsidRPr="00693A45">
        <w:rPr>
          <w:lang w:val="en-US"/>
        </w:rPr>
        <w:t>klagesaker</w:t>
      </w:r>
      <w:proofErr w:type="spellEnd"/>
      <w:r w:rsidRPr="00693A45">
        <w:rPr>
          <w:lang w:val="en-US"/>
        </w:rPr>
        <w:t xml:space="preserve"> (</w:t>
      </w:r>
      <w:r w:rsidR="00CD439F">
        <w:rPr>
          <w:lang w:val="en-US"/>
        </w:rPr>
        <w:t>«</w:t>
      </w:r>
      <w:r w:rsidRPr="00693A45">
        <w:rPr>
          <w:lang w:val="en-US"/>
        </w:rPr>
        <w:t>representations</w:t>
      </w:r>
      <w:r w:rsidR="00CD439F">
        <w:rPr>
          <w:lang w:val="en-US"/>
        </w:rPr>
        <w:t>»</w:t>
      </w:r>
      <w:r w:rsidRPr="00693A45">
        <w:rPr>
          <w:lang w:val="en-US"/>
        </w:rPr>
        <w:t xml:space="preserve"> mot Mexico </w:t>
      </w:r>
      <w:proofErr w:type="spellStart"/>
      <w:r w:rsidRPr="00693A45">
        <w:rPr>
          <w:lang w:val="en-US"/>
        </w:rPr>
        <w:t>som</w:t>
      </w:r>
      <w:proofErr w:type="spellEnd"/>
      <w:r w:rsidRPr="00693A45">
        <w:rPr>
          <w:lang w:val="en-US"/>
        </w:rPr>
        <w:t xml:space="preserve"> </w:t>
      </w:r>
      <w:proofErr w:type="spellStart"/>
      <w:r w:rsidRPr="00693A45">
        <w:rPr>
          <w:lang w:val="en-US"/>
        </w:rPr>
        <w:t>ble</w:t>
      </w:r>
      <w:proofErr w:type="spellEnd"/>
      <w:r w:rsidRPr="00693A45">
        <w:rPr>
          <w:lang w:val="en-US"/>
        </w:rPr>
        <w:t xml:space="preserve"> </w:t>
      </w:r>
      <w:proofErr w:type="spellStart"/>
      <w:r w:rsidRPr="00693A45">
        <w:rPr>
          <w:lang w:val="en-US"/>
        </w:rPr>
        <w:t>avgjort</w:t>
      </w:r>
      <w:proofErr w:type="spellEnd"/>
      <w:r w:rsidRPr="00693A45">
        <w:rPr>
          <w:lang w:val="en-US"/>
        </w:rPr>
        <w:t xml:space="preserve"> </w:t>
      </w:r>
      <w:proofErr w:type="spellStart"/>
      <w:r w:rsidRPr="00693A45">
        <w:rPr>
          <w:lang w:val="en-US"/>
        </w:rPr>
        <w:t>i</w:t>
      </w:r>
      <w:proofErr w:type="spellEnd"/>
      <w:r w:rsidRPr="00693A45">
        <w:rPr>
          <w:lang w:val="en-US"/>
        </w:rPr>
        <w:t xml:space="preserve"> 2004):</w:t>
      </w:r>
      <w:r w:rsidR="00CD439F" w:rsidRPr="00CD439F">
        <w:rPr>
          <w:rStyle w:val="Fotnotereferanse"/>
        </w:rPr>
        <w:footnoteReference w:id="104"/>
      </w:r>
    </w:p>
    <w:p w14:paraId="132013B9" w14:textId="7C530372" w:rsidR="009549A2" w:rsidRPr="00CD439F" w:rsidRDefault="00CD439F" w:rsidP="00393223">
      <w:pPr>
        <w:pStyle w:val="blokksit"/>
        <w:ind w:left="757"/>
        <w:rPr>
          <w:lang w:val="en-US"/>
        </w:rPr>
      </w:pPr>
      <w:r>
        <w:rPr>
          <w:lang w:val="en-US"/>
        </w:rPr>
        <w:t>«</w:t>
      </w:r>
      <w:r w:rsidR="009549A2" w:rsidRPr="00CD439F">
        <w:rPr>
          <w:lang w:val="en-US"/>
        </w:rPr>
        <w:t>In view of the diversity of indigenous peoples, the Convention does not impose a model of what a representative institution should involve, the important thing is that they should be the result of a process carried out by the indigenous peoples themselves. But it is essential to ensure that the consultations are held with the institutions that are truly representative of the peoples concerned.</w:t>
      </w:r>
      <w:r>
        <w:rPr>
          <w:lang w:val="en-US"/>
        </w:rPr>
        <w:t>»</w:t>
      </w:r>
    </w:p>
    <w:p w14:paraId="57BEAEAB" w14:textId="77777777" w:rsidR="00303661" w:rsidRDefault="009549A2" w:rsidP="009549A2">
      <w:pPr>
        <w:rPr>
          <w:lang w:val="en-US"/>
        </w:rPr>
      </w:pPr>
      <w:proofErr w:type="spellStart"/>
      <w:r w:rsidRPr="00693A45">
        <w:rPr>
          <w:lang w:val="en-US"/>
        </w:rPr>
        <w:t>Kjernepunktet</w:t>
      </w:r>
      <w:proofErr w:type="spellEnd"/>
      <w:r w:rsidRPr="00693A45">
        <w:rPr>
          <w:lang w:val="en-US"/>
        </w:rPr>
        <w:t xml:space="preserve"> </w:t>
      </w:r>
      <w:proofErr w:type="spellStart"/>
      <w:r w:rsidRPr="00693A45">
        <w:rPr>
          <w:lang w:val="en-US"/>
        </w:rPr>
        <w:t>i</w:t>
      </w:r>
      <w:proofErr w:type="spellEnd"/>
      <w:r w:rsidRPr="00693A45">
        <w:rPr>
          <w:lang w:val="en-US"/>
        </w:rPr>
        <w:t xml:space="preserve"> </w:t>
      </w:r>
      <w:proofErr w:type="spellStart"/>
      <w:r w:rsidRPr="00693A45">
        <w:rPr>
          <w:lang w:val="en-US"/>
        </w:rPr>
        <w:t>kravet</w:t>
      </w:r>
      <w:proofErr w:type="spellEnd"/>
      <w:r w:rsidRPr="00693A45">
        <w:rPr>
          <w:lang w:val="en-US"/>
        </w:rPr>
        <w:t xml:space="preserve"> </w:t>
      </w:r>
      <w:proofErr w:type="spellStart"/>
      <w:r w:rsidRPr="00693A45">
        <w:rPr>
          <w:lang w:val="en-US"/>
        </w:rPr>
        <w:t>til</w:t>
      </w:r>
      <w:proofErr w:type="spellEnd"/>
      <w:r w:rsidRPr="00693A45">
        <w:rPr>
          <w:lang w:val="en-US"/>
        </w:rPr>
        <w:t xml:space="preserve"> </w:t>
      </w:r>
      <w:proofErr w:type="spellStart"/>
      <w:r w:rsidRPr="00693A45">
        <w:rPr>
          <w:lang w:val="en-US"/>
        </w:rPr>
        <w:t>representativitet</w:t>
      </w:r>
      <w:proofErr w:type="spellEnd"/>
      <w:r w:rsidRPr="00693A45">
        <w:rPr>
          <w:lang w:val="en-US"/>
        </w:rPr>
        <w:t xml:space="preserve"> er </w:t>
      </w:r>
      <w:proofErr w:type="spellStart"/>
      <w:r w:rsidRPr="00693A45">
        <w:rPr>
          <w:lang w:val="en-US"/>
        </w:rPr>
        <w:t>etter</w:t>
      </w:r>
      <w:proofErr w:type="spellEnd"/>
      <w:r w:rsidRPr="00693A45">
        <w:rPr>
          <w:lang w:val="en-US"/>
        </w:rPr>
        <w:t xml:space="preserve"> </w:t>
      </w:r>
      <w:proofErr w:type="spellStart"/>
      <w:r w:rsidRPr="00693A45">
        <w:rPr>
          <w:lang w:val="en-US"/>
        </w:rPr>
        <w:t>dette</w:t>
      </w:r>
      <w:proofErr w:type="spellEnd"/>
      <w:r w:rsidRPr="00693A45">
        <w:rPr>
          <w:lang w:val="en-US"/>
        </w:rPr>
        <w:t xml:space="preserve"> dels at </w:t>
      </w:r>
      <w:proofErr w:type="spellStart"/>
      <w:r w:rsidRPr="00693A45">
        <w:rPr>
          <w:lang w:val="en-US"/>
        </w:rPr>
        <w:t>urfolksgruppen</w:t>
      </w:r>
      <w:proofErr w:type="spellEnd"/>
      <w:r w:rsidRPr="00693A45">
        <w:rPr>
          <w:lang w:val="en-US"/>
        </w:rPr>
        <w:t xml:space="preserve"> </w:t>
      </w:r>
      <w:proofErr w:type="spellStart"/>
      <w:r w:rsidRPr="00693A45">
        <w:rPr>
          <w:lang w:val="en-US"/>
        </w:rPr>
        <w:t>selv</w:t>
      </w:r>
      <w:proofErr w:type="spellEnd"/>
      <w:r w:rsidRPr="00693A45">
        <w:rPr>
          <w:lang w:val="en-US"/>
        </w:rPr>
        <w:t xml:space="preserve"> </w:t>
      </w:r>
      <w:proofErr w:type="spellStart"/>
      <w:r w:rsidRPr="00693A45">
        <w:rPr>
          <w:lang w:val="en-US"/>
        </w:rPr>
        <w:t>må</w:t>
      </w:r>
      <w:proofErr w:type="spellEnd"/>
      <w:r w:rsidRPr="00693A45">
        <w:rPr>
          <w:lang w:val="en-US"/>
        </w:rPr>
        <w:t xml:space="preserve"> </w:t>
      </w:r>
      <w:proofErr w:type="spellStart"/>
      <w:r w:rsidRPr="00693A45">
        <w:rPr>
          <w:lang w:val="en-US"/>
        </w:rPr>
        <w:t>stå</w:t>
      </w:r>
      <w:proofErr w:type="spellEnd"/>
      <w:r w:rsidRPr="00693A45">
        <w:rPr>
          <w:lang w:val="en-US"/>
        </w:rPr>
        <w:t xml:space="preserve"> </w:t>
      </w:r>
      <w:proofErr w:type="spellStart"/>
      <w:r w:rsidRPr="00693A45">
        <w:rPr>
          <w:lang w:val="en-US"/>
        </w:rPr>
        <w:t>bak</w:t>
      </w:r>
      <w:proofErr w:type="spellEnd"/>
      <w:r w:rsidRPr="00693A45">
        <w:rPr>
          <w:lang w:val="en-US"/>
        </w:rPr>
        <w:t xml:space="preserve"> </w:t>
      </w:r>
      <w:proofErr w:type="spellStart"/>
      <w:r w:rsidRPr="00693A45">
        <w:rPr>
          <w:lang w:val="en-US"/>
        </w:rPr>
        <w:t>oppnevningen</w:t>
      </w:r>
      <w:proofErr w:type="spellEnd"/>
      <w:r w:rsidRPr="00693A45">
        <w:rPr>
          <w:lang w:val="en-US"/>
        </w:rPr>
        <w:t xml:space="preserve"> av de </w:t>
      </w:r>
      <w:proofErr w:type="spellStart"/>
      <w:r w:rsidRPr="00693A45">
        <w:rPr>
          <w:lang w:val="en-US"/>
        </w:rPr>
        <w:t>som</w:t>
      </w:r>
      <w:proofErr w:type="spellEnd"/>
      <w:r w:rsidRPr="00693A45">
        <w:rPr>
          <w:lang w:val="en-US"/>
        </w:rPr>
        <w:t xml:space="preserve"> </w:t>
      </w:r>
      <w:proofErr w:type="spellStart"/>
      <w:r w:rsidRPr="00693A45">
        <w:rPr>
          <w:lang w:val="en-US"/>
        </w:rPr>
        <w:t>skal</w:t>
      </w:r>
      <w:proofErr w:type="spellEnd"/>
      <w:r w:rsidRPr="00693A45">
        <w:rPr>
          <w:lang w:val="en-US"/>
        </w:rPr>
        <w:t xml:space="preserve"> delta </w:t>
      </w:r>
      <w:proofErr w:type="spellStart"/>
      <w:r w:rsidRPr="00693A45">
        <w:rPr>
          <w:lang w:val="en-US"/>
        </w:rPr>
        <w:t>på</w:t>
      </w:r>
      <w:proofErr w:type="spellEnd"/>
      <w:r w:rsidRPr="00693A45">
        <w:rPr>
          <w:lang w:val="en-US"/>
        </w:rPr>
        <w:t xml:space="preserve"> </w:t>
      </w:r>
      <w:proofErr w:type="spellStart"/>
      <w:r w:rsidRPr="00693A45">
        <w:rPr>
          <w:lang w:val="en-US"/>
        </w:rPr>
        <w:t>deres</w:t>
      </w:r>
      <w:proofErr w:type="spellEnd"/>
      <w:r w:rsidRPr="00693A45">
        <w:rPr>
          <w:lang w:val="en-US"/>
        </w:rPr>
        <w:t xml:space="preserve"> </w:t>
      </w:r>
      <w:proofErr w:type="spellStart"/>
      <w:r w:rsidRPr="00693A45">
        <w:rPr>
          <w:lang w:val="en-US"/>
        </w:rPr>
        <w:t>vegne</w:t>
      </w:r>
      <w:proofErr w:type="spellEnd"/>
      <w:r w:rsidRPr="00693A45">
        <w:rPr>
          <w:lang w:val="en-US"/>
        </w:rPr>
        <w:t xml:space="preserve"> </w:t>
      </w:r>
      <w:proofErr w:type="spellStart"/>
      <w:r w:rsidRPr="00693A45">
        <w:rPr>
          <w:lang w:val="en-US"/>
        </w:rPr>
        <w:t>i</w:t>
      </w:r>
      <w:proofErr w:type="spellEnd"/>
      <w:r w:rsidRPr="00693A45">
        <w:rPr>
          <w:lang w:val="en-US"/>
        </w:rPr>
        <w:t xml:space="preserve"> </w:t>
      </w:r>
      <w:proofErr w:type="spellStart"/>
      <w:r w:rsidRPr="00693A45">
        <w:rPr>
          <w:lang w:val="en-US"/>
        </w:rPr>
        <w:t>konsultasjonene</w:t>
      </w:r>
      <w:proofErr w:type="spellEnd"/>
      <w:r w:rsidRPr="00693A45">
        <w:rPr>
          <w:lang w:val="en-US"/>
        </w:rPr>
        <w:t xml:space="preserve">, og dels at de </w:t>
      </w:r>
      <w:proofErr w:type="spellStart"/>
      <w:r w:rsidRPr="00693A45">
        <w:rPr>
          <w:lang w:val="en-US"/>
        </w:rPr>
        <w:t>institusjonene</w:t>
      </w:r>
      <w:proofErr w:type="spellEnd"/>
      <w:r w:rsidRPr="00693A45">
        <w:rPr>
          <w:lang w:val="en-US"/>
        </w:rPr>
        <w:t xml:space="preserve"> det </w:t>
      </w:r>
      <w:proofErr w:type="spellStart"/>
      <w:r w:rsidRPr="00693A45">
        <w:rPr>
          <w:lang w:val="en-US"/>
        </w:rPr>
        <w:t>konsulteres</w:t>
      </w:r>
      <w:proofErr w:type="spellEnd"/>
      <w:r w:rsidRPr="00693A45">
        <w:rPr>
          <w:lang w:val="en-US"/>
        </w:rPr>
        <w:t xml:space="preserve"> med </w:t>
      </w:r>
      <w:proofErr w:type="spellStart"/>
      <w:r w:rsidRPr="00693A45">
        <w:rPr>
          <w:lang w:val="en-US"/>
        </w:rPr>
        <w:t>faktisk</w:t>
      </w:r>
      <w:proofErr w:type="spellEnd"/>
      <w:r w:rsidRPr="00693A45">
        <w:rPr>
          <w:lang w:val="en-US"/>
        </w:rPr>
        <w:t xml:space="preserve"> er representative.</w:t>
      </w:r>
    </w:p>
    <w:p w14:paraId="24631621" w14:textId="45B8F78E" w:rsidR="009549A2" w:rsidRDefault="009549A2" w:rsidP="009549A2">
      <w:r w:rsidRPr="00853769">
        <w:lastRenderedPageBreak/>
        <w:t xml:space="preserve">Det følger av dette at Sametinget vil være representative når det gjelder lovgivning og andre tiltak som kan få </w:t>
      </w:r>
      <w:r w:rsidR="00CD439F">
        <w:t>«</w:t>
      </w:r>
      <w:r w:rsidRPr="00CD439F">
        <w:rPr>
          <w:rStyle w:val="kursiv"/>
        </w:rPr>
        <w:t>direkte betydning</w:t>
      </w:r>
      <w:r w:rsidR="00CD439F">
        <w:t>»</w:t>
      </w:r>
      <w:r w:rsidRPr="00853769">
        <w:t xml:space="preserve"> for samer i Norge som helhet, eller for en betydelig andel av norske samer. Sametinget vil også være representative i saker som berører mer begrensede grupper av samer, men der sakene har stor betydning for samisk materiell kulturutøvelse, eller av andre grunner er prinsipielt viktige. Rovviltforvaltningen i områder der det drives samisk reindrift kan være et eksempel på saker som faller i sistnevnte kategori.</w:t>
      </w:r>
    </w:p>
    <w:p w14:paraId="2FCC0E4F" w14:textId="4E44DFC5" w:rsidR="00303661" w:rsidRDefault="009549A2" w:rsidP="009549A2">
      <w:r w:rsidRPr="00853769">
        <w:t>I disse sakene vil det ikke være tilstrekkelig bare å konsultere Sametinget, som dessuten i lokale saker ofte ikke vil ha den påkrevde representativiteten. Også de berørte reindriftsinteressene må, med mindre de ikke ønsker å delta i konsultasjoner, konsulteres ved sine representative institusjoner. For beslutninger på nasjonalt nivå vil Norske Reindriftsamers Landsforbund (NRL) være en aktuell konsultasjonspart. For beslutninger som treffes som ledd i rovviltforvaltningen på regionalt nivå</w:t>
      </w:r>
      <w:r>
        <w:t>,</w:t>
      </w:r>
      <w:r w:rsidRPr="00853769">
        <w:t xml:space="preserve"> vil det også</w:t>
      </w:r>
      <w:r>
        <w:t xml:space="preserve"> være</w:t>
      </w:r>
      <w:r w:rsidRPr="00853769">
        <w:t xml:space="preserve"> aktuelt å konsultere med representanter for de lokalt berørte reindriftsutøverne ved deres distriktsstyrer, jf. reindriftsloven §</w:t>
      </w:r>
      <w:r w:rsidR="00CD439F">
        <w:t>§ </w:t>
      </w:r>
      <w:r w:rsidR="00CD439F" w:rsidRPr="00853769">
        <w:t>4</w:t>
      </w:r>
      <w:r w:rsidRPr="00853769">
        <w:t xml:space="preserve">2 flg., og eventuelt også med det lokale </w:t>
      </w:r>
      <w:proofErr w:type="spellStart"/>
      <w:r w:rsidRPr="00853769">
        <w:t>siidastyret</w:t>
      </w:r>
      <w:proofErr w:type="spellEnd"/>
      <w:r w:rsidRPr="00853769">
        <w:t xml:space="preserve">, jf. </w:t>
      </w:r>
      <w:r w:rsidR="00CD439F">
        <w:t>§ </w:t>
      </w:r>
      <w:r w:rsidR="00CD439F" w:rsidRPr="00853769">
        <w:t>5</w:t>
      </w:r>
      <w:r w:rsidRPr="00853769">
        <w:t>1 flg., og med representanter for svenske samebyer med beiterettigheter i Norge.</w:t>
      </w:r>
      <w:r w:rsidR="00CD439F" w:rsidRPr="00CD439F">
        <w:rPr>
          <w:rStyle w:val="Fotnotereferanse"/>
        </w:rPr>
        <w:footnoteReference w:id="105"/>
      </w:r>
    </w:p>
    <w:p w14:paraId="33F598A1" w14:textId="493FCDEE" w:rsidR="009A0FC6" w:rsidRDefault="009A0FC6" w:rsidP="009A0FC6">
      <w:pPr>
        <w:pStyle w:val="Overskrift5"/>
      </w:pPr>
      <w:r>
        <w:t>For hvilke offentlige organer gjelder konsultasjonsplikten?</w:t>
      </w:r>
    </w:p>
    <w:p w14:paraId="3CE32C83" w14:textId="130EC45E" w:rsidR="00303661" w:rsidRDefault="009A0FC6" w:rsidP="009A0FC6">
      <w:r w:rsidRPr="00853769">
        <w:t xml:space="preserve">Etter ordlyden i artikkel 6 gjelder konsultasjonsplikten for </w:t>
      </w:r>
      <w:r w:rsidR="00CD439F">
        <w:t>«</w:t>
      </w:r>
      <w:proofErr w:type="spellStart"/>
      <w:r w:rsidRPr="00853769">
        <w:t>governments</w:t>
      </w:r>
      <w:proofErr w:type="spellEnd"/>
      <w:r w:rsidR="00CD439F">
        <w:t>»</w:t>
      </w:r>
      <w:r w:rsidRPr="00853769">
        <w:t>, det vil si for regjeringene i de statene som har ratifisert konvensjonen. Plikten gjelder også for departementer, direktoratet og andre underliggende statlige virksomheter og organer, som for eksempel statsforvalterne, reindriftens områdestyrer og de regionale rovviltnemndene.</w:t>
      </w:r>
    </w:p>
    <w:p w14:paraId="5294A976" w14:textId="424DC74A" w:rsidR="009A0FC6" w:rsidRDefault="009A0FC6" w:rsidP="009A0FC6">
      <w:pPr>
        <w:rPr>
          <w:rFonts w:eastAsiaTheme="majorEastAsia" w:cstheme="majorBidi"/>
        </w:rPr>
      </w:pPr>
      <w:r w:rsidRPr="00853769">
        <w:t>Konsultasjonsplikten gjelder også for statsforetak og private rettssubjekter som utøver offentlig forvaltningsmyndighet på vegne av staten</w:t>
      </w:r>
      <w:r>
        <w:t>,</w:t>
      </w:r>
      <w:r w:rsidRPr="00853769">
        <w:t xml:space="preserve"> dersom de treffer vedtak som kan ha direkte betydning for samiske naturbruksinteresse</w:t>
      </w:r>
      <w:r>
        <w:t>r</w:t>
      </w:r>
      <w:r w:rsidRPr="00853769">
        <w:t>.</w:t>
      </w:r>
    </w:p>
    <w:p w14:paraId="116F9BC8" w14:textId="10A63039" w:rsidR="009A0FC6" w:rsidRDefault="009A0FC6" w:rsidP="009A0FC6">
      <w:pPr>
        <w:rPr>
          <w:rFonts w:cs="Times New Roman"/>
        </w:rPr>
      </w:pPr>
      <w:r w:rsidRPr="00853769">
        <w:rPr>
          <w:rFonts w:cs="Times New Roman"/>
        </w:rPr>
        <w:t>Kommuner og fylkeskommuner er ikke en del av det statlige forvaltningshierarkiet, bortsett fra når dette er særskilt fastsatt ved lov. Norge plikter imidlertid som konvensjonspart å sørge for at også kommunale og fylkeskommunale opptrer i samsvar med statens folkerettslige forpliktelser når de utøver myndighet som kan få direkte betydning for samiske interesser. Dermed vil konsultasjonsplikten etter artikkel 6 også gjelde for kommuner og fylkeskommuner.</w:t>
      </w:r>
    </w:p>
    <w:p w14:paraId="2DE6F3AA" w14:textId="224FE42C" w:rsidR="009A0FC6" w:rsidRPr="009A0FC6" w:rsidRDefault="009A0FC6" w:rsidP="009A0FC6">
      <w:pPr>
        <w:pStyle w:val="Overskrift5"/>
        <w:rPr>
          <w:rFonts w:eastAsiaTheme="majorEastAsia"/>
        </w:rPr>
      </w:pPr>
      <w:r>
        <w:rPr>
          <w:rFonts w:eastAsiaTheme="majorEastAsia"/>
        </w:rPr>
        <w:lastRenderedPageBreak/>
        <w:t>Gjennomføringen av konsultasjonene – artikkel 6 (2)</w:t>
      </w:r>
    </w:p>
    <w:p w14:paraId="21870E53" w14:textId="711DA52D" w:rsidR="00303661" w:rsidRDefault="009A0FC6" w:rsidP="009A0FC6">
      <w:r w:rsidRPr="00853769">
        <w:t>Det følger av artikkel 6 (2) at konsultasjonene skal gjennomføres i god tro (</w:t>
      </w:r>
      <w:r w:rsidR="00CD439F">
        <w:t>«</w:t>
      </w:r>
      <w:r w:rsidRPr="00CD439F">
        <w:rPr>
          <w:rStyle w:val="kursiv"/>
        </w:rPr>
        <w:t xml:space="preserve">in </w:t>
      </w:r>
      <w:proofErr w:type="spellStart"/>
      <w:r w:rsidRPr="00CD439F">
        <w:rPr>
          <w:rStyle w:val="kursiv"/>
        </w:rPr>
        <w:t>good</w:t>
      </w:r>
      <w:proofErr w:type="spellEnd"/>
      <w:r w:rsidRPr="00CD439F">
        <w:rPr>
          <w:rStyle w:val="kursiv"/>
        </w:rPr>
        <w:t xml:space="preserve"> </w:t>
      </w:r>
      <w:proofErr w:type="spellStart"/>
      <w:r w:rsidRPr="00CD439F">
        <w:rPr>
          <w:rStyle w:val="kursiv"/>
        </w:rPr>
        <w:t>faith</w:t>
      </w:r>
      <w:proofErr w:type="spellEnd"/>
      <w:r w:rsidR="00CD439F">
        <w:t>»</w:t>
      </w:r>
      <w:r w:rsidRPr="00853769">
        <w:t>), og på en måte som er tilpasset forholdene (</w:t>
      </w:r>
      <w:r w:rsidR="00CD439F">
        <w:t>«</w:t>
      </w:r>
      <w:proofErr w:type="spellStart"/>
      <w:r w:rsidRPr="00CD439F">
        <w:rPr>
          <w:rStyle w:val="kursiv"/>
        </w:rPr>
        <w:t>appropriate</w:t>
      </w:r>
      <w:proofErr w:type="spellEnd"/>
      <w:r w:rsidRPr="00CD439F">
        <w:rPr>
          <w:rStyle w:val="kursiv"/>
        </w:rPr>
        <w:t xml:space="preserve"> to </w:t>
      </w:r>
      <w:proofErr w:type="spellStart"/>
      <w:r w:rsidRPr="00CD439F">
        <w:rPr>
          <w:rStyle w:val="kursiv"/>
        </w:rPr>
        <w:t>the</w:t>
      </w:r>
      <w:proofErr w:type="spellEnd"/>
      <w:r w:rsidRPr="00CD439F">
        <w:rPr>
          <w:rStyle w:val="kursiv"/>
        </w:rPr>
        <w:t xml:space="preserve"> </w:t>
      </w:r>
      <w:proofErr w:type="spellStart"/>
      <w:r w:rsidRPr="00CD439F">
        <w:rPr>
          <w:rStyle w:val="kursiv"/>
        </w:rPr>
        <w:t>circumstances</w:t>
      </w:r>
      <w:proofErr w:type="spellEnd"/>
      <w:r w:rsidR="00CD439F">
        <w:t>»</w:t>
      </w:r>
      <w:r w:rsidRPr="00853769">
        <w:t>) i den saken det konsulteres om, med formål om å oppnå enighet om eller samtykke til de foreslåtte tiltakene (</w:t>
      </w:r>
      <w:r w:rsidR="00CD439F">
        <w:t>«</w:t>
      </w:r>
      <w:proofErr w:type="spellStart"/>
      <w:r w:rsidRPr="00CD439F">
        <w:rPr>
          <w:rStyle w:val="kursiv"/>
        </w:rPr>
        <w:t>agreement</w:t>
      </w:r>
      <w:proofErr w:type="spellEnd"/>
      <w:r w:rsidRPr="00CD439F">
        <w:rPr>
          <w:rStyle w:val="kursiv"/>
        </w:rPr>
        <w:t xml:space="preserve"> or </w:t>
      </w:r>
      <w:proofErr w:type="spellStart"/>
      <w:r w:rsidRPr="00CD439F">
        <w:rPr>
          <w:rStyle w:val="kursiv"/>
        </w:rPr>
        <w:t>consent</w:t>
      </w:r>
      <w:proofErr w:type="spellEnd"/>
      <w:r w:rsidRPr="00CD439F">
        <w:rPr>
          <w:rStyle w:val="kursiv"/>
        </w:rPr>
        <w:t xml:space="preserve"> to </w:t>
      </w:r>
      <w:proofErr w:type="spellStart"/>
      <w:r w:rsidRPr="00CD439F">
        <w:rPr>
          <w:rStyle w:val="kursiv"/>
        </w:rPr>
        <w:t>the</w:t>
      </w:r>
      <w:proofErr w:type="spellEnd"/>
      <w:r w:rsidRPr="00CD439F">
        <w:rPr>
          <w:rStyle w:val="kursiv"/>
        </w:rPr>
        <w:t xml:space="preserve"> </w:t>
      </w:r>
      <w:proofErr w:type="spellStart"/>
      <w:r w:rsidRPr="00CD439F">
        <w:rPr>
          <w:rStyle w:val="kursiv"/>
        </w:rPr>
        <w:t>proposed</w:t>
      </w:r>
      <w:proofErr w:type="spellEnd"/>
      <w:r w:rsidRPr="00CD439F">
        <w:rPr>
          <w:rStyle w:val="kursiv"/>
        </w:rPr>
        <w:t xml:space="preserve"> </w:t>
      </w:r>
      <w:proofErr w:type="spellStart"/>
      <w:r w:rsidRPr="00CD439F">
        <w:rPr>
          <w:rStyle w:val="kursiv"/>
        </w:rPr>
        <w:t>measures</w:t>
      </w:r>
      <w:proofErr w:type="spellEnd"/>
      <w:r w:rsidR="00CD439F">
        <w:t>»</w:t>
      </w:r>
      <w:r w:rsidRPr="00853769">
        <w:t>).</w:t>
      </w:r>
    </w:p>
    <w:p w14:paraId="2CFA7792" w14:textId="4587C67E" w:rsidR="00303661" w:rsidRDefault="009A0FC6" w:rsidP="009A0FC6">
      <w:r w:rsidRPr="00853769">
        <w:t>Kravet om konsultasjoner i god tro med formål om å oppnå enighet eller samtykke har en sentral plass i ILO-organenes uttalelser, og i ILOs veiledningsmateriale om konvensjonen.</w:t>
      </w:r>
      <w:r w:rsidR="00CD439F" w:rsidRPr="00CD439F">
        <w:rPr>
          <w:rStyle w:val="Fotnotereferanse"/>
        </w:rPr>
        <w:footnoteReference w:id="106"/>
      </w:r>
      <w:r w:rsidRPr="00853769">
        <w:t xml:space="preserve"> I NOU 2007: 13 uttaler Samerettsutvalget II om kravet:</w:t>
      </w:r>
      <w:r w:rsidR="00CD439F" w:rsidRPr="00CD439F">
        <w:rPr>
          <w:rStyle w:val="Fotnotereferanse"/>
        </w:rPr>
        <w:footnoteReference w:id="107"/>
      </w:r>
    </w:p>
    <w:p w14:paraId="156D9185" w14:textId="30746E99" w:rsidR="009A0FC6" w:rsidRPr="00CD439F" w:rsidRDefault="00CD439F" w:rsidP="00393223">
      <w:pPr>
        <w:pStyle w:val="blokksit"/>
        <w:ind w:left="757"/>
      </w:pPr>
      <w:r>
        <w:t>«</w:t>
      </w:r>
      <w:r w:rsidR="009A0FC6" w:rsidRPr="00CD439F">
        <w:t>I kravet om at konsultasjonene skal foregå med god vilje (</w:t>
      </w:r>
      <w:r>
        <w:t>«</w:t>
      </w:r>
      <w:r w:rsidR="009A0FC6" w:rsidRPr="00CD439F">
        <w:t xml:space="preserve">in </w:t>
      </w:r>
      <w:proofErr w:type="spellStart"/>
      <w:r w:rsidR="009A0FC6" w:rsidRPr="00CD439F">
        <w:t>good</w:t>
      </w:r>
      <w:proofErr w:type="spellEnd"/>
      <w:r w:rsidR="009A0FC6" w:rsidRPr="00CD439F">
        <w:t xml:space="preserve"> </w:t>
      </w:r>
      <w:proofErr w:type="spellStart"/>
      <w:r w:rsidR="009A0FC6" w:rsidRPr="00CD439F">
        <w:t>faith</w:t>
      </w:r>
      <w:proofErr w:type="spellEnd"/>
      <w:r>
        <w:t>»</w:t>
      </w:r>
      <w:r w:rsidR="009A0FC6" w:rsidRPr="00CD439F">
        <w:t xml:space="preserve">) ligger det blant annet at konsultasjonene skal gjennomføres med gjensidig respekt for partenes interesser, verdier og behov. Dette må blant annet innebære at myndighetene ved gjennomføringen av konsultasjonene må gi de deltakende </w:t>
      </w:r>
      <w:proofErr w:type="spellStart"/>
      <w:r w:rsidR="009A0FC6" w:rsidRPr="00CD439F">
        <w:t>urfolksrepresentantene</w:t>
      </w:r>
      <w:proofErr w:type="spellEnd"/>
      <w:r w:rsidR="009A0FC6" w:rsidRPr="00CD439F">
        <w:t xml:space="preserve"> relevant og fullstendig informasjon som presenteres på en forståelig måte. Uten slik informasjon kan formålet med konsultasjonene om at det skal oppnås enighet om eller tilslutning til de planlagte tiltakene basert på fullt og informert samtykke vanskelig realiseres. I kravet om god vilje ligger det også at de deltakende </w:t>
      </w:r>
      <w:proofErr w:type="spellStart"/>
      <w:r w:rsidR="009A0FC6" w:rsidRPr="00CD439F">
        <w:t>urfolksrepresentantene</w:t>
      </w:r>
      <w:proofErr w:type="spellEnd"/>
      <w:r w:rsidR="009A0FC6" w:rsidRPr="00CD439F">
        <w:t xml:space="preserve"> vil måtte gis tilstrekkelig tid til å sette seg inn i innholdet og rekkevidden av de forslagene som er gjenstand for konsultasjoner. Det vil også måtte etableres et konsultasjonsklima som er basert på gjensidig tillit</w:t>
      </w:r>
      <w:r>
        <w:t>»</w:t>
      </w:r>
      <w:r w:rsidR="009A0FC6" w:rsidRPr="00CD439F">
        <w:t>.</w:t>
      </w:r>
    </w:p>
    <w:p w14:paraId="1ECB6E5D" w14:textId="01C65D99" w:rsidR="00303661" w:rsidRDefault="009A0FC6" w:rsidP="009A0FC6">
      <w:r w:rsidRPr="00853769">
        <w:rPr>
          <w:lang w:val="en-GB"/>
        </w:rPr>
        <w:t xml:space="preserve">At </w:t>
      </w:r>
      <w:proofErr w:type="spellStart"/>
      <w:r w:rsidRPr="00853769">
        <w:rPr>
          <w:lang w:val="en-GB"/>
        </w:rPr>
        <w:t>konsultasjonene</w:t>
      </w:r>
      <w:proofErr w:type="spellEnd"/>
      <w:r w:rsidRPr="00853769">
        <w:rPr>
          <w:lang w:val="en-GB"/>
        </w:rPr>
        <w:t xml:space="preserve"> </w:t>
      </w:r>
      <w:proofErr w:type="spellStart"/>
      <w:r w:rsidRPr="00853769">
        <w:rPr>
          <w:lang w:val="en-GB"/>
        </w:rPr>
        <w:t>skal</w:t>
      </w:r>
      <w:proofErr w:type="spellEnd"/>
      <w:r w:rsidRPr="00853769">
        <w:rPr>
          <w:lang w:val="en-GB"/>
        </w:rPr>
        <w:t xml:space="preserve"> </w:t>
      </w:r>
      <w:proofErr w:type="spellStart"/>
      <w:r w:rsidRPr="00853769">
        <w:rPr>
          <w:lang w:val="en-GB"/>
        </w:rPr>
        <w:t>være</w:t>
      </w:r>
      <w:proofErr w:type="spellEnd"/>
      <w:r w:rsidRPr="00853769">
        <w:rPr>
          <w:lang w:val="en-GB"/>
        </w:rPr>
        <w:t xml:space="preserve"> </w:t>
      </w:r>
      <w:r w:rsidR="00CD439F">
        <w:rPr>
          <w:lang w:val="en-GB"/>
        </w:rPr>
        <w:t>«</w:t>
      </w:r>
      <w:r w:rsidRPr="2FB46E9B">
        <w:rPr>
          <w:lang w:val="en-GB"/>
        </w:rPr>
        <w:t>appropriate to the circumstances</w:t>
      </w:r>
      <w:r w:rsidR="00CD439F">
        <w:rPr>
          <w:lang w:val="en-GB"/>
        </w:rPr>
        <w:t>»</w:t>
      </w:r>
      <w:r w:rsidRPr="00853769">
        <w:rPr>
          <w:lang w:val="en-GB"/>
        </w:rPr>
        <w:t xml:space="preserve"> </w:t>
      </w:r>
      <w:proofErr w:type="spellStart"/>
      <w:r w:rsidRPr="00853769">
        <w:rPr>
          <w:lang w:val="en-GB"/>
        </w:rPr>
        <w:t>innebærer</w:t>
      </w:r>
      <w:proofErr w:type="spellEnd"/>
      <w:r w:rsidRPr="00853769">
        <w:rPr>
          <w:lang w:val="en-GB"/>
        </w:rPr>
        <w:t xml:space="preserve"> </w:t>
      </w:r>
      <w:proofErr w:type="spellStart"/>
      <w:r w:rsidRPr="00853769">
        <w:rPr>
          <w:lang w:val="en-GB"/>
        </w:rPr>
        <w:t>ifølge</w:t>
      </w:r>
      <w:proofErr w:type="spellEnd"/>
      <w:r w:rsidRPr="00853769">
        <w:rPr>
          <w:lang w:val="en-GB"/>
        </w:rPr>
        <w:t xml:space="preserve"> ILOs manual at de </w:t>
      </w:r>
      <w:proofErr w:type="spellStart"/>
      <w:r w:rsidRPr="00853769">
        <w:rPr>
          <w:lang w:val="en-GB"/>
        </w:rPr>
        <w:t>må</w:t>
      </w:r>
      <w:proofErr w:type="spellEnd"/>
      <w:r w:rsidRPr="00853769">
        <w:rPr>
          <w:lang w:val="en-GB"/>
        </w:rPr>
        <w:t xml:space="preserve"> </w:t>
      </w:r>
      <w:r w:rsidR="00CD439F">
        <w:rPr>
          <w:lang w:val="en-GB"/>
        </w:rPr>
        <w:t>«</w:t>
      </w:r>
      <w:r w:rsidRPr="2FB46E9B">
        <w:rPr>
          <w:lang w:val="en-GB"/>
        </w:rPr>
        <w:t>meet the requirements of each specific situation, and must be meaningful, sincere and transparent</w:t>
      </w:r>
      <w:r w:rsidR="00CD439F">
        <w:rPr>
          <w:lang w:val="en-GB"/>
        </w:rPr>
        <w:t>»</w:t>
      </w:r>
      <w:r w:rsidRPr="00853769">
        <w:rPr>
          <w:lang w:val="en-GB"/>
        </w:rPr>
        <w:t>.</w:t>
      </w:r>
      <w:r w:rsidR="00CD439F" w:rsidRPr="00CD439F">
        <w:rPr>
          <w:rStyle w:val="Fotnotereferanse"/>
        </w:rPr>
        <w:footnoteReference w:id="108"/>
      </w:r>
      <w:r w:rsidRPr="00853769">
        <w:rPr>
          <w:lang w:val="en-US"/>
        </w:rPr>
        <w:t xml:space="preserve"> </w:t>
      </w:r>
      <w:r w:rsidRPr="00853769">
        <w:t xml:space="preserve">Det er dermed ikke nødvendigvis noe krav om </w:t>
      </w:r>
      <w:r w:rsidRPr="00853769">
        <w:lastRenderedPageBreak/>
        <w:t>at det må avholdes en serie med møter, så lenge de grunnleggende kravene til gjennomføringen er oppfylt.</w:t>
      </w:r>
    </w:p>
    <w:p w14:paraId="5CCAB8A0" w14:textId="7C61ED3F" w:rsidR="00303661" w:rsidRDefault="009A0FC6" w:rsidP="009A0FC6">
      <w:pPr>
        <w:rPr>
          <w:sz w:val="24"/>
          <w:szCs w:val="24"/>
        </w:rPr>
      </w:pPr>
      <w:r w:rsidRPr="00853769">
        <w:t>Det følger av ordlyden i artikkel 6 (2) at hensikten med konsultasjonene er at det skal oppnås enighet om eller tilslutning om de tiltakene det konsulteres om. Det er imidlertid ikke noe krav om at det faktisk oppnås enighet. I den foran omtalte klagesaken (</w:t>
      </w:r>
      <w:r w:rsidR="00CD439F">
        <w:t>«</w:t>
      </w:r>
      <w:proofErr w:type="spellStart"/>
      <w:r w:rsidRPr="00853769">
        <w:t>representation</w:t>
      </w:r>
      <w:proofErr w:type="spellEnd"/>
      <w:r w:rsidR="00CD439F">
        <w:t>»</w:t>
      </w:r>
      <w:r w:rsidRPr="00853769">
        <w:t xml:space="preserve"> mot Colombia fra 1999 om letetillatelser for petroleum) uttalte </w:t>
      </w:r>
      <w:proofErr w:type="spellStart"/>
      <w:r w:rsidRPr="002F6674">
        <w:t>trepartskomiteen</w:t>
      </w:r>
      <w:proofErr w:type="spellEnd"/>
      <w:r w:rsidRPr="00853769">
        <w:t xml:space="preserve"> blant annet:</w:t>
      </w:r>
      <w:r w:rsidR="00CD439F" w:rsidRPr="00CD439F">
        <w:rPr>
          <w:rStyle w:val="Fotnotereferanse"/>
        </w:rPr>
        <w:footnoteReference w:id="109"/>
      </w:r>
    </w:p>
    <w:p w14:paraId="3CCCEA0F" w14:textId="5DE9E91E" w:rsidR="00303661" w:rsidRPr="00CD439F" w:rsidRDefault="00CD439F" w:rsidP="00393223">
      <w:pPr>
        <w:pStyle w:val="blokksit"/>
        <w:ind w:left="757"/>
        <w:rPr>
          <w:lang w:val="en-US"/>
        </w:rPr>
      </w:pPr>
      <w:r>
        <w:rPr>
          <w:lang w:val="en-US"/>
        </w:rPr>
        <w:t>«</w:t>
      </w:r>
      <w:r w:rsidR="009A0FC6" w:rsidRPr="00CD439F">
        <w:rPr>
          <w:lang w:val="en-US"/>
        </w:rPr>
        <w:t>The Committee recalls that, during the adoption of Article 6 of the Convention … the Office had not intended to suggest that the consultations would have to result in the obtaining of agreement of those being consulted, but rather to express an objective for the consultations …</w:t>
      </w:r>
      <w:r w:rsidR="009A0FC6" w:rsidRPr="00CD439F">
        <w:rPr>
          <w:lang w:val="en-US"/>
        </w:rPr>
        <w:br/>
        <w:t xml:space="preserve"> … In the Committee</w:t>
      </w:r>
      <w:r>
        <w:rPr>
          <w:lang w:val="en-US"/>
        </w:rPr>
        <w:t>’</w:t>
      </w:r>
      <w:r w:rsidR="009A0FC6" w:rsidRPr="00CD439F">
        <w:rPr>
          <w:lang w:val="en-US"/>
        </w:rPr>
        <w:t>s view, although Article 6 does not require that consensus be reached in the consultation process, it does envisage that the peoples concerned should have an opportunity to participate freely at all levels in the formulation, application and evaluation of measures and programs that directly affect them …</w:t>
      </w:r>
      <w:r>
        <w:rPr>
          <w:lang w:val="en-US"/>
        </w:rPr>
        <w:t>»</w:t>
      </w:r>
    </w:p>
    <w:p w14:paraId="78F6F29E" w14:textId="6819B1F5" w:rsidR="009A0FC6" w:rsidRDefault="009A0FC6" w:rsidP="009A0FC6">
      <w:r w:rsidRPr="00853769">
        <w:t>For at det skal være mulig å realisere de målsetningene som er skissert i artikkel 6, vil konsultasjonene måtte gjennomføres på et så tidlig stadium av saksbehandlingen at urfolket har en reell mulighet til å påvirke både prosessen og utfallet av saken. Videre vil konsultasjonene måtte pågå så lenge partene anser det mulig å oppnå enighet.</w:t>
      </w:r>
    </w:p>
    <w:p w14:paraId="0B6006D6" w14:textId="352419FE" w:rsidR="009A0FC6" w:rsidRDefault="009A0FC6" w:rsidP="009A0FC6">
      <w:r w:rsidRPr="00853769">
        <w:t xml:space="preserve">Selv om ILO-konvensjonens artikkel 6 ikke gir </w:t>
      </w:r>
      <w:r w:rsidR="00CD439F">
        <w:t>«</w:t>
      </w:r>
      <w:proofErr w:type="spellStart"/>
      <w:r w:rsidRPr="00CD439F">
        <w:rPr>
          <w:rStyle w:val="kursiv"/>
        </w:rPr>
        <w:t>indigenous</w:t>
      </w:r>
      <w:proofErr w:type="spellEnd"/>
      <w:r w:rsidRPr="00CD439F">
        <w:rPr>
          <w:rStyle w:val="kursiv"/>
        </w:rPr>
        <w:t xml:space="preserve"> … </w:t>
      </w:r>
      <w:proofErr w:type="spellStart"/>
      <w:r w:rsidRPr="00CD439F">
        <w:rPr>
          <w:rStyle w:val="kursiv"/>
        </w:rPr>
        <w:t>peoples</w:t>
      </w:r>
      <w:proofErr w:type="spellEnd"/>
      <w:r w:rsidRPr="00CD439F">
        <w:rPr>
          <w:rStyle w:val="kursiv"/>
        </w:rPr>
        <w:t xml:space="preserve"> </w:t>
      </w:r>
      <w:proofErr w:type="spellStart"/>
      <w:r w:rsidRPr="00CD439F">
        <w:rPr>
          <w:rStyle w:val="kursiv"/>
        </w:rPr>
        <w:t>the</w:t>
      </w:r>
      <w:proofErr w:type="spellEnd"/>
      <w:r w:rsidRPr="00CD439F">
        <w:rPr>
          <w:rStyle w:val="kursiv"/>
        </w:rPr>
        <w:t xml:space="preserve"> right to veto</w:t>
      </w:r>
      <w:r w:rsidR="00CD439F">
        <w:t>»</w:t>
      </w:r>
      <w:r w:rsidRPr="00853769">
        <w:t>,</w:t>
      </w:r>
      <w:r w:rsidR="00CD439F" w:rsidRPr="00CD439F">
        <w:rPr>
          <w:rStyle w:val="Fotnotereferanse"/>
        </w:rPr>
        <w:footnoteReference w:id="110"/>
      </w:r>
      <w:r w:rsidRPr="00853769">
        <w:t xml:space="preserve"> dreier den seg dermed om en reell innflytelse for vedkommende urfolksgruppe.</w:t>
      </w:r>
    </w:p>
    <w:p w14:paraId="38977C32" w14:textId="726120D0" w:rsidR="00370F87" w:rsidRDefault="00370F87" w:rsidP="0095696B">
      <w:pPr>
        <w:pStyle w:val="Overskrift4"/>
      </w:pPr>
      <w:r>
        <w:t>Artikkel 7 – rett til deltakelse</w:t>
      </w:r>
    </w:p>
    <w:p w14:paraId="35554C17" w14:textId="77777777" w:rsidR="00AD6753" w:rsidRDefault="00AD6753" w:rsidP="00AD6753">
      <w:pPr>
        <w:rPr>
          <w:lang w:val="en-GB"/>
        </w:rPr>
      </w:pPr>
      <w:r w:rsidRPr="647A0C51">
        <w:t xml:space="preserve">ILO-konvensjon nr. 169 artikkel 7 har flere elementer, men det gjennomgående temaet er urfolks rett til deltakelse i beslutningsprosesser i saker som angår dem. </w:t>
      </w:r>
      <w:proofErr w:type="spellStart"/>
      <w:r w:rsidRPr="647A0C51">
        <w:rPr>
          <w:lang w:val="en-GB"/>
        </w:rPr>
        <w:t>Bestemmelsen</w:t>
      </w:r>
      <w:proofErr w:type="spellEnd"/>
      <w:r w:rsidRPr="647A0C51">
        <w:rPr>
          <w:lang w:val="en-GB"/>
        </w:rPr>
        <w:t xml:space="preserve"> </w:t>
      </w:r>
      <w:proofErr w:type="spellStart"/>
      <w:r w:rsidRPr="647A0C51">
        <w:rPr>
          <w:lang w:val="en-GB"/>
        </w:rPr>
        <w:t>lyder</w:t>
      </w:r>
      <w:proofErr w:type="spellEnd"/>
      <w:r w:rsidRPr="647A0C51">
        <w:rPr>
          <w:lang w:val="en-GB"/>
        </w:rPr>
        <w:t>:</w:t>
      </w:r>
    </w:p>
    <w:p w14:paraId="7B1FC34E" w14:textId="0EF6D14B" w:rsidR="00303661" w:rsidRPr="00CD439F" w:rsidRDefault="00CD439F" w:rsidP="00393223">
      <w:pPr>
        <w:pStyle w:val="blokksit"/>
        <w:ind w:left="757"/>
        <w:rPr>
          <w:lang w:val="en-US"/>
        </w:rPr>
      </w:pPr>
      <w:r>
        <w:rPr>
          <w:lang w:val="en-US"/>
        </w:rPr>
        <w:t>«</w:t>
      </w:r>
      <w:r w:rsidR="00AD6753" w:rsidRPr="00CD439F">
        <w:rPr>
          <w:lang w:val="en-US"/>
        </w:rPr>
        <w:t xml:space="preserve">1. The peoples concerned shall have the right to decide their own priorities for the process of development as it affects their lives, beliefs, institutions and spiritual well-being and the lands they occupy or otherwise use, and to exercise control, to the extent possible, over their own economic, social and cultural development. In addition, they shall participate in the formulation, implementation and evaluation of plans and </w:t>
      </w:r>
      <w:proofErr w:type="spellStart"/>
      <w:r w:rsidR="00AD6753" w:rsidRPr="00CD439F">
        <w:rPr>
          <w:lang w:val="en-US"/>
        </w:rPr>
        <w:t>programmes</w:t>
      </w:r>
      <w:proofErr w:type="spellEnd"/>
      <w:r w:rsidR="00AD6753" w:rsidRPr="00CD439F">
        <w:rPr>
          <w:lang w:val="en-US"/>
        </w:rPr>
        <w:t xml:space="preserve"> for national and regional development which may affect them directly.</w:t>
      </w:r>
    </w:p>
    <w:p w14:paraId="3AAA5916" w14:textId="77777777" w:rsidR="00303661" w:rsidRPr="00CD439F" w:rsidRDefault="00AD6753" w:rsidP="00393223">
      <w:pPr>
        <w:pStyle w:val="blokksit"/>
        <w:ind w:left="757"/>
        <w:rPr>
          <w:lang w:val="en-US"/>
        </w:rPr>
      </w:pPr>
      <w:r w:rsidRPr="00CD439F">
        <w:rPr>
          <w:lang w:val="en-US"/>
        </w:rPr>
        <w:lastRenderedPageBreak/>
        <w:t>2. The improvement of the conditions of life and work and levels of health and education of the peoples concerned, with their participation and co-operation, shall be a matter of priority in plans for the overall economic development of areas they inhabit. Special projects for development of the areas in question shall also be so designed as to promote such improvement.</w:t>
      </w:r>
    </w:p>
    <w:p w14:paraId="118C9D14" w14:textId="77777777" w:rsidR="00303661" w:rsidRPr="00CD439F" w:rsidRDefault="00AD6753" w:rsidP="00393223">
      <w:pPr>
        <w:pStyle w:val="blokksit"/>
        <w:ind w:left="757"/>
        <w:rPr>
          <w:lang w:val="en-US"/>
        </w:rPr>
      </w:pPr>
      <w:r w:rsidRPr="00CD439F">
        <w:rPr>
          <w:lang w:val="en-US"/>
        </w:rPr>
        <w:t>3. Governments shall ensure that, whenever appropriate, studies are carried out, in co-operation with the peoples concerned, to assess the social, spiritual, cultural and environmental impact on them of planned development activities. The results of these studies shall be considered as fundamental criteria for the implementation of these activities.</w:t>
      </w:r>
    </w:p>
    <w:p w14:paraId="50C16C11" w14:textId="67557698" w:rsidR="00AD6753" w:rsidRPr="00CD439F" w:rsidRDefault="00AD6753" w:rsidP="00393223">
      <w:pPr>
        <w:pStyle w:val="blokksit"/>
        <w:ind w:left="757"/>
        <w:rPr>
          <w:lang w:val="en-US"/>
        </w:rPr>
      </w:pPr>
      <w:r w:rsidRPr="00CD439F">
        <w:rPr>
          <w:lang w:val="en-US"/>
        </w:rPr>
        <w:t>4. Governments shall take measures in co-operation with the peoples concerned, to protect and preserve the environment of the territories they inhabit.</w:t>
      </w:r>
      <w:r w:rsidR="00CD439F">
        <w:rPr>
          <w:lang w:val="en-US"/>
        </w:rPr>
        <w:t>»</w:t>
      </w:r>
    </w:p>
    <w:p w14:paraId="45749FA5" w14:textId="7EB6B2AB" w:rsidR="00303661" w:rsidRDefault="00AD6753" w:rsidP="00AD6753">
      <w:pPr>
        <w:rPr>
          <w:rFonts w:cs="Times New Roman"/>
        </w:rPr>
      </w:pPr>
      <w:r w:rsidRPr="00696FB6">
        <w:t xml:space="preserve">ILOs </w:t>
      </w:r>
      <w:r w:rsidR="00CD439F">
        <w:t>«</w:t>
      </w:r>
      <w:r w:rsidRPr="00696FB6">
        <w:t>manual</w:t>
      </w:r>
      <w:r w:rsidR="00CD439F">
        <w:t>»</w:t>
      </w:r>
      <w:r w:rsidRPr="00696FB6">
        <w:t xml:space="preserve"> fra 2003 betegner prinsippet om urfolks rett til deltakelse som </w:t>
      </w:r>
      <w:r w:rsidR="00CD439F">
        <w:t>«</w:t>
      </w:r>
      <w:proofErr w:type="spellStart"/>
      <w:r w:rsidRPr="00696FB6">
        <w:t>another</w:t>
      </w:r>
      <w:proofErr w:type="spellEnd"/>
      <w:r w:rsidRPr="00696FB6">
        <w:t xml:space="preserve"> fundamental </w:t>
      </w:r>
      <w:proofErr w:type="spellStart"/>
      <w:r w:rsidRPr="00696FB6">
        <w:t>principle</w:t>
      </w:r>
      <w:proofErr w:type="spellEnd"/>
      <w:r w:rsidRPr="00696FB6">
        <w:t xml:space="preserve"> </w:t>
      </w:r>
      <w:proofErr w:type="spellStart"/>
      <w:r w:rsidRPr="00696FB6">
        <w:t>of</w:t>
      </w:r>
      <w:proofErr w:type="spellEnd"/>
      <w:r w:rsidRPr="00696FB6">
        <w:t xml:space="preserve"> </w:t>
      </w:r>
      <w:proofErr w:type="spellStart"/>
      <w:r w:rsidRPr="00696FB6">
        <w:t>the</w:t>
      </w:r>
      <w:proofErr w:type="spellEnd"/>
      <w:r w:rsidRPr="00696FB6">
        <w:t xml:space="preserve"> </w:t>
      </w:r>
      <w:proofErr w:type="spellStart"/>
      <w:r w:rsidRPr="00696FB6">
        <w:t>convention</w:t>
      </w:r>
      <w:proofErr w:type="spellEnd"/>
      <w:r w:rsidR="00CD439F">
        <w:t>»</w:t>
      </w:r>
      <w:r w:rsidRPr="00696FB6">
        <w:t xml:space="preserve"> – ved siden av prinsippet om konsultasjoner. Manualen omtaler </w:t>
      </w:r>
      <w:r w:rsidR="00CD439F">
        <w:t>«</w:t>
      </w:r>
      <w:proofErr w:type="spellStart"/>
      <w:r w:rsidRPr="00696FB6">
        <w:t>consultation</w:t>
      </w:r>
      <w:proofErr w:type="spellEnd"/>
      <w:r w:rsidR="00CD439F">
        <w:t>»</w:t>
      </w:r>
      <w:r w:rsidRPr="00696FB6">
        <w:t xml:space="preserve"> og </w:t>
      </w:r>
      <w:r w:rsidR="00CD439F">
        <w:t>«</w:t>
      </w:r>
      <w:proofErr w:type="spellStart"/>
      <w:r w:rsidRPr="00696FB6">
        <w:t>participation</w:t>
      </w:r>
      <w:proofErr w:type="spellEnd"/>
      <w:r w:rsidR="00CD439F">
        <w:t>»</w:t>
      </w:r>
      <w:r w:rsidRPr="00696FB6">
        <w:t xml:space="preserve"> som to ulike stadier i de beslutningsprosessene som urfolk skal ta del i. Først skal urfolket bli </w:t>
      </w:r>
      <w:r w:rsidR="00CD439F">
        <w:t>«</w:t>
      </w:r>
      <w:proofErr w:type="spellStart"/>
      <w:r w:rsidRPr="00696FB6">
        <w:t>consulted</w:t>
      </w:r>
      <w:proofErr w:type="spellEnd"/>
      <w:r w:rsidRPr="00696FB6">
        <w:t xml:space="preserve"> </w:t>
      </w:r>
      <w:proofErr w:type="spellStart"/>
      <w:r w:rsidRPr="00696FB6">
        <w:t>about</w:t>
      </w:r>
      <w:proofErr w:type="spellEnd"/>
      <w:r w:rsidRPr="00696FB6">
        <w:t xml:space="preserve"> </w:t>
      </w:r>
      <w:proofErr w:type="spellStart"/>
      <w:r w:rsidRPr="00696FB6">
        <w:t>development</w:t>
      </w:r>
      <w:proofErr w:type="spellEnd"/>
      <w:r w:rsidRPr="00696FB6">
        <w:t xml:space="preserve"> </w:t>
      </w:r>
      <w:proofErr w:type="spellStart"/>
      <w:r w:rsidRPr="00696FB6">
        <w:t>projects</w:t>
      </w:r>
      <w:proofErr w:type="spellEnd"/>
      <w:r w:rsidRPr="00696FB6">
        <w:t xml:space="preserve"> and </w:t>
      </w:r>
      <w:proofErr w:type="spellStart"/>
      <w:r w:rsidRPr="00696FB6">
        <w:t>programmes</w:t>
      </w:r>
      <w:proofErr w:type="spellEnd"/>
      <w:r w:rsidR="00CD439F">
        <w:t>»</w:t>
      </w:r>
      <w:r w:rsidRPr="00696FB6">
        <w:t xml:space="preserve"> og dernest skal det </w:t>
      </w:r>
      <w:r w:rsidR="00CD439F">
        <w:t>«</w:t>
      </w:r>
      <w:proofErr w:type="spellStart"/>
      <w:r w:rsidRPr="00696FB6">
        <w:t>participate</w:t>
      </w:r>
      <w:proofErr w:type="spellEnd"/>
      <w:r w:rsidRPr="00696FB6">
        <w:t xml:space="preserve"> in </w:t>
      </w:r>
      <w:proofErr w:type="spellStart"/>
      <w:r w:rsidRPr="00696FB6">
        <w:t>the</w:t>
      </w:r>
      <w:proofErr w:type="spellEnd"/>
      <w:r w:rsidRPr="00696FB6">
        <w:t xml:space="preserve"> design, </w:t>
      </w:r>
      <w:proofErr w:type="spellStart"/>
      <w:r w:rsidRPr="00696FB6">
        <w:t>implementation</w:t>
      </w:r>
      <w:proofErr w:type="spellEnd"/>
      <w:r w:rsidRPr="00696FB6">
        <w:t xml:space="preserve"> and </w:t>
      </w:r>
      <w:proofErr w:type="spellStart"/>
      <w:r w:rsidRPr="00696FB6">
        <w:t>evaluation</w:t>
      </w:r>
      <w:proofErr w:type="spellEnd"/>
      <w:r w:rsidRPr="00696FB6">
        <w:t xml:space="preserve"> </w:t>
      </w:r>
      <w:proofErr w:type="spellStart"/>
      <w:r w:rsidRPr="00696FB6">
        <w:t>of</w:t>
      </w:r>
      <w:proofErr w:type="spellEnd"/>
      <w:r w:rsidRPr="00696FB6">
        <w:t xml:space="preserve"> </w:t>
      </w:r>
      <w:proofErr w:type="spellStart"/>
      <w:r w:rsidRPr="00696FB6">
        <w:t>such</w:t>
      </w:r>
      <w:proofErr w:type="spellEnd"/>
      <w:r w:rsidRPr="00696FB6">
        <w:t xml:space="preserve"> </w:t>
      </w:r>
      <w:proofErr w:type="spellStart"/>
      <w:r w:rsidRPr="00696FB6">
        <w:t>projects</w:t>
      </w:r>
      <w:proofErr w:type="spellEnd"/>
      <w:r w:rsidRPr="00696FB6">
        <w:t xml:space="preserve"> and </w:t>
      </w:r>
      <w:proofErr w:type="spellStart"/>
      <w:r w:rsidRPr="00696FB6">
        <w:t>programmes</w:t>
      </w:r>
      <w:proofErr w:type="spellEnd"/>
      <w:r w:rsidRPr="00CD439F">
        <w:rPr>
          <w:rStyle w:val="kursiv"/>
        </w:rPr>
        <w:t>.</w:t>
      </w:r>
      <w:r w:rsidR="00CD439F">
        <w:rPr>
          <w:rFonts w:cs="Times New Roman"/>
        </w:rPr>
        <w:t>»</w:t>
      </w:r>
      <w:r w:rsidR="00CD439F" w:rsidRPr="00CD439F">
        <w:rPr>
          <w:rStyle w:val="Fotnotereferanse"/>
        </w:rPr>
        <w:footnoteReference w:id="111"/>
      </w:r>
    </w:p>
    <w:p w14:paraId="39E50A98" w14:textId="7A7632DF" w:rsidR="00AD6753" w:rsidRDefault="00AD6753" w:rsidP="00AD6753">
      <w:pPr>
        <w:rPr>
          <w:rFonts w:cs="Times New Roman"/>
        </w:rPr>
      </w:pPr>
      <w:r w:rsidRPr="647A0C51">
        <w:rPr>
          <w:rFonts w:cs="Times New Roman"/>
        </w:rPr>
        <w:t xml:space="preserve">ILO-organenes håndhevelsespraksis viser imidlertid at det ikke kan trekkes et distinkt skille mellom konsultasjonsretten og deltakelsesretten. Sammenhengen mellom artikkel 6 og artikkel 7 kommer blant annet til uttrykk i uttalelsen fra ILOs ekspertkomité (CEACR) til Norges </w:t>
      </w:r>
      <w:proofErr w:type="spellStart"/>
      <w:r w:rsidRPr="647A0C51">
        <w:rPr>
          <w:rFonts w:cs="Times New Roman"/>
        </w:rPr>
        <w:t>statsrapport</w:t>
      </w:r>
      <w:proofErr w:type="spellEnd"/>
      <w:r w:rsidRPr="647A0C51">
        <w:rPr>
          <w:rFonts w:cs="Times New Roman"/>
        </w:rPr>
        <w:t xml:space="preserve"> for 2003 der komiteen oppfordrer regjeringen og Sametinget til å fortsette diskusjonen om den fremtidige reguleringen av landrettigheter i Finnmark </w:t>
      </w:r>
      <w:r w:rsidR="00CD439F">
        <w:rPr>
          <w:rFonts w:cs="Times New Roman"/>
        </w:rPr>
        <w:t>«</w:t>
      </w:r>
      <w:r w:rsidRPr="00CD439F">
        <w:rPr>
          <w:rStyle w:val="kursiv"/>
        </w:rPr>
        <w:t xml:space="preserve">in </w:t>
      </w:r>
      <w:proofErr w:type="spellStart"/>
      <w:r w:rsidRPr="00CD439F">
        <w:rPr>
          <w:rStyle w:val="kursiv"/>
        </w:rPr>
        <w:t>the</w:t>
      </w:r>
      <w:proofErr w:type="spellEnd"/>
      <w:r w:rsidRPr="00CD439F">
        <w:rPr>
          <w:rStyle w:val="kursiv"/>
        </w:rPr>
        <w:t xml:space="preserve"> spirit </w:t>
      </w:r>
      <w:proofErr w:type="spellStart"/>
      <w:r w:rsidRPr="00CD439F">
        <w:rPr>
          <w:rStyle w:val="kursiv"/>
        </w:rPr>
        <w:t>of</w:t>
      </w:r>
      <w:proofErr w:type="spellEnd"/>
      <w:r w:rsidRPr="00CD439F">
        <w:rPr>
          <w:rStyle w:val="kursiv"/>
        </w:rPr>
        <w:t xml:space="preserve"> </w:t>
      </w:r>
      <w:proofErr w:type="spellStart"/>
      <w:r w:rsidRPr="00CD439F">
        <w:rPr>
          <w:rStyle w:val="kursiv"/>
        </w:rPr>
        <w:t>dialogue</w:t>
      </w:r>
      <w:proofErr w:type="spellEnd"/>
      <w:r w:rsidRPr="00CD439F">
        <w:rPr>
          <w:rStyle w:val="kursiv"/>
        </w:rPr>
        <w:t xml:space="preserve"> and </w:t>
      </w:r>
      <w:proofErr w:type="spellStart"/>
      <w:r w:rsidRPr="00CD439F">
        <w:rPr>
          <w:rStyle w:val="kursiv"/>
        </w:rPr>
        <w:t>consultation</w:t>
      </w:r>
      <w:proofErr w:type="spellEnd"/>
      <w:r w:rsidRPr="00CD439F">
        <w:rPr>
          <w:rStyle w:val="kursiv"/>
        </w:rPr>
        <w:t xml:space="preserve"> </w:t>
      </w:r>
      <w:proofErr w:type="spellStart"/>
      <w:r w:rsidRPr="00CD439F">
        <w:rPr>
          <w:rStyle w:val="kursiv"/>
        </w:rPr>
        <w:t>embodied</w:t>
      </w:r>
      <w:proofErr w:type="spellEnd"/>
      <w:r w:rsidRPr="00CD439F">
        <w:rPr>
          <w:rStyle w:val="kursiv"/>
        </w:rPr>
        <w:t xml:space="preserve"> in </w:t>
      </w:r>
      <w:proofErr w:type="spellStart"/>
      <w:r w:rsidRPr="00CD439F">
        <w:rPr>
          <w:rStyle w:val="kursiv"/>
        </w:rPr>
        <w:t>Articles</w:t>
      </w:r>
      <w:proofErr w:type="spellEnd"/>
      <w:r w:rsidRPr="00CD439F">
        <w:rPr>
          <w:rStyle w:val="kursiv"/>
        </w:rPr>
        <w:t xml:space="preserve"> 6 and 7</w:t>
      </w:r>
      <w:r w:rsidR="00CD439F">
        <w:rPr>
          <w:rFonts w:cs="Times New Roman"/>
        </w:rPr>
        <w:t>»</w:t>
      </w:r>
      <w:r w:rsidRPr="647A0C51">
        <w:rPr>
          <w:rFonts w:cs="Times New Roman"/>
        </w:rPr>
        <w:t>.</w:t>
      </w:r>
      <w:r w:rsidR="00CD439F" w:rsidRPr="00CD439F">
        <w:rPr>
          <w:rStyle w:val="Fotnotereferanse"/>
        </w:rPr>
        <w:footnoteReference w:id="112"/>
      </w:r>
    </w:p>
    <w:p w14:paraId="27F92624" w14:textId="3DC92B63" w:rsidR="00AD6753" w:rsidRDefault="00AD6753" w:rsidP="00AD6753">
      <w:pPr>
        <w:rPr>
          <w:rFonts w:cs="Times New Roman"/>
        </w:rPr>
      </w:pPr>
      <w:r w:rsidRPr="647A0C51">
        <w:rPr>
          <w:rFonts w:cs="Times New Roman"/>
        </w:rPr>
        <w:t xml:space="preserve">I den i punkt </w:t>
      </w:r>
      <w:r w:rsidRPr="00D45278">
        <w:rPr>
          <w:rFonts w:cs="Times New Roman"/>
        </w:rPr>
        <w:t>3.3.</w:t>
      </w:r>
      <w:r w:rsidR="009B34C4">
        <w:rPr>
          <w:rFonts w:cs="Times New Roman"/>
        </w:rPr>
        <w:t>3.1</w:t>
      </w:r>
      <w:r w:rsidRPr="647A0C51">
        <w:rPr>
          <w:rFonts w:cs="Times New Roman"/>
        </w:rPr>
        <w:t xml:space="preserve"> omtalte klagesaken mot Colombia om utstedelse av letetillatelser for petroleum, brukte ILOs håndhevingsorganer artikkel 7 som et moment ved tolkningen av artikkel 6. ILO-organene tilbakeviste statens anførsel om at tiltaket ikke påvirket urfolket direkte fordi det var lokalisert utenfor urfolksreservatet og derfor ikke var omfattet av artikkel 6, og fremholdt at konvensjonen ikke bare gjelder for </w:t>
      </w:r>
      <w:r w:rsidR="00CD439F">
        <w:rPr>
          <w:rFonts w:cs="Times New Roman"/>
        </w:rPr>
        <w:t>«</w:t>
      </w:r>
      <w:proofErr w:type="spellStart"/>
      <w:r w:rsidRPr="00CD439F">
        <w:rPr>
          <w:rStyle w:val="kursiv"/>
        </w:rPr>
        <w:t>the</w:t>
      </w:r>
      <w:proofErr w:type="spellEnd"/>
      <w:r w:rsidRPr="00CD439F">
        <w:rPr>
          <w:rStyle w:val="kursiv"/>
        </w:rPr>
        <w:t xml:space="preserve"> areas </w:t>
      </w:r>
      <w:proofErr w:type="spellStart"/>
      <w:r w:rsidRPr="00CD439F">
        <w:rPr>
          <w:rStyle w:val="kursiv"/>
        </w:rPr>
        <w:lastRenderedPageBreak/>
        <w:t>occupied</w:t>
      </w:r>
      <w:proofErr w:type="spellEnd"/>
      <w:r w:rsidRPr="00CD439F">
        <w:rPr>
          <w:rStyle w:val="kursiv"/>
        </w:rPr>
        <w:t xml:space="preserve"> by </w:t>
      </w:r>
      <w:proofErr w:type="spellStart"/>
      <w:r w:rsidRPr="00CD439F">
        <w:rPr>
          <w:rStyle w:val="kursiv"/>
        </w:rPr>
        <w:t>indigenous</w:t>
      </w:r>
      <w:proofErr w:type="spellEnd"/>
      <w:r w:rsidRPr="00CD439F">
        <w:rPr>
          <w:rStyle w:val="kursiv"/>
        </w:rPr>
        <w:t xml:space="preserve"> </w:t>
      </w:r>
      <w:proofErr w:type="spellStart"/>
      <w:r w:rsidRPr="00CD439F">
        <w:rPr>
          <w:rStyle w:val="kursiv"/>
        </w:rPr>
        <w:t>peoples</w:t>
      </w:r>
      <w:proofErr w:type="spellEnd"/>
      <w:r w:rsidR="00CD439F">
        <w:rPr>
          <w:rFonts w:cs="Times New Roman"/>
        </w:rPr>
        <w:t>»</w:t>
      </w:r>
      <w:r w:rsidRPr="647A0C51">
        <w:rPr>
          <w:rFonts w:cs="Times New Roman"/>
        </w:rPr>
        <w:t xml:space="preserve">, men også for </w:t>
      </w:r>
      <w:r w:rsidR="00CD439F">
        <w:rPr>
          <w:rFonts w:cs="Times New Roman"/>
        </w:rPr>
        <w:t>«</w:t>
      </w:r>
      <w:proofErr w:type="spellStart"/>
      <w:r w:rsidRPr="00CD439F">
        <w:rPr>
          <w:rStyle w:val="kursiv"/>
        </w:rPr>
        <w:t>the</w:t>
      </w:r>
      <w:proofErr w:type="spellEnd"/>
      <w:r w:rsidRPr="00CD439F">
        <w:rPr>
          <w:rStyle w:val="kursiv"/>
        </w:rPr>
        <w:t xml:space="preserve"> lands </w:t>
      </w:r>
      <w:proofErr w:type="spellStart"/>
      <w:r w:rsidRPr="00CD439F">
        <w:rPr>
          <w:rStyle w:val="kursiv"/>
        </w:rPr>
        <w:t>that</w:t>
      </w:r>
      <w:proofErr w:type="spellEnd"/>
      <w:r w:rsidRPr="00CD439F">
        <w:rPr>
          <w:rStyle w:val="kursiv"/>
        </w:rPr>
        <w:t xml:space="preserve"> </w:t>
      </w:r>
      <w:proofErr w:type="spellStart"/>
      <w:r w:rsidRPr="00CD439F">
        <w:rPr>
          <w:rStyle w:val="kursiv"/>
        </w:rPr>
        <w:t>they</w:t>
      </w:r>
      <w:proofErr w:type="spellEnd"/>
      <w:r w:rsidRPr="00CD439F">
        <w:rPr>
          <w:rStyle w:val="kursiv"/>
        </w:rPr>
        <w:t xml:space="preserve"> … </w:t>
      </w:r>
      <w:proofErr w:type="spellStart"/>
      <w:r w:rsidRPr="00CD439F">
        <w:rPr>
          <w:rStyle w:val="kursiv"/>
        </w:rPr>
        <w:t>otherwise</w:t>
      </w:r>
      <w:proofErr w:type="spellEnd"/>
      <w:r w:rsidRPr="00CD439F">
        <w:rPr>
          <w:rStyle w:val="kursiv"/>
        </w:rPr>
        <w:t xml:space="preserve"> </w:t>
      </w:r>
      <w:proofErr w:type="spellStart"/>
      <w:r w:rsidRPr="00CD439F">
        <w:rPr>
          <w:rStyle w:val="kursiv"/>
        </w:rPr>
        <w:t>use</w:t>
      </w:r>
      <w:proofErr w:type="spellEnd"/>
      <w:r w:rsidR="00CD439F" w:rsidRPr="00CD439F">
        <w:rPr>
          <w:rStyle w:val="kursiv"/>
        </w:rPr>
        <w:t>»</w:t>
      </w:r>
      <w:r w:rsidRPr="00CD439F">
        <w:rPr>
          <w:rStyle w:val="kursiv"/>
        </w:rPr>
        <w:t xml:space="preserve"> (</w:t>
      </w:r>
      <w:proofErr w:type="spellStart"/>
      <w:r w:rsidRPr="00CD439F">
        <w:rPr>
          <w:rStyle w:val="kursiv"/>
        </w:rPr>
        <w:t>Article</w:t>
      </w:r>
      <w:proofErr w:type="spellEnd"/>
      <w:r w:rsidRPr="00CD439F">
        <w:rPr>
          <w:rStyle w:val="kursiv"/>
        </w:rPr>
        <w:t xml:space="preserve"> 7, </w:t>
      </w:r>
      <w:proofErr w:type="spellStart"/>
      <w:r w:rsidRPr="00CD439F">
        <w:rPr>
          <w:rStyle w:val="kursiv"/>
        </w:rPr>
        <w:t>paragraph</w:t>
      </w:r>
      <w:proofErr w:type="spellEnd"/>
      <w:r w:rsidRPr="00CD439F">
        <w:rPr>
          <w:rStyle w:val="kursiv"/>
        </w:rPr>
        <w:t xml:space="preserve"> 1)</w:t>
      </w:r>
      <w:r w:rsidRPr="647A0C51">
        <w:rPr>
          <w:rFonts w:cs="Times New Roman"/>
        </w:rPr>
        <w:t>.</w:t>
      </w:r>
      <w:r w:rsidR="00CD439F">
        <w:rPr>
          <w:rFonts w:cs="Times New Roman"/>
        </w:rPr>
        <w:t>»</w:t>
      </w:r>
      <w:r w:rsidRPr="647A0C51">
        <w:rPr>
          <w:rFonts w:cs="Times New Roman"/>
        </w:rPr>
        <w:t>.</w:t>
      </w:r>
      <w:r w:rsidR="00CD439F" w:rsidRPr="00CD439F">
        <w:rPr>
          <w:rStyle w:val="Fotnotereferanse"/>
        </w:rPr>
        <w:footnoteReference w:id="113"/>
      </w:r>
    </w:p>
    <w:p w14:paraId="206AA1DD" w14:textId="40182E4D" w:rsidR="00AD6753" w:rsidRDefault="00AD6753" w:rsidP="00AD6753">
      <w:pPr>
        <w:rPr>
          <w:rFonts w:cs="Times New Roman"/>
        </w:rPr>
      </w:pPr>
      <w:r w:rsidRPr="647A0C51">
        <w:rPr>
          <w:rFonts w:cs="Times New Roman"/>
        </w:rPr>
        <w:t>En annen klagesak (</w:t>
      </w:r>
      <w:r w:rsidR="00CD439F">
        <w:rPr>
          <w:rFonts w:cs="Times New Roman"/>
        </w:rPr>
        <w:t>«</w:t>
      </w:r>
      <w:proofErr w:type="spellStart"/>
      <w:r w:rsidRPr="647A0C51">
        <w:rPr>
          <w:rFonts w:cs="Times New Roman"/>
        </w:rPr>
        <w:t>representation</w:t>
      </w:r>
      <w:proofErr w:type="spellEnd"/>
      <w:r w:rsidR="00CD439F">
        <w:rPr>
          <w:rFonts w:cs="Times New Roman"/>
        </w:rPr>
        <w:t>»</w:t>
      </w:r>
      <w:r w:rsidRPr="647A0C51">
        <w:rPr>
          <w:rFonts w:cs="Times New Roman"/>
        </w:rPr>
        <w:t>) som illustrerer sammenhengen mellom artikkel 6 og artikkel 7 er en sak mot Mexico fra 2006, som gjaldt bygging/oppgradering av en motorvei (</w:t>
      </w:r>
      <w:r w:rsidR="00CD439F">
        <w:rPr>
          <w:rFonts w:cs="Times New Roman"/>
        </w:rPr>
        <w:t>«</w:t>
      </w:r>
      <w:proofErr w:type="spellStart"/>
      <w:r w:rsidRPr="647A0C51">
        <w:rPr>
          <w:rFonts w:cs="Times New Roman"/>
        </w:rPr>
        <w:t>superhighway</w:t>
      </w:r>
      <w:proofErr w:type="spellEnd"/>
      <w:r w:rsidR="00CD439F">
        <w:rPr>
          <w:rFonts w:cs="Times New Roman"/>
        </w:rPr>
        <w:t>»</w:t>
      </w:r>
      <w:r w:rsidRPr="647A0C51">
        <w:rPr>
          <w:rFonts w:cs="Times New Roman"/>
        </w:rPr>
        <w:t xml:space="preserve">) mellom byene Oaxaca og </w:t>
      </w:r>
      <w:proofErr w:type="spellStart"/>
      <w:r w:rsidRPr="647A0C51">
        <w:rPr>
          <w:rFonts w:cs="Times New Roman"/>
        </w:rPr>
        <w:t>Hauatulco</w:t>
      </w:r>
      <w:proofErr w:type="spellEnd"/>
      <w:r w:rsidRPr="647A0C51">
        <w:rPr>
          <w:rFonts w:cs="Times New Roman"/>
        </w:rPr>
        <w:t xml:space="preserve">, der </w:t>
      </w:r>
      <w:proofErr w:type="spellStart"/>
      <w:r w:rsidRPr="647A0C51">
        <w:rPr>
          <w:rFonts w:cs="Times New Roman"/>
        </w:rPr>
        <w:t>trepartskomiteen</w:t>
      </w:r>
      <w:proofErr w:type="spellEnd"/>
      <w:r w:rsidRPr="647A0C51">
        <w:rPr>
          <w:rFonts w:cs="Times New Roman"/>
        </w:rPr>
        <w:t xml:space="preserve"> uttaler:</w:t>
      </w:r>
      <w:r w:rsidR="00CD439F" w:rsidRPr="00CD439F">
        <w:rPr>
          <w:rStyle w:val="Fotnotereferanse"/>
        </w:rPr>
        <w:footnoteReference w:id="114"/>
      </w:r>
    </w:p>
    <w:p w14:paraId="7422258B" w14:textId="53322DF4" w:rsidR="00D45278" w:rsidRPr="00CD439F" w:rsidRDefault="00CD439F" w:rsidP="00393223">
      <w:pPr>
        <w:pStyle w:val="blokksit"/>
        <w:ind w:left="757"/>
        <w:rPr>
          <w:lang w:val="en-US"/>
        </w:rPr>
      </w:pPr>
      <w:r>
        <w:rPr>
          <w:lang w:val="en-US"/>
        </w:rPr>
        <w:t>«</w:t>
      </w:r>
      <w:r w:rsidR="00D45278" w:rsidRPr="00CD439F">
        <w:rPr>
          <w:lang w:val="en-US"/>
        </w:rPr>
        <w:t xml:space="preserve">The Committee recalls that, in accordance with Article 6, governments shall consult those communities likely to be affected directly, in order in accordance [sic] with Article 7 of the Convention, to allow them to participate in the own development and in particular to ensure that </w:t>
      </w:r>
      <w:r>
        <w:rPr>
          <w:lang w:val="en-US"/>
        </w:rPr>
        <w:t>«</w:t>
      </w:r>
      <w:r w:rsidR="00D45278" w:rsidRPr="00CD439F">
        <w:rPr>
          <w:lang w:val="en-US"/>
        </w:rPr>
        <w:t>studies are carried out, in co-operation with the peoples concerned, to assess the social, spiritual, cultural and environmental impact on them</w:t>
      </w:r>
      <w:r>
        <w:rPr>
          <w:lang w:val="en-US"/>
        </w:rPr>
        <w:t>»</w:t>
      </w:r>
      <w:r w:rsidR="00D45278" w:rsidRPr="00CD439F">
        <w:rPr>
          <w:lang w:val="en-US"/>
        </w:rPr>
        <w:t xml:space="preserve"> (Article 7 (3)) and to </w:t>
      </w:r>
      <w:r>
        <w:rPr>
          <w:lang w:val="en-US"/>
        </w:rPr>
        <w:t>«</w:t>
      </w:r>
      <w:r w:rsidR="00D45278" w:rsidRPr="00CD439F">
        <w:rPr>
          <w:lang w:val="en-US"/>
        </w:rPr>
        <w:t>take measures, in co-operation with the peoples concerned, to protect and preserve the environment</w:t>
      </w:r>
      <w:r>
        <w:rPr>
          <w:lang w:val="en-US"/>
        </w:rPr>
        <w:t>»</w:t>
      </w:r>
      <w:r w:rsidR="00D45278" w:rsidRPr="00CD439F">
        <w:rPr>
          <w:lang w:val="en-US"/>
        </w:rPr>
        <w:t xml:space="preserve"> (Article 7 (4)</w:t>
      </w:r>
      <w:r>
        <w:rPr>
          <w:lang w:val="en-US"/>
        </w:rPr>
        <w:t>»</w:t>
      </w:r>
      <w:r w:rsidR="00D45278" w:rsidRPr="00CD439F">
        <w:rPr>
          <w:lang w:val="en-US"/>
        </w:rPr>
        <w:t>.</w:t>
      </w:r>
      <w:r>
        <w:rPr>
          <w:lang w:val="en-US"/>
        </w:rPr>
        <w:t>»</w:t>
      </w:r>
    </w:p>
    <w:p w14:paraId="3478F92E" w14:textId="77777777" w:rsidR="003024D4" w:rsidRDefault="003024D4" w:rsidP="003024D4">
      <w:r>
        <w:t>Det fremgår her at myndighetene etter artikkel 6 må konsultere de urfolkssamfunnene som kan bli direkte berørte av tiltaket, slik at samfunnenes deltakelsesrett etter artikkel 7 kan bli realisert. Forpliktelsene etter artikkel 6 fremstår derfor i alle fall i en viss utstrekning, som et virkemiddel for å oppfylle forpliktelsene etter artikkel 7.</w:t>
      </w:r>
    </w:p>
    <w:p w14:paraId="7D8D89B4" w14:textId="0E1C7D00" w:rsidR="003024D4" w:rsidRDefault="003024D4" w:rsidP="003024D4">
      <w:r>
        <w:t>Etter en relativt bred drøftelse av forholdet mellom artikkel 6 og 7, basert på foreliggende ILO-praksis, oppsummerer Samerettsutvalget II forholdet mellom de to bestemmelsene slik:</w:t>
      </w:r>
      <w:r w:rsidR="00CD439F" w:rsidRPr="00CD439F">
        <w:rPr>
          <w:rStyle w:val="Fotnotereferanse"/>
        </w:rPr>
        <w:footnoteReference w:id="115"/>
      </w:r>
    </w:p>
    <w:p w14:paraId="2712ACE0" w14:textId="44D71B8D" w:rsidR="003024D4" w:rsidRPr="00CD439F" w:rsidRDefault="00CD439F" w:rsidP="00393223">
      <w:pPr>
        <w:pStyle w:val="blokksit"/>
        <w:ind w:left="757"/>
      </w:pPr>
      <w:r>
        <w:t>«</w:t>
      </w:r>
      <w:r w:rsidR="003024D4" w:rsidRPr="00CD439F">
        <w:t>Det kan etter dette synes mer fruktbart å anse urfolks rett til konsultasjoner og deltakelse som utslag av en felles forpliktelse, enn å bruke tid på å teoretisere spørsmålet om når retten til å bli konsultert etter artikkel 6 slutter og [når] retten til å delta etter artikkel 7 starter. Den felles forpliktelsen innebærer at det skal gjennomføres konsultasjoner med urfolket som gir dette en deltakelsesrett og en reell mulighet til å påvirke innholdet [i] avgjørelser og tiltak som kan få direkte betydning for dets ressursutnyttelse. Dette gjelder også når tiltak som er lokalisert utenfor urfolkets tradisjonelle områder, kan få virkninger i disse områdene.</w:t>
      </w:r>
    </w:p>
    <w:p w14:paraId="0CF491F1" w14:textId="01DE809A" w:rsidR="003024D4" w:rsidRPr="00CD439F" w:rsidRDefault="003024D4" w:rsidP="00393223">
      <w:pPr>
        <w:pStyle w:val="blokksit"/>
        <w:ind w:left="757"/>
      </w:pPr>
      <w:r w:rsidRPr="00CD439F">
        <w:t xml:space="preserve">Denne felles forpliktelsen gir imidlertid ingen vetorett for urfolket. Dette er klart uttrykt i ILOs litteratur om konvensjonen, og følger også implisitt av praksis. I flere </w:t>
      </w:r>
      <w:r w:rsidRPr="00CD439F">
        <w:lastRenderedPageBreak/>
        <w:t>av de ovenfor omtalte sakene er det uttalt at konsultasjonsforpliktelsen etter artikkel 6, tolket i lys av artikkel 7, ikke krever at konsultasjonene skal lede frem til enighet, men at urfolksgruppen må ha hatt en reell mulighet til å delta fritt på alle nivåer i utforming, gjennomføring/anvendelse og evaluering av tiltak og planer som kan påvirke dem direkte.</w:t>
      </w:r>
      <w:r w:rsidR="00CD439F">
        <w:t>»</w:t>
      </w:r>
    </w:p>
    <w:p w14:paraId="50407530" w14:textId="3DDE966A" w:rsidR="00303661" w:rsidRDefault="003024D4" w:rsidP="003024D4">
      <w:r w:rsidRPr="647A0C51">
        <w:t>Det er ikke holdepunkter i nyere ILO-praksis knyttet til artikkel 6 og 7 for at dette stiller seg annerledes i dag. Den foreløpig siste klagesaken (</w:t>
      </w:r>
      <w:r w:rsidR="00CD439F">
        <w:t>«</w:t>
      </w:r>
      <w:proofErr w:type="spellStart"/>
      <w:r w:rsidRPr="647A0C51">
        <w:t>representation</w:t>
      </w:r>
      <w:proofErr w:type="spellEnd"/>
      <w:r w:rsidR="00CD439F">
        <w:t>»</w:t>
      </w:r>
      <w:r w:rsidRPr="647A0C51">
        <w:t xml:space="preserve">) der det foreligger en uttalelse fra ILO-organene om konvensjon nr. 169, gjaldt to større gruveprosjekter i </w:t>
      </w:r>
      <w:proofErr w:type="spellStart"/>
      <w:r w:rsidRPr="647A0C51">
        <w:t>Morona</w:t>
      </w:r>
      <w:proofErr w:type="spellEnd"/>
      <w:r w:rsidRPr="647A0C51">
        <w:t xml:space="preserve"> Santiago-provinsen i Ecuador. I uttalelsen som ble offentliggjort i februar 2024, anmoder </w:t>
      </w:r>
      <w:proofErr w:type="spellStart"/>
      <w:r w:rsidRPr="647A0C51">
        <w:t>trepartskomiteen</w:t>
      </w:r>
      <w:proofErr w:type="spellEnd"/>
      <w:r w:rsidRPr="647A0C51">
        <w:t xml:space="preserve"> med tilslutning fra ILOs styre, myndighetene om å gjennomføre </w:t>
      </w:r>
      <w:r w:rsidR="00CD439F">
        <w:t>«</w:t>
      </w:r>
      <w:r w:rsidRPr="00CD439F">
        <w:rPr>
          <w:rStyle w:val="kursiv"/>
        </w:rPr>
        <w:t xml:space="preserve">a prior </w:t>
      </w:r>
      <w:proofErr w:type="spellStart"/>
      <w:r w:rsidRPr="00CD439F">
        <w:rPr>
          <w:rStyle w:val="kursiv"/>
        </w:rPr>
        <w:t>consultation</w:t>
      </w:r>
      <w:proofErr w:type="spellEnd"/>
      <w:r w:rsidRPr="00CD439F">
        <w:rPr>
          <w:rStyle w:val="kursiv"/>
        </w:rPr>
        <w:t xml:space="preserve"> </w:t>
      </w:r>
      <w:proofErr w:type="spellStart"/>
      <w:r w:rsidRPr="00CD439F">
        <w:rPr>
          <w:rStyle w:val="kursiv"/>
        </w:rPr>
        <w:t>process</w:t>
      </w:r>
      <w:proofErr w:type="spellEnd"/>
      <w:r w:rsidR="00CD439F">
        <w:t>»</w:t>
      </w:r>
      <w:r w:rsidRPr="647A0C51">
        <w:t xml:space="preserve"> (artikkel 6) for blant annet å avklare prosjektenes </w:t>
      </w:r>
      <w:r w:rsidR="00CD439F">
        <w:t>«</w:t>
      </w:r>
      <w:proofErr w:type="spellStart"/>
      <w:r w:rsidRPr="00CD439F">
        <w:rPr>
          <w:rStyle w:val="kursiv"/>
        </w:rPr>
        <w:t>social</w:t>
      </w:r>
      <w:proofErr w:type="spellEnd"/>
      <w:r w:rsidRPr="00CD439F">
        <w:rPr>
          <w:rStyle w:val="kursiv"/>
        </w:rPr>
        <w:t xml:space="preserve">, spiritual, </w:t>
      </w:r>
      <w:proofErr w:type="spellStart"/>
      <w:r w:rsidRPr="00CD439F">
        <w:rPr>
          <w:rStyle w:val="kursiv"/>
        </w:rPr>
        <w:t>cultural</w:t>
      </w:r>
      <w:proofErr w:type="spellEnd"/>
      <w:r w:rsidRPr="00CD439F">
        <w:rPr>
          <w:rStyle w:val="kursiv"/>
        </w:rPr>
        <w:t xml:space="preserve"> and </w:t>
      </w:r>
      <w:proofErr w:type="spellStart"/>
      <w:r w:rsidRPr="00CD439F">
        <w:rPr>
          <w:rStyle w:val="kursiv"/>
        </w:rPr>
        <w:t>envorionmental</w:t>
      </w:r>
      <w:proofErr w:type="spellEnd"/>
      <w:r w:rsidRPr="00CD439F">
        <w:rPr>
          <w:rStyle w:val="kursiv"/>
        </w:rPr>
        <w:t xml:space="preserve"> </w:t>
      </w:r>
      <w:proofErr w:type="spellStart"/>
      <w:r w:rsidRPr="00CD439F">
        <w:rPr>
          <w:rStyle w:val="kursiv"/>
        </w:rPr>
        <w:t>impact</w:t>
      </w:r>
      <w:proofErr w:type="spellEnd"/>
      <w:r w:rsidR="00CD439F">
        <w:t>»</w:t>
      </w:r>
      <w:r w:rsidRPr="647A0C51">
        <w:t xml:space="preserve"> (artikkel 7 (3)).</w:t>
      </w:r>
      <w:r w:rsidR="00CD439F" w:rsidRPr="00CD439F">
        <w:rPr>
          <w:rStyle w:val="Fotnotereferanse"/>
        </w:rPr>
        <w:footnoteReference w:id="116"/>
      </w:r>
    </w:p>
    <w:p w14:paraId="7609258F" w14:textId="261D61DF" w:rsidR="003024D4" w:rsidRDefault="003024D4" w:rsidP="0095696B">
      <w:pPr>
        <w:pStyle w:val="Overskrift4"/>
      </w:pPr>
      <w:r>
        <w:t>Artikkel 15 – deltakelse i bruk, forvaltning og utnyttelse av naturressurser</w:t>
      </w:r>
    </w:p>
    <w:p w14:paraId="12A2580E" w14:textId="77777777" w:rsidR="00DB61DC" w:rsidRDefault="00DB61DC" w:rsidP="00DB61DC">
      <w:pPr>
        <w:rPr>
          <w:lang w:val="en-GB"/>
        </w:rPr>
      </w:pPr>
      <w:r w:rsidRPr="647A0C51">
        <w:t xml:space="preserve">Når det har vært spørsmål om brudd på de forpliktelsene som kan utledes av artikkel 6 og 7 i ILO-konvensjon nr. 169, har ILOs håndhevelsesorganer i saker som gjelder utnyttelse og forvaltning av naturressursene ofte også trukket inn artikkel 15. </w:t>
      </w:r>
      <w:proofErr w:type="spellStart"/>
      <w:r w:rsidRPr="647A0C51">
        <w:rPr>
          <w:lang w:val="en-GB"/>
        </w:rPr>
        <w:t>Bestemmelsen</w:t>
      </w:r>
      <w:proofErr w:type="spellEnd"/>
      <w:r w:rsidRPr="647A0C51">
        <w:rPr>
          <w:lang w:val="en-GB"/>
        </w:rPr>
        <w:t xml:space="preserve"> </w:t>
      </w:r>
      <w:proofErr w:type="spellStart"/>
      <w:r w:rsidRPr="647A0C51">
        <w:rPr>
          <w:lang w:val="en-GB"/>
        </w:rPr>
        <w:t>lyder</w:t>
      </w:r>
      <w:proofErr w:type="spellEnd"/>
      <w:r w:rsidRPr="647A0C51">
        <w:rPr>
          <w:lang w:val="en-GB"/>
        </w:rPr>
        <w:t>:</w:t>
      </w:r>
    </w:p>
    <w:p w14:paraId="0775D55C" w14:textId="076DA29E" w:rsidR="00DB61DC" w:rsidRPr="00CD439F" w:rsidRDefault="00CD439F" w:rsidP="00393223">
      <w:pPr>
        <w:pStyle w:val="blokksit"/>
        <w:ind w:left="757"/>
        <w:rPr>
          <w:lang w:val="en-US"/>
        </w:rPr>
      </w:pPr>
      <w:r>
        <w:rPr>
          <w:lang w:val="en-US"/>
        </w:rPr>
        <w:t>«</w:t>
      </w:r>
      <w:r w:rsidR="00DB61DC" w:rsidRPr="00CD439F">
        <w:rPr>
          <w:lang w:val="en-US"/>
        </w:rPr>
        <w:t>1. The rights of the peoples concerned to the natural resources pertaining to their lands shall be specially safeguarded. These rights include the right of these peoples to participate in the use, management and conservation of these resources.</w:t>
      </w:r>
    </w:p>
    <w:p w14:paraId="4E86D116" w14:textId="7FB587AB" w:rsidR="00DB61DC" w:rsidRPr="00CD439F" w:rsidRDefault="00DB61DC" w:rsidP="00393223">
      <w:pPr>
        <w:pStyle w:val="blokksit"/>
        <w:ind w:left="757"/>
        <w:rPr>
          <w:lang w:val="en-US"/>
        </w:rPr>
      </w:pPr>
      <w:r w:rsidRPr="00CD439F">
        <w:rPr>
          <w:lang w:val="en-US"/>
        </w:rPr>
        <w:t xml:space="preserve">2. In cases in which the State retains the ownership of mineral or sub-surface resources or rights to other resources pertaining to lands, governments shall establish or maintain procedures through which they shall consult these peoples, with a view to ascertaining whether and to what degree their interests would be prejudiced, before undertaking or permitting any </w:t>
      </w:r>
      <w:proofErr w:type="spellStart"/>
      <w:r w:rsidRPr="00CD439F">
        <w:rPr>
          <w:lang w:val="en-US"/>
        </w:rPr>
        <w:t>programmes</w:t>
      </w:r>
      <w:proofErr w:type="spellEnd"/>
      <w:r w:rsidRPr="00CD439F">
        <w:rPr>
          <w:lang w:val="en-US"/>
        </w:rPr>
        <w:t xml:space="preserve"> for the exploration or exploitation of such resources pertaining to their lands. The peoples concerned shall wherever possible participate in the benefits of such activities, and shall receive fair compensation for any damages which they may sustain as a result of such </w:t>
      </w:r>
      <w:proofErr w:type="spellStart"/>
      <w:r w:rsidRPr="00CD439F">
        <w:rPr>
          <w:lang w:val="en-US"/>
        </w:rPr>
        <w:t>activites</w:t>
      </w:r>
      <w:proofErr w:type="spellEnd"/>
      <w:r w:rsidRPr="00CD439F">
        <w:rPr>
          <w:lang w:val="en-US"/>
        </w:rPr>
        <w:t>.</w:t>
      </w:r>
      <w:r w:rsidR="00CD439F">
        <w:rPr>
          <w:lang w:val="en-US"/>
        </w:rPr>
        <w:t>»</w:t>
      </w:r>
    </w:p>
    <w:p w14:paraId="461BC23A" w14:textId="7432658D" w:rsidR="00DB61DC" w:rsidRPr="00693A45" w:rsidRDefault="00DB61DC" w:rsidP="00DB61DC">
      <w:pPr>
        <w:rPr>
          <w:lang w:val="en-US"/>
        </w:rPr>
      </w:pPr>
      <w:proofErr w:type="spellStart"/>
      <w:r w:rsidRPr="00693A45">
        <w:rPr>
          <w:lang w:val="en-US"/>
        </w:rPr>
        <w:t>Artikkel</w:t>
      </w:r>
      <w:proofErr w:type="spellEnd"/>
      <w:r w:rsidRPr="00693A45">
        <w:rPr>
          <w:lang w:val="en-US"/>
        </w:rPr>
        <w:t xml:space="preserve"> 15 nr. 1 </w:t>
      </w:r>
      <w:proofErr w:type="spellStart"/>
      <w:r w:rsidRPr="00693A45">
        <w:rPr>
          <w:lang w:val="en-US"/>
        </w:rPr>
        <w:t>fastsetter</w:t>
      </w:r>
      <w:proofErr w:type="spellEnd"/>
      <w:r w:rsidRPr="00693A45">
        <w:rPr>
          <w:lang w:val="en-US"/>
        </w:rPr>
        <w:t xml:space="preserve"> at </w:t>
      </w:r>
      <w:proofErr w:type="spellStart"/>
      <w:r w:rsidRPr="00693A45">
        <w:rPr>
          <w:lang w:val="en-US"/>
        </w:rPr>
        <w:t>statene</w:t>
      </w:r>
      <w:proofErr w:type="spellEnd"/>
      <w:r w:rsidRPr="00693A45">
        <w:rPr>
          <w:lang w:val="en-US"/>
        </w:rPr>
        <w:t xml:space="preserve"> </w:t>
      </w:r>
      <w:proofErr w:type="spellStart"/>
      <w:r w:rsidRPr="00693A45">
        <w:rPr>
          <w:lang w:val="en-US"/>
        </w:rPr>
        <w:t>plikter</w:t>
      </w:r>
      <w:proofErr w:type="spellEnd"/>
      <w:r w:rsidRPr="00693A45">
        <w:rPr>
          <w:lang w:val="en-US"/>
        </w:rPr>
        <w:t xml:space="preserve"> å </w:t>
      </w:r>
      <w:proofErr w:type="spellStart"/>
      <w:r w:rsidRPr="00693A45">
        <w:rPr>
          <w:lang w:val="en-US"/>
        </w:rPr>
        <w:t>sikre</w:t>
      </w:r>
      <w:proofErr w:type="spellEnd"/>
      <w:r w:rsidRPr="00693A45">
        <w:rPr>
          <w:lang w:val="en-US"/>
        </w:rPr>
        <w:t xml:space="preserve"> </w:t>
      </w:r>
      <w:proofErr w:type="spellStart"/>
      <w:r w:rsidRPr="00693A45">
        <w:rPr>
          <w:lang w:val="en-US"/>
        </w:rPr>
        <w:t>vedkommende</w:t>
      </w:r>
      <w:proofErr w:type="spellEnd"/>
      <w:r w:rsidRPr="00693A45">
        <w:rPr>
          <w:lang w:val="en-US"/>
        </w:rPr>
        <w:t xml:space="preserve"> </w:t>
      </w:r>
      <w:proofErr w:type="spellStart"/>
      <w:r w:rsidRPr="00693A45">
        <w:rPr>
          <w:lang w:val="en-US"/>
        </w:rPr>
        <w:t>urfolks</w:t>
      </w:r>
      <w:proofErr w:type="spellEnd"/>
      <w:r w:rsidRPr="00693A45">
        <w:rPr>
          <w:lang w:val="en-US"/>
        </w:rPr>
        <w:t xml:space="preserve"> </w:t>
      </w:r>
      <w:proofErr w:type="spellStart"/>
      <w:r w:rsidRPr="00693A45">
        <w:rPr>
          <w:lang w:val="en-US"/>
        </w:rPr>
        <w:t>rett</w:t>
      </w:r>
      <w:proofErr w:type="spellEnd"/>
      <w:r w:rsidRPr="00693A45">
        <w:rPr>
          <w:lang w:val="en-US"/>
        </w:rPr>
        <w:t xml:space="preserve"> </w:t>
      </w:r>
      <w:proofErr w:type="spellStart"/>
      <w:r w:rsidRPr="00693A45">
        <w:rPr>
          <w:lang w:val="en-US"/>
        </w:rPr>
        <w:t>til</w:t>
      </w:r>
      <w:proofErr w:type="spellEnd"/>
      <w:r w:rsidRPr="00693A45">
        <w:rPr>
          <w:lang w:val="en-US"/>
        </w:rPr>
        <w:t xml:space="preserve"> </w:t>
      </w:r>
      <w:proofErr w:type="spellStart"/>
      <w:r w:rsidRPr="00693A45">
        <w:rPr>
          <w:lang w:val="en-US"/>
        </w:rPr>
        <w:t>naturressursene</w:t>
      </w:r>
      <w:proofErr w:type="spellEnd"/>
      <w:r w:rsidRPr="00693A45">
        <w:rPr>
          <w:lang w:val="en-US"/>
        </w:rPr>
        <w:t xml:space="preserve"> </w:t>
      </w:r>
      <w:proofErr w:type="spellStart"/>
      <w:r w:rsidRPr="00693A45">
        <w:rPr>
          <w:lang w:val="en-US"/>
        </w:rPr>
        <w:t>i</w:t>
      </w:r>
      <w:proofErr w:type="spellEnd"/>
      <w:r w:rsidRPr="00693A45">
        <w:rPr>
          <w:lang w:val="en-US"/>
        </w:rPr>
        <w:t xml:space="preserve"> dets </w:t>
      </w:r>
      <w:proofErr w:type="spellStart"/>
      <w:r w:rsidRPr="00693A45">
        <w:rPr>
          <w:lang w:val="en-US"/>
        </w:rPr>
        <w:t>landområder</w:t>
      </w:r>
      <w:proofErr w:type="spellEnd"/>
      <w:r w:rsidRPr="00693A45">
        <w:rPr>
          <w:lang w:val="en-US"/>
        </w:rPr>
        <w:t xml:space="preserve">, og at </w:t>
      </w:r>
      <w:proofErr w:type="spellStart"/>
      <w:r w:rsidRPr="00693A45">
        <w:rPr>
          <w:lang w:val="en-US"/>
        </w:rPr>
        <w:t>retten</w:t>
      </w:r>
      <w:proofErr w:type="spellEnd"/>
      <w:r w:rsidRPr="00693A45">
        <w:rPr>
          <w:lang w:val="en-US"/>
        </w:rPr>
        <w:t xml:space="preserve"> </w:t>
      </w:r>
      <w:proofErr w:type="spellStart"/>
      <w:r w:rsidRPr="00693A45">
        <w:rPr>
          <w:lang w:val="en-US"/>
        </w:rPr>
        <w:t>omfatter</w:t>
      </w:r>
      <w:proofErr w:type="spellEnd"/>
      <w:r w:rsidRPr="00693A45">
        <w:rPr>
          <w:lang w:val="en-US"/>
        </w:rPr>
        <w:t xml:space="preserve"> </w:t>
      </w:r>
      <w:proofErr w:type="spellStart"/>
      <w:r w:rsidRPr="00693A45">
        <w:rPr>
          <w:lang w:val="en-US"/>
        </w:rPr>
        <w:t>deltakelse</w:t>
      </w:r>
      <w:proofErr w:type="spellEnd"/>
      <w:r w:rsidRPr="00693A45">
        <w:rPr>
          <w:lang w:val="en-US"/>
        </w:rPr>
        <w:t xml:space="preserve"> </w:t>
      </w:r>
      <w:proofErr w:type="spellStart"/>
      <w:r w:rsidRPr="00693A45">
        <w:rPr>
          <w:lang w:val="en-US"/>
        </w:rPr>
        <w:t>i</w:t>
      </w:r>
      <w:proofErr w:type="spellEnd"/>
      <w:r w:rsidRPr="00693A45">
        <w:rPr>
          <w:lang w:val="en-US"/>
        </w:rPr>
        <w:t xml:space="preserve"> bruk, </w:t>
      </w:r>
      <w:proofErr w:type="spellStart"/>
      <w:r w:rsidRPr="00693A45">
        <w:rPr>
          <w:lang w:val="en-US"/>
        </w:rPr>
        <w:t>styring</w:t>
      </w:r>
      <w:proofErr w:type="spellEnd"/>
      <w:r w:rsidRPr="00693A45">
        <w:rPr>
          <w:lang w:val="en-US"/>
        </w:rPr>
        <w:t xml:space="preserve"> og </w:t>
      </w:r>
      <w:proofErr w:type="spellStart"/>
      <w:r w:rsidRPr="00693A45">
        <w:rPr>
          <w:lang w:val="en-US"/>
        </w:rPr>
        <w:t>bevaring</w:t>
      </w:r>
      <w:proofErr w:type="spellEnd"/>
      <w:r w:rsidRPr="00693A45">
        <w:rPr>
          <w:lang w:val="en-US"/>
        </w:rPr>
        <w:t xml:space="preserve"> av </w:t>
      </w:r>
      <w:proofErr w:type="spellStart"/>
      <w:r w:rsidRPr="00693A45">
        <w:rPr>
          <w:lang w:val="en-US"/>
        </w:rPr>
        <w:t>ressursene</w:t>
      </w:r>
      <w:proofErr w:type="spellEnd"/>
      <w:r w:rsidRPr="00693A45">
        <w:rPr>
          <w:lang w:val="en-US"/>
        </w:rPr>
        <w:t xml:space="preserve">. I </w:t>
      </w:r>
      <w:proofErr w:type="spellStart"/>
      <w:r w:rsidRPr="00693A45">
        <w:rPr>
          <w:lang w:val="en-US"/>
        </w:rPr>
        <w:t>uttalelsen</w:t>
      </w:r>
      <w:proofErr w:type="spellEnd"/>
      <w:r w:rsidRPr="00693A45">
        <w:rPr>
          <w:lang w:val="en-US"/>
        </w:rPr>
        <w:t xml:space="preserve"> </w:t>
      </w:r>
      <w:proofErr w:type="spellStart"/>
      <w:r w:rsidRPr="00693A45">
        <w:rPr>
          <w:lang w:val="en-US"/>
        </w:rPr>
        <w:t>til</w:t>
      </w:r>
      <w:proofErr w:type="spellEnd"/>
      <w:r w:rsidRPr="00693A45">
        <w:rPr>
          <w:lang w:val="en-US"/>
        </w:rPr>
        <w:t xml:space="preserve"> </w:t>
      </w:r>
      <w:proofErr w:type="spellStart"/>
      <w:r w:rsidRPr="00693A45">
        <w:rPr>
          <w:lang w:val="en-US"/>
        </w:rPr>
        <w:t>Norges</w:t>
      </w:r>
      <w:proofErr w:type="spellEnd"/>
      <w:r w:rsidRPr="00693A45">
        <w:rPr>
          <w:lang w:val="en-US"/>
        </w:rPr>
        <w:t xml:space="preserve"> </w:t>
      </w:r>
      <w:proofErr w:type="spellStart"/>
      <w:r w:rsidRPr="00693A45">
        <w:rPr>
          <w:lang w:val="en-US"/>
        </w:rPr>
        <w:t>statsrapport</w:t>
      </w:r>
      <w:proofErr w:type="spellEnd"/>
      <w:r w:rsidRPr="00693A45">
        <w:rPr>
          <w:lang w:val="en-US"/>
        </w:rPr>
        <w:t xml:space="preserve"> for 2003 om </w:t>
      </w:r>
      <w:proofErr w:type="spellStart"/>
      <w:r w:rsidRPr="00693A45">
        <w:rPr>
          <w:lang w:val="en-US"/>
        </w:rPr>
        <w:t>oppfølgingen</w:t>
      </w:r>
      <w:proofErr w:type="spellEnd"/>
      <w:r w:rsidRPr="00693A45">
        <w:rPr>
          <w:lang w:val="en-US"/>
        </w:rPr>
        <w:t xml:space="preserve"> av ILO-</w:t>
      </w:r>
      <w:proofErr w:type="spellStart"/>
      <w:r w:rsidRPr="00693A45">
        <w:rPr>
          <w:lang w:val="en-US"/>
        </w:rPr>
        <w:t>konvensjon</w:t>
      </w:r>
      <w:proofErr w:type="spellEnd"/>
      <w:r w:rsidRPr="00693A45">
        <w:rPr>
          <w:lang w:val="en-US"/>
        </w:rPr>
        <w:t xml:space="preserve"> nr. 169 </w:t>
      </w:r>
      <w:proofErr w:type="spellStart"/>
      <w:r w:rsidRPr="00693A45">
        <w:rPr>
          <w:lang w:val="en-US"/>
        </w:rPr>
        <w:t>uttalte</w:t>
      </w:r>
      <w:proofErr w:type="spellEnd"/>
      <w:r w:rsidRPr="00693A45">
        <w:rPr>
          <w:lang w:val="en-US"/>
        </w:rPr>
        <w:t xml:space="preserve"> ILOs </w:t>
      </w:r>
      <w:proofErr w:type="spellStart"/>
      <w:r w:rsidRPr="00693A45">
        <w:rPr>
          <w:lang w:val="en-US"/>
        </w:rPr>
        <w:t>ekspertkomité</w:t>
      </w:r>
      <w:proofErr w:type="spellEnd"/>
      <w:r w:rsidRPr="00693A45">
        <w:rPr>
          <w:lang w:val="en-US"/>
        </w:rPr>
        <w:t xml:space="preserve"> det </w:t>
      </w:r>
      <w:proofErr w:type="spellStart"/>
      <w:r w:rsidRPr="00693A45">
        <w:rPr>
          <w:lang w:val="en-US"/>
        </w:rPr>
        <w:t>følgende</w:t>
      </w:r>
      <w:proofErr w:type="spellEnd"/>
      <w:r w:rsidRPr="00693A45">
        <w:rPr>
          <w:lang w:val="en-US"/>
        </w:rPr>
        <w:t xml:space="preserve"> om </w:t>
      </w:r>
      <w:proofErr w:type="spellStart"/>
      <w:r w:rsidRPr="00693A45">
        <w:rPr>
          <w:lang w:val="en-US"/>
        </w:rPr>
        <w:t>regjeringens</w:t>
      </w:r>
      <w:proofErr w:type="spellEnd"/>
      <w:r w:rsidRPr="00693A45">
        <w:rPr>
          <w:lang w:val="en-US"/>
        </w:rPr>
        <w:t xml:space="preserve"> </w:t>
      </w:r>
      <w:proofErr w:type="spellStart"/>
      <w:r w:rsidRPr="00693A45">
        <w:rPr>
          <w:lang w:val="en-US"/>
        </w:rPr>
        <w:t>forslag</w:t>
      </w:r>
      <w:proofErr w:type="spellEnd"/>
      <w:r w:rsidRPr="00693A45">
        <w:rPr>
          <w:lang w:val="en-US"/>
        </w:rPr>
        <w:t xml:space="preserve"> om å </w:t>
      </w:r>
      <w:proofErr w:type="spellStart"/>
      <w:r w:rsidRPr="00693A45">
        <w:rPr>
          <w:lang w:val="en-US"/>
        </w:rPr>
        <w:t>overføre</w:t>
      </w:r>
      <w:proofErr w:type="spellEnd"/>
      <w:r w:rsidRPr="00693A45">
        <w:rPr>
          <w:lang w:val="en-US"/>
        </w:rPr>
        <w:t xml:space="preserve"> </w:t>
      </w:r>
      <w:proofErr w:type="spellStart"/>
      <w:r w:rsidRPr="00693A45">
        <w:rPr>
          <w:lang w:val="en-US"/>
        </w:rPr>
        <w:t>grunnbokshjemmelen</w:t>
      </w:r>
      <w:proofErr w:type="spellEnd"/>
      <w:r w:rsidRPr="00693A45">
        <w:rPr>
          <w:lang w:val="en-US"/>
        </w:rPr>
        <w:t xml:space="preserve"> </w:t>
      </w:r>
      <w:proofErr w:type="spellStart"/>
      <w:r w:rsidRPr="00693A45">
        <w:rPr>
          <w:lang w:val="en-US"/>
        </w:rPr>
        <w:t>til</w:t>
      </w:r>
      <w:proofErr w:type="spellEnd"/>
      <w:r w:rsidRPr="00693A45">
        <w:rPr>
          <w:lang w:val="en-US"/>
        </w:rPr>
        <w:t xml:space="preserve"> om lag 9</w:t>
      </w:r>
      <w:r w:rsidR="00CD439F" w:rsidRPr="00693A45">
        <w:rPr>
          <w:lang w:val="en-US"/>
        </w:rPr>
        <w:t>6</w:t>
      </w:r>
      <w:r w:rsidR="00CD439F">
        <w:rPr>
          <w:lang w:val="en-US"/>
        </w:rPr>
        <w:t> %</w:t>
      </w:r>
      <w:r w:rsidRPr="00693A45">
        <w:rPr>
          <w:lang w:val="en-US"/>
        </w:rPr>
        <w:t xml:space="preserve"> av </w:t>
      </w:r>
      <w:proofErr w:type="spellStart"/>
      <w:r w:rsidRPr="00693A45">
        <w:rPr>
          <w:lang w:val="en-US"/>
        </w:rPr>
        <w:t>grunnen</w:t>
      </w:r>
      <w:proofErr w:type="spellEnd"/>
      <w:r w:rsidRPr="00693A45">
        <w:rPr>
          <w:lang w:val="en-US"/>
        </w:rPr>
        <w:t xml:space="preserve"> </w:t>
      </w:r>
      <w:proofErr w:type="spellStart"/>
      <w:r w:rsidRPr="00693A45">
        <w:rPr>
          <w:lang w:val="en-US"/>
        </w:rPr>
        <w:t>i</w:t>
      </w:r>
      <w:proofErr w:type="spellEnd"/>
      <w:r w:rsidRPr="00693A45">
        <w:rPr>
          <w:lang w:val="en-US"/>
        </w:rPr>
        <w:t xml:space="preserve"> </w:t>
      </w:r>
      <w:proofErr w:type="spellStart"/>
      <w:r w:rsidRPr="00693A45">
        <w:rPr>
          <w:lang w:val="en-US"/>
        </w:rPr>
        <w:t>Finnmark</w:t>
      </w:r>
      <w:proofErr w:type="spellEnd"/>
      <w:r w:rsidRPr="00693A45">
        <w:rPr>
          <w:lang w:val="en-US"/>
        </w:rPr>
        <w:t xml:space="preserve"> </w:t>
      </w:r>
      <w:proofErr w:type="spellStart"/>
      <w:r w:rsidRPr="00693A45">
        <w:rPr>
          <w:lang w:val="en-US"/>
        </w:rPr>
        <w:t>fra</w:t>
      </w:r>
      <w:proofErr w:type="spellEnd"/>
      <w:r w:rsidRPr="00693A45">
        <w:rPr>
          <w:lang w:val="en-US"/>
        </w:rPr>
        <w:t xml:space="preserve"> </w:t>
      </w:r>
      <w:proofErr w:type="spellStart"/>
      <w:r w:rsidRPr="00693A45">
        <w:rPr>
          <w:lang w:val="en-US"/>
        </w:rPr>
        <w:t>staten</w:t>
      </w:r>
      <w:proofErr w:type="spellEnd"/>
      <w:r w:rsidRPr="00693A45">
        <w:rPr>
          <w:lang w:val="en-US"/>
        </w:rPr>
        <w:t xml:space="preserve"> </w:t>
      </w:r>
      <w:proofErr w:type="spellStart"/>
      <w:r w:rsidRPr="00693A45">
        <w:rPr>
          <w:lang w:val="en-US"/>
        </w:rPr>
        <w:lastRenderedPageBreak/>
        <w:t>ved</w:t>
      </w:r>
      <w:proofErr w:type="spellEnd"/>
      <w:r w:rsidRPr="00693A45">
        <w:rPr>
          <w:lang w:val="en-US"/>
        </w:rPr>
        <w:t xml:space="preserve"> </w:t>
      </w:r>
      <w:proofErr w:type="spellStart"/>
      <w:r w:rsidRPr="00693A45">
        <w:rPr>
          <w:lang w:val="en-US"/>
        </w:rPr>
        <w:t>Statskog</w:t>
      </w:r>
      <w:proofErr w:type="spellEnd"/>
      <w:r w:rsidRPr="00693A45">
        <w:rPr>
          <w:lang w:val="en-US"/>
        </w:rPr>
        <w:t xml:space="preserve"> SF </w:t>
      </w:r>
      <w:proofErr w:type="spellStart"/>
      <w:r w:rsidRPr="00693A45">
        <w:rPr>
          <w:lang w:val="en-US"/>
        </w:rPr>
        <w:t>til</w:t>
      </w:r>
      <w:proofErr w:type="spellEnd"/>
      <w:r w:rsidRPr="00693A45">
        <w:rPr>
          <w:lang w:val="en-US"/>
        </w:rPr>
        <w:t xml:space="preserve"> </w:t>
      </w:r>
      <w:proofErr w:type="spellStart"/>
      <w:r w:rsidRPr="00693A45">
        <w:rPr>
          <w:lang w:val="en-US"/>
        </w:rPr>
        <w:t>Finnmarkseiendommen</w:t>
      </w:r>
      <w:proofErr w:type="spellEnd"/>
      <w:r w:rsidRPr="00693A45">
        <w:rPr>
          <w:lang w:val="en-US"/>
        </w:rPr>
        <w:t xml:space="preserve">, der </w:t>
      </w:r>
      <w:proofErr w:type="spellStart"/>
      <w:r w:rsidRPr="00693A45">
        <w:rPr>
          <w:lang w:val="en-US"/>
        </w:rPr>
        <w:t>tre</w:t>
      </w:r>
      <w:proofErr w:type="spellEnd"/>
      <w:r w:rsidRPr="00693A45">
        <w:rPr>
          <w:lang w:val="en-US"/>
        </w:rPr>
        <w:t xml:space="preserve"> </w:t>
      </w:r>
      <w:proofErr w:type="spellStart"/>
      <w:r w:rsidRPr="00693A45">
        <w:rPr>
          <w:lang w:val="en-US"/>
        </w:rPr>
        <w:t>styremedlemmer</w:t>
      </w:r>
      <w:proofErr w:type="spellEnd"/>
      <w:r w:rsidRPr="00693A45">
        <w:rPr>
          <w:lang w:val="en-US"/>
        </w:rPr>
        <w:t xml:space="preserve"> </w:t>
      </w:r>
      <w:proofErr w:type="spellStart"/>
      <w:r w:rsidRPr="00693A45">
        <w:rPr>
          <w:lang w:val="en-US"/>
        </w:rPr>
        <w:t>skulle</w:t>
      </w:r>
      <w:proofErr w:type="spellEnd"/>
      <w:r w:rsidRPr="00693A45">
        <w:rPr>
          <w:lang w:val="en-US"/>
        </w:rPr>
        <w:t xml:space="preserve"> </w:t>
      </w:r>
      <w:proofErr w:type="spellStart"/>
      <w:r w:rsidRPr="00693A45">
        <w:rPr>
          <w:lang w:val="en-US"/>
        </w:rPr>
        <w:t>oppnevnes</w:t>
      </w:r>
      <w:proofErr w:type="spellEnd"/>
      <w:r w:rsidRPr="00693A45">
        <w:rPr>
          <w:lang w:val="en-US"/>
        </w:rPr>
        <w:t xml:space="preserve"> av </w:t>
      </w:r>
      <w:proofErr w:type="spellStart"/>
      <w:r w:rsidRPr="00693A45">
        <w:rPr>
          <w:lang w:val="en-US"/>
        </w:rPr>
        <w:t>Finnmark</w:t>
      </w:r>
      <w:proofErr w:type="spellEnd"/>
      <w:r w:rsidRPr="00693A45">
        <w:rPr>
          <w:lang w:val="en-US"/>
        </w:rPr>
        <w:t xml:space="preserve"> </w:t>
      </w:r>
      <w:proofErr w:type="spellStart"/>
      <w:r w:rsidRPr="00693A45">
        <w:rPr>
          <w:lang w:val="en-US"/>
        </w:rPr>
        <w:t>fylkesting</w:t>
      </w:r>
      <w:proofErr w:type="spellEnd"/>
      <w:r w:rsidRPr="00693A45">
        <w:rPr>
          <w:lang w:val="en-US"/>
        </w:rPr>
        <w:t xml:space="preserve">, og </w:t>
      </w:r>
      <w:proofErr w:type="spellStart"/>
      <w:r w:rsidRPr="00693A45">
        <w:rPr>
          <w:lang w:val="en-US"/>
        </w:rPr>
        <w:t>tre</w:t>
      </w:r>
      <w:proofErr w:type="spellEnd"/>
      <w:r w:rsidRPr="00693A45">
        <w:rPr>
          <w:lang w:val="en-US"/>
        </w:rPr>
        <w:t xml:space="preserve"> av </w:t>
      </w:r>
      <w:proofErr w:type="spellStart"/>
      <w:r w:rsidRPr="00693A45">
        <w:rPr>
          <w:lang w:val="en-US"/>
        </w:rPr>
        <w:t>Sametinget</w:t>
      </w:r>
      <w:proofErr w:type="spellEnd"/>
      <w:r w:rsidRPr="00693A45">
        <w:rPr>
          <w:lang w:val="en-US"/>
        </w:rPr>
        <w:t>:</w:t>
      </w:r>
    </w:p>
    <w:p w14:paraId="262D1FD5" w14:textId="19869D9E" w:rsidR="00DB61DC" w:rsidRPr="00CD439F" w:rsidRDefault="00CD439F" w:rsidP="00393223">
      <w:pPr>
        <w:pStyle w:val="blokksit"/>
        <w:ind w:left="757"/>
        <w:rPr>
          <w:lang w:val="en-US"/>
        </w:rPr>
      </w:pPr>
      <w:r>
        <w:rPr>
          <w:lang w:val="en-US"/>
        </w:rPr>
        <w:t>«</w:t>
      </w:r>
      <w:r w:rsidR="00DB61DC" w:rsidRPr="00CD439F">
        <w:rPr>
          <w:lang w:val="en-US"/>
        </w:rPr>
        <w:t xml:space="preserve">As concerns the substance of the proposal of the </w:t>
      </w:r>
      <w:proofErr w:type="spellStart"/>
      <w:r w:rsidR="00DB61DC" w:rsidRPr="00CD439F">
        <w:rPr>
          <w:lang w:val="en-US"/>
        </w:rPr>
        <w:t>Finnmark</w:t>
      </w:r>
      <w:proofErr w:type="spellEnd"/>
      <w:r w:rsidR="00DB61DC" w:rsidRPr="00CD439F">
        <w:rPr>
          <w:lang w:val="en-US"/>
        </w:rPr>
        <w:t xml:space="preserve"> Estate, it appears to go beyond what is permitted under Article 14 of the convention, though under the proper circumstances it could be in conformity with Article 15.</w:t>
      </w:r>
      <w:r>
        <w:rPr>
          <w:lang w:val="en-US"/>
        </w:rPr>
        <w:t>»</w:t>
      </w:r>
    </w:p>
    <w:p w14:paraId="18B2EFE0" w14:textId="77777777" w:rsidR="00DB61DC" w:rsidRDefault="00DB61DC" w:rsidP="00DB61DC">
      <w:r w:rsidRPr="57473D06">
        <w:t>Uttalelsen viser at samisk representasjon i besluttende organer kan være et virkemiddel for å oppfylle deltakelsesretten etter artikkel 15 (1), og dermed også den mer generelle deltakelsesretten etter artikkel 7. Om dette alene vil være tilstrekkelig vil imidlertid bero på de konkrete omstendighetene.</w:t>
      </w:r>
    </w:p>
    <w:p w14:paraId="4F427A2B" w14:textId="77777777" w:rsidR="00DB61DC" w:rsidRDefault="00DB61DC" w:rsidP="00DB61DC">
      <w:r w:rsidRPr="647A0C51">
        <w:t>Artikkel 15 (1) har ellers preg av å presisere at de berørte urfolksgruppenes generelle deltakelsesrett etter artikkel 7, også gjelder i de sakstypene som er nevnt i artikkel 15 (1). Om denne spesielle deltakelsesretten går lenger enn den alminnelige deltakelsesretten er usikkert. Sett i lys av at tilgang til naturressurser er særlig viktig for mange urfolksgrupper, kan dette neppe utelukkes, men spørsmålet vil uansett måtte vurderes konkret fra sak til sak.</w:t>
      </w:r>
    </w:p>
    <w:p w14:paraId="4F828B84" w14:textId="1E9C12BB" w:rsidR="00303661" w:rsidRDefault="00DB61DC" w:rsidP="00DB61DC">
      <w:r w:rsidRPr="647A0C51">
        <w:t xml:space="preserve">Artikkel 15 (2) fastslår at stater som beholder eiendomsretten til mineraler og andre </w:t>
      </w:r>
      <w:proofErr w:type="spellStart"/>
      <w:r w:rsidRPr="647A0C51">
        <w:t>undergrunnsressurser</w:t>
      </w:r>
      <w:proofErr w:type="spellEnd"/>
      <w:r w:rsidRPr="647A0C51">
        <w:t xml:space="preserve">, eller rettigheter til andre ressurser som finnes i et urfolksområde, har plikt til å etablere prosedyrer for konsultasjoner. For Norges del er dette blant annet en aktuell problemstilling når det gjelder utnyttelsen av såkalte </w:t>
      </w:r>
      <w:r w:rsidR="00CD439F">
        <w:t>«</w:t>
      </w:r>
      <w:r w:rsidRPr="647A0C51">
        <w:t>mutbare</w:t>
      </w:r>
      <w:r w:rsidR="00CD439F">
        <w:t>»</w:t>
      </w:r>
      <w:r w:rsidRPr="647A0C51">
        <w:t xml:space="preserve"> (tunge) mineraler etter bergverkslovgivningen. Den konsultasjonsplikten som er regulert artikkel 15 (2) har imidlertid ikke interesse for rovdyrforvaltningen og omtales derfor ikke nærmere her.</w:t>
      </w:r>
    </w:p>
    <w:p w14:paraId="697C0714" w14:textId="53DC8FB9" w:rsidR="00A67E7A" w:rsidRDefault="00A67E7A" w:rsidP="00A67E7A">
      <w:pPr>
        <w:pStyle w:val="Overskrift2"/>
      </w:pPr>
      <w:bookmarkStart w:id="27" w:name="_Toc223433090"/>
      <w:r>
        <w:t>FNs urfolkserklæring</w:t>
      </w:r>
      <w:bookmarkEnd w:id="27"/>
    </w:p>
    <w:p w14:paraId="6BE8E961" w14:textId="1149BE00" w:rsidR="00A67E7A" w:rsidRDefault="00A67E7A" w:rsidP="00A67E7A">
      <w:r w:rsidRPr="647A0C51">
        <w:t>FNs urfolkserklæring ble vedtatt av FNs generalforsamling 13. september 2007 med 143 mot fire stemmer og 11 avståelser.</w:t>
      </w:r>
      <w:r w:rsidR="00CD439F" w:rsidRPr="00CD439F">
        <w:rPr>
          <w:rStyle w:val="Fotnotereferanse"/>
        </w:rPr>
        <w:footnoteReference w:id="117"/>
      </w:r>
      <w:r w:rsidRPr="647A0C51">
        <w:t xml:space="preserve"> Erklæringen er ikke rettslig bindende, men norske myndigheter har lagt til grunn at den legger </w:t>
      </w:r>
      <w:r w:rsidR="00CD439F">
        <w:t>«</w:t>
      </w:r>
      <w:r w:rsidRPr="00CD439F">
        <w:rPr>
          <w:rStyle w:val="kursiv"/>
        </w:rPr>
        <w:t>viktige føringer i arbeidet for å fastslå hvilke rettigheter urfolk har</w:t>
      </w:r>
      <w:r w:rsidRPr="647A0C51">
        <w:t>.</w:t>
      </w:r>
      <w:r w:rsidR="00CD439F">
        <w:t>»</w:t>
      </w:r>
      <w:r w:rsidR="00CD439F" w:rsidRPr="00CD439F">
        <w:rPr>
          <w:rStyle w:val="Fotnotereferanse"/>
        </w:rPr>
        <w:footnoteReference w:id="118"/>
      </w:r>
    </w:p>
    <w:p w14:paraId="2DD69413" w14:textId="020427B9" w:rsidR="00A67E7A" w:rsidRDefault="00A67E7A" w:rsidP="00A67E7A">
      <w:r w:rsidRPr="647A0C51">
        <w:lastRenderedPageBreak/>
        <w:t>I plenumsdommen i Nesseby-saken der et lokalt bygdelag krevde å få anerkjent rett til å forvalte de fornybare ressursene som bygdelaget hadde bruksrettigheter til, uttalte en enstemmig Høyesterett det følgende om erklæringen:</w:t>
      </w:r>
      <w:r w:rsidR="00CD439F" w:rsidRPr="00CD439F">
        <w:rPr>
          <w:rStyle w:val="Fotnotereferanse"/>
        </w:rPr>
        <w:footnoteReference w:id="119"/>
      </w:r>
    </w:p>
    <w:p w14:paraId="72B04D31" w14:textId="02FD8B69" w:rsidR="00A67E7A" w:rsidRPr="00CD439F" w:rsidRDefault="00CD439F" w:rsidP="00393223">
      <w:pPr>
        <w:pStyle w:val="blokksit"/>
        <w:ind w:left="757"/>
      </w:pPr>
      <w:r>
        <w:t>«</w:t>
      </w:r>
      <w:r w:rsidR="00A67E7A" w:rsidRPr="00CD439F">
        <w:t xml:space="preserve">FNs urfolkserklæring (UNDRIP), vedtatt på FNs generalforsamling i 2007, må anses som et sentralt dokument innenfor urfolksretten, blant annet som følge av at den reflekterer folkerettslige prinsipper på området og har fått støtte fra svært mange stater. Statene bekreftet i 2014 støtten til erklæringen gjennom en særskilt resolusjon på generalforsamlingen (69/2 </w:t>
      </w:r>
      <w:proofErr w:type="spellStart"/>
      <w:r w:rsidR="00A67E7A" w:rsidRPr="00CD439F">
        <w:t>Outcome</w:t>
      </w:r>
      <w:proofErr w:type="spellEnd"/>
      <w:r w:rsidR="00A67E7A" w:rsidRPr="00CD439F">
        <w:t xml:space="preserve"> </w:t>
      </w:r>
      <w:proofErr w:type="spellStart"/>
      <w:r w:rsidR="00A67E7A" w:rsidRPr="00CD439F">
        <w:t>document</w:t>
      </w:r>
      <w:proofErr w:type="spellEnd"/>
      <w:r w:rsidR="00A67E7A" w:rsidRPr="00CD439F">
        <w:t>). Urfolkserklæringen er likevel ikke av direkte betydning for de spørsmålene som foreligger i denne saken. Den er ikke rettslig bindende, og de enkelte bestemmelsene i erklæringen synes ikke å gå lenger enn det som følger av bindende konvensjoner, i første rekke ILO-konvensjon nr. 169.</w:t>
      </w:r>
      <w:r>
        <w:t>»</w:t>
      </w:r>
    </w:p>
    <w:p w14:paraId="514EDA50" w14:textId="2D76398F" w:rsidR="00303661" w:rsidRDefault="00A67E7A" w:rsidP="00A67E7A">
      <w:r w:rsidRPr="647A0C51">
        <w:t xml:space="preserve">Det kan synes noe underlig at Høyesterett først slår fast at urfolkserklæringen er </w:t>
      </w:r>
      <w:r w:rsidR="00CD439F">
        <w:t>«</w:t>
      </w:r>
      <w:r w:rsidRPr="00CD439F">
        <w:rPr>
          <w:rStyle w:val="kursiv"/>
        </w:rPr>
        <w:t>et sentralt dokument innen urfolksretten</w:t>
      </w:r>
      <w:r w:rsidR="00CD439F">
        <w:t>»</w:t>
      </w:r>
      <w:r w:rsidRPr="647A0C51">
        <w:t>, for så å si at den ikke er rettslig bindene. En mer naturlig rekkefølge ville vært å starte med å si at den ikke er rettslig bindene, for dernest å fastslå at den likevel er et sentralt urfolksrettslig dokument. Årsaken til erklæringens rettslige betydning er blant annet at erklæringen i stor grad er utformet i konvensjonsspråk, og at erklæringen i dag har universell tilslutning.</w:t>
      </w:r>
    </w:p>
    <w:p w14:paraId="592FFC6E" w14:textId="7F246A4B" w:rsidR="00303661" w:rsidRDefault="00A67E7A" w:rsidP="00A67E7A">
      <w:r w:rsidRPr="647A0C51">
        <w:t xml:space="preserve">Som nevnt over, hadde den ved vedtakelsen støtte av 143 stater. Senere har ifølge </w:t>
      </w:r>
      <w:r w:rsidRPr="00042799">
        <w:t>FN-sambandet</w:t>
      </w:r>
      <w:r w:rsidRPr="647A0C51">
        <w:t xml:space="preserve"> både de fire statene som stemte mot erklæringen i 2007, de 11 statene som avsto fra å stemme og de 34 statene som ikke var til stede under avstemningen, sluttet seg til erklæringen. Per </w:t>
      </w:r>
      <w:r w:rsidRPr="00042799">
        <w:t>juli 2025</w:t>
      </w:r>
      <w:r w:rsidRPr="647A0C51">
        <w:t xml:space="preserve"> støtte</w:t>
      </w:r>
      <w:r>
        <w:t>t</w:t>
      </w:r>
      <w:r w:rsidRPr="647A0C51">
        <w:t xml:space="preserve"> dermed samtlige 193 medlemsland i FN urfolkserklæringen. Det samme gjør Palestina som siden 2012 har hatt status som observatørstat i FN.</w:t>
      </w:r>
      <w:r w:rsidR="00CD439F" w:rsidRPr="00CD439F">
        <w:rPr>
          <w:rStyle w:val="Fotnotereferanse"/>
        </w:rPr>
        <w:footnoteReference w:id="120"/>
      </w:r>
      <w:r w:rsidRPr="647A0C51">
        <w:t xml:space="preserve"> Til sammenlikning er ILO-konvensjon nr. 169 per desember 2025 ratifisert av 24 stater.</w:t>
      </w:r>
      <w:r w:rsidR="00CD439F" w:rsidRPr="00CD439F">
        <w:rPr>
          <w:rStyle w:val="Fotnotereferanse"/>
        </w:rPr>
        <w:footnoteReference w:id="121"/>
      </w:r>
    </w:p>
    <w:p w14:paraId="58626E16" w14:textId="59EBBE91" w:rsidR="00A67E7A" w:rsidRDefault="00A67E7A" w:rsidP="00A67E7A">
      <w:r w:rsidRPr="647A0C51">
        <w:t xml:space="preserve">Selv om erklæringen formelt sett ikke er rettslig bindende, kan det derfor med atskillig tyngde anføres at i alle fall dens sentrale bestemmelser om kulturvern, landrettigheter og rett til konsultasjoner og deltakelse i beslutningsprosesser, i alle fall et stykke på vei uttrykker folkerettslig sedvanerett. Imidlertid er det like lite i dag som i 2018, grunnlag for å anføre at erklæringens enkelte bestemmelser går lenger enn det som følger av blant annet SP artikkel 1 og 27, og av ILO konvensjonens artikkel 6, 7, 8, 14 og 15. Dette har blant annet sammenheng med at erklæringens bestemmelser i motsetning til </w:t>
      </w:r>
      <w:r w:rsidRPr="647A0C51">
        <w:lastRenderedPageBreak/>
        <w:t>formelt rettslig bindende bestemmelser, ikke er gjenstand for rettslig håndhevelse, og derfor i liten grad vil kunne utvikles gjennom praksis i aktuelle håndhevelsesorganer. Riktignok er det innenfor FN-systemet etablert et permanent forum for urfolksrettigheter (2000),</w:t>
      </w:r>
      <w:r w:rsidR="00CD439F" w:rsidRPr="00CD439F">
        <w:rPr>
          <w:rStyle w:val="Fotnotereferanse"/>
        </w:rPr>
        <w:footnoteReference w:id="122"/>
      </w:r>
      <w:r w:rsidRPr="647A0C51">
        <w:t xml:space="preserve"> en spesialrapportør for urfolks rettigheter (2001)</w:t>
      </w:r>
      <w:r w:rsidR="00CD439F" w:rsidRPr="00CD439F">
        <w:rPr>
          <w:rStyle w:val="Fotnotereferanse"/>
        </w:rPr>
        <w:footnoteReference w:id="123"/>
      </w:r>
      <w:r w:rsidRPr="647A0C51">
        <w:t xml:space="preserve"> og en ekspertmekaniske for urfolks rettigheter under FNs menneskerettighetsråd (2008),</w:t>
      </w:r>
      <w:r w:rsidR="00CD439F" w:rsidRPr="00CD439F">
        <w:rPr>
          <w:rStyle w:val="Fotnotereferanse"/>
        </w:rPr>
        <w:footnoteReference w:id="124"/>
      </w:r>
      <w:r w:rsidRPr="647A0C51">
        <w:t xml:space="preserve"> men ingen av disse befatter seg spesifikt med håndhevelsen av urfolkserklæringen.</w:t>
      </w:r>
    </w:p>
    <w:p w14:paraId="49A2AAB1" w14:textId="38661E54" w:rsidR="00303661" w:rsidRDefault="00A67E7A" w:rsidP="00A67E7A">
      <w:r w:rsidRPr="647A0C51">
        <w:t xml:space="preserve">Dette betyr likevel ikke at urfolkserklæringen er uten selvstendig rettslig betydning. Blant annet </w:t>
      </w:r>
      <w:r w:rsidRPr="009E347B">
        <w:rPr>
          <w:color w:val="000000" w:themeColor="text1"/>
        </w:rPr>
        <w:t>har</w:t>
      </w:r>
      <w:r w:rsidRPr="647A0C51">
        <w:rPr>
          <w:color w:val="FF0000"/>
        </w:rPr>
        <w:t xml:space="preserve"> </w:t>
      </w:r>
      <w:r w:rsidRPr="647A0C51">
        <w:t xml:space="preserve">erklæringens bestemmelser ved flere anledninger blitt trukket inn som momenter ved tolkningen av rettslig bindende bestemmelser. Et eksempel på dette er at MRK i den foran siterte uttalelsen fra </w:t>
      </w:r>
      <w:proofErr w:type="spellStart"/>
      <w:r w:rsidRPr="647A0C51">
        <w:t>Klemetti</w:t>
      </w:r>
      <w:proofErr w:type="spellEnd"/>
      <w:r w:rsidRPr="647A0C51">
        <w:t xml:space="preserve"> </w:t>
      </w:r>
      <w:proofErr w:type="spellStart"/>
      <w:r w:rsidRPr="647A0C51">
        <w:t>Käkkäläjärvi</w:t>
      </w:r>
      <w:proofErr w:type="spellEnd"/>
      <w:r w:rsidRPr="647A0C51">
        <w:t xml:space="preserve"> mot Finland (2019)</w:t>
      </w:r>
      <w:r>
        <w:t>, hvor komiteen</w:t>
      </w:r>
      <w:r w:rsidRPr="647A0C51">
        <w:t xml:space="preserve"> viser til at SP artikkel 27 tolket i lys av SP artikkel 1 </w:t>
      </w:r>
      <w:r w:rsidR="00CD439F">
        <w:t>«</w:t>
      </w:r>
      <w:proofErr w:type="spellStart"/>
      <w:r w:rsidRPr="00CD439F">
        <w:rPr>
          <w:rStyle w:val="kursiv"/>
        </w:rPr>
        <w:t>enshrines</w:t>
      </w:r>
      <w:proofErr w:type="spellEnd"/>
      <w:r w:rsidRPr="00CD439F">
        <w:rPr>
          <w:rStyle w:val="kursiv"/>
        </w:rPr>
        <w:t xml:space="preserve"> an </w:t>
      </w:r>
      <w:proofErr w:type="spellStart"/>
      <w:r w:rsidRPr="00CD439F">
        <w:rPr>
          <w:rStyle w:val="kursiv"/>
        </w:rPr>
        <w:t>inalienable</w:t>
      </w:r>
      <w:proofErr w:type="spellEnd"/>
      <w:r w:rsidRPr="00CD439F">
        <w:rPr>
          <w:rStyle w:val="kursiv"/>
        </w:rPr>
        <w:t xml:space="preserve"> right </w:t>
      </w:r>
      <w:proofErr w:type="spellStart"/>
      <w:r w:rsidRPr="00CD439F">
        <w:rPr>
          <w:rStyle w:val="kursiv"/>
        </w:rPr>
        <w:t>of</w:t>
      </w:r>
      <w:proofErr w:type="spellEnd"/>
      <w:r w:rsidRPr="00CD439F">
        <w:rPr>
          <w:rStyle w:val="kursiv"/>
        </w:rPr>
        <w:t xml:space="preserve"> </w:t>
      </w:r>
      <w:proofErr w:type="spellStart"/>
      <w:r w:rsidRPr="00CD439F">
        <w:rPr>
          <w:rStyle w:val="kursiv"/>
        </w:rPr>
        <w:t>indigenous</w:t>
      </w:r>
      <w:proofErr w:type="spellEnd"/>
      <w:r w:rsidRPr="00CD439F">
        <w:rPr>
          <w:rStyle w:val="kursiv"/>
        </w:rPr>
        <w:t xml:space="preserve"> </w:t>
      </w:r>
      <w:proofErr w:type="spellStart"/>
      <w:r w:rsidRPr="00CD439F">
        <w:rPr>
          <w:rStyle w:val="kursiv"/>
        </w:rPr>
        <w:t>peoples</w:t>
      </w:r>
      <w:proofErr w:type="spellEnd"/>
      <w:r w:rsidRPr="00CD439F">
        <w:rPr>
          <w:rStyle w:val="kursiv"/>
        </w:rPr>
        <w:t xml:space="preserve"> to </w:t>
      </w:r>
      <w:proofErr w:type="spellStart"/>
      <w:r w:rsidRPr="00CD439F">
        <w:rPr>
          <w:rStyle w:val="kursiv"/>
        </w:rPr>
        <w:t>freely</w:t>
      </w:r>
      <w:proofErr w:type="spellEnd"/>
      <w:r w:rsidRPr="00CD439F">
        <w:rPr>
          <w:rStyle w:val="kursiv"/>
        </w:rPr>
        <w:t xml:space="preserve"> </w:t>
      </w:r>
      <w:proofErr w:type="spellStart"/>
      <w:r w:rsidRPr="00CD439F">
        <w:rPr>
          <w:rStyle w:val="kursiv"/>
        </w:rPr>
        <w:t>determine</w:t>
      </w:r>
      <w:proofErr w:type="spellEnd"/>
      <w:r w:rsidRPr="00CD439F">
        <w:rPr>
          <w:rStyle w:val="kursiv"/>
        </w:rPr>
        <w:t xml:space="preserve"> </w:t>
      </w:r>
      <w:proofErr w:type="spellStart"/>
      <w:r w:rsidRPr="00CD439F">
        <w:rPr>
          <w:rStyle w:val="kursiv"/>
        </w:rPr>
        <w:t>their</w:t>
      </w:r>
      <w:proofErr w:type="spellEnd"/>
      <w:r w:rsidRPr="00CD439F">
        <w:rPr>
          <w:rStyle w:val="kursiv"/>
        </w:rPr>
        <w:t xml:space="preserve"> </w:t>
      </w:r>
      <w:proofErr w:type="spellStart"/>
      <w:r w:rsidRPr="00CD439F">
        <w:rPr>
          <w:rStyle w:val="kursiv"/>
        </w:rPr>
        <w:t>poltical</w:t>
      </w:r>
      <w:proofErr w:type="spellEnd"/>
      <w:r w:rsidRPr="00CD439F">
        <w:rPr>
          <w:rStyle w:val="kursiv"/>
        </w:rPr>
        <w:t xml:space="preserve"> status and </w:t>
      </w:r>
      <w:proofErr w:type="spellStart"/>
      <w:r w:rsidRPr="00CD439F">
        <w:rPr>
          <w:rStyle w:val="kursiv"/>
        </w:rPr>
        <w:t>freely</w:t>
      </w:r>
      <w:proofErr w:type="spellEnd"/>
      <w:r w:rsidRPr="00CD439F">
        <w:rPr>
          <w:rStyle w:val="kursiv"/>
        </w:rPr>
        <w:t xml:space="preserve"> </w:t>
      </w:r>
      <w:proofErr w:type="spellStart"/>
      <w:r w:rsidRPr="00CD439F">
        <w:rPr>
          <w:rStyle w:val="kursiv"/>
        </w:rPr>
        <w:t>persue</w:t>
      </w:r>
      <w:proofErr w:type="spellEnd"/>
      <w:r w:rsidRPr="00CD439F">
        <w:rPr>
          <w:rStyle w:val="kursiv"/>
        </w:rPr>
        <w:t xml:space="preserve"> </w:t>
      </w:r>
      <w:proofErr w:type="spellStart"/>
      <w:r w:rsidRPr="00CD439F">
        <w:rPr>
          <w:rStyle w:val="kursiv"/>
        </w:rPr>
        <w:t>their</w:t>
      </w:r>
      <w:proofErr w:type="spellEnd"/>
      <w:r w:rsidRPr="00CD439F">
        <w:rPr>
          <w:rStyle w:val="kursiv"/>
        </w:rPr>
        <w:t xml:space="preserve"> </w:t>
      </w:r>
      <w:proofErr w:type="spellStart"/>
      <w:r w:rsidRPr="00CD439F">
        <w:rPr>
          <w:rStyle w:val="kursiv"/>
        </w:rPr>
        <w:t>economic</w:t>
      </w:r>
      <w:proofErr w:type="spellEnd"/>
      <w:r w:rsidRPr="00CD439F">
        <w:rPr>
          <w:rStyle w:val="kursiv"/>
        </w:rPr>
        <w:t xml:space="preserve">, </w:t>
      </w:r>
      <w:proofErr w:type="spellStart"/>
      <w:r w:rsidRPr="00CD439F">
        <w:rPr>
          <w:rStyle w:val="kursiv"/>
        </w:rPr>
        <w:t>social</w:t>
      </w:r>
      <w:proofErr w:type="spellEnd"/>
      <w:r w:rsidRPr="00CD439F">
        <w:rPr>
          <w:rStyle w:val="kursiv"/>
        </w:rPr>
        <w:t xml:space="preserve"> and </w:t>
      </w:r>
      <w:proofErr w:type="spellStart"/>
      <w:r w:rsidRPr="00CD439F">
        <w:rPr>
          <w:rStyle w:val="kursiv"/>
        </w:rPr>
        <w:t>cultural</w:t>
      </w:r>
      <w:proofErr w:type="spellEnd"/>
      <w:r w:rsidRPr="00CD439F">
        <w:rPr>
          <w:rStyle w:val="kursiv"/>
        </w:rPr>
        <w:t xml:space="preserve"> </w:t>
      </w:r>
      <w:proofErr w:type="spellStart"/>
      <w:r w:rsidRPr="00CD439F">
        <w:rPr>
          <w:rStyle w:val="kursiv"/>
        </w:rPr>
        <w:t>development</w:t>
      </w:r>
      <w:proofErr w:type="spellEnd"/>
      <w:r w:rsidR="00CD439F">
        <w:t>»</w:t>
      </w:r>
      <w:r>
        <w:t>,</w:t>
      </w:r>
      <w:r w:rsidRPr="647A0C51">
        <w:t xml:space="preserve"> har innarbeidet en </w:t>
      </w:r>
      <w:proofErr w:type="spellStart"/>
      <w:r w:rsidRPr="647A0C51">
        <w:t>fotnotehenvisning</w:t>
      </w:r>
      <w:proofErr w:type="spellEnd"/>
      <w:r w:rsidRPr="647A0C51">
        <w:t xml:space="preserve"> til artikkel 3 og 4 i urfolkserklæringen.</w:t>
      </w:r>
    </w:p>
    <w:p w14:paraId="17C34F44" w14:textId="4A4674FF" w:rsidR="00A67E7A" w:rsidRPr="00693A45" w:rsidRDefault="00A67E7A" w:rsidP="00A67E7A">
      <w:pPr>
        <w:rPr>
          <w:lang w:val="en-US"/>
        </w:rPr>
      </w:pPr>
      <w:r w:rsidRPr="2FB46E9B">
        <w:rPr>
          <w:lang w:val="en-GB"/>
        </w:rPr>
        <w:t xml:space="preserve">I </w:t>
      </w:r>
      <w:r w:rsidRPr="00CD439F">
        <w:rPr>
          <w:rStyle w:val="kursiv"/>
          <w:lang w:val="en-US"/>
        </w:rPr>
        <w:t xml:space="preserve">Pereira mot Paraguay </w:t>
      </w:r>
      <w:r w:rsidRPr="2FB46E9B">
        <w:rPr>
          <w:lang w:val="en-GB"/>
        </w:rPr>
        <w:t xml:space="preserve">(2021) </w:t>
      </w:r>
      <w:proofErr w:type="spellStart"/>
      <w:r w:rsidRPr="2FB46E9B">
        <w:rPr>
          <w:lang w:val="en-GB"/>
        </w:rPr>
        <w:t>konkluderte</w:t>
      </w:r>
      <w:proofErr w:type="spellEnd"/>
      <w:r w:rsidRPr="2FB46E9B">
        <w:rPr>
          <w:lang w:val="en-GB"/>
        </w:rPr>
        <w:t xml:space="preserve"> MRK med at </w:t>
      </w:r>
      <w:r w:rsidR="00CD439F">
        <w:rPr>
          <w:lang w:val="en-GB"/>
        </w:rPr>
        <w:t>«</w:t>
      </w:r>
      <w:r w:rsidRPr="2FB46E9B">
        <w:rPr>
          <w:lang w:val="en-GB"/>
        </w:rPr>
        <w:t>article 27, interpreted in the light of the</w:t>
      </w:r>
      <w:r w:rsidRPr="00CD439F">
        <w:rPr>
          <w:rStyle w:val="kursiv"/>
          <w:lang w:val="en-US"/>
        </w:rPr>
        <w:t xml:space="preserve"> United Nations Declaration on the Rights of Indigenous Peoples</w:t>
      </w:r>
      <w:r w:rsidRPr="2FB46E9B">
        <w:rPr>
          <w:lang w:val="en-GB"/>
        </w:rPr>
        <w:t>, enshrines the inalienable right of indigenous peoples to enjoy the territories and natural resources that they have traditionally used for their subsistence and cultural identity.</w:t>
      </w:r>
      <w:r w:rsidR="00CD439F">
        <w:rPr>
          <w:lang w:val="en-GB"/>
        </w:rPr>
        <w:t>»</w:t>
      </w:r>
      <w:r w:rsidR="00CD439F" w:rsidRPr="00CD439F">
        <w:rPr>
          <w:rStyle w:val="Fotnotereferanse"/>
        </w:rPr>
        <w:footnoteReference w:id="125"/>
      </w:r>
      <w:r w:rsidRPr="2FB46E9B">
        <w:rPr>
          <w:lang w:val="en-GB"/>
        </w:rPr>
        <w:t xml:space="preserve"> Det </w:t>
      </w:r>
      <w:proofErr w:type="spellStart"/>
      <w:r w:rsidRPr="2FB46E9B">
        <w:rPr>
          <w:lang w:val="en-GB"/>
        </w:rPr>
        <w:t>kan</w:t>
      </w:r>
      <w:proofErr w:type="spellEnd"/>
      <w:r w:rsidRPr="2FB46E9B">
        <w:rPr>
          <w:lang w:val="en-GB"/>
        </w:rPr>
        <w:t xml:space="preserve"> </w:t>
      </w:r>
      <w:proofErr w:type="spellStart"/>
      <w:r w:rsidRPr="2FB46E9B">
        <w:rPr>
          <w:lang w:val="en-GB"/>
        </w:rPr>
        <w:t>også</w:t>
      </w:r>
      <w:proofErr w:type="spellEnd"/>
      <w:r w:rsidRPr="2FB46E9B">
        <w:rPr>
          <w:lang w:val="en-GB"/>
        </w:rPr>
        <w:t xml:space="preserve"> </w:t>
      </w:r>
      <w:proofErr w:type="spellStart"/>
      <w:r w:rsidRPr="2FB46E9B">
        <w:rPr>
          <w:lang w:val="en-GB"/>
        </w:rPr>
        <w:t>vises</w:t>
      </w:r>
      <w:proofErr w:type="spellEnd"/>
      <w:r w:rsidRPr="2FB46E9B">
        <w:rPr>
          <w:lang w:val="en-GB"/>
        </w:rPr>
        <w:t xml:space="preserve"> </w:t>
      </w:r>
      <w:proofErr w:type="spellStart"/>
      <w:r w:rsidRPr="2FB46E9B">
        <w:rPr>
          <w:lang w:val="en-GB"/>
        </w:rPr>
        <w:t>til</w:t>
      </w:r>
      <w:proofErr w:type="spellEnd"/>
      <w:r w:rsidRPr="2FB46E9B">
        <w:rPr>
          <w:lang w:val="en-GB"/>
        </w:rPr>
        <w:t xml:space="preserve"> at MRK </w:t>
      </w:r>
      <w:proofErr w:type="spellStart"/>
      <w:r w:rsidRPr="2FB46E9B">
        <w:rPr>
          <w:lang w:val="en-GB"/>
        </w:rPr>
        <w:t>i</w:t>
      </w:r>
      <w:proofErr w:type="spellEnd"/>
      <w:r w:rsidRPr="2FB46E9B">
        <w:rPr>
          <w:lang w:val="en-GB"/>
        </w:rPr>
        <w:t xml:space="preserve"> </w:t>
      </w:r>
      <w:r w:rsidRPr="00CD439F">
        <w:rPr>
          <w:rStyle w:val="kursiv"/>
          <w:lang w:val="en-US"/>
        </w:rPr>
        <w:t>Alisa Roy mot Australia</w:t>
      </w:r>
      <w:r w:rsidRPr="2FB46E9B">
        <w:rPr>
          <w:lang w:val="en-GB"/>
        </w:rPr>
        <w:t xml:space="preserve"> (2023)</w:t>
      </w:r>
      <w:r w:rsidR="00303661">
        <w:rPr>
          <w:lang w:val="en-GB"/>
        </w:rPr>
        <w:t xml:space="preserve"> </w:t>
      </w:r>
      <w:proofErr w:type="spellStart"/>
      <w:r w:rsidRPr="2FB46E9B">
        <w:rPr>
          <w:lang w:val="en-GB"/>
        </w:rPr>
        <w:t>konkluderte</w:t>
      </w:r>
      <w:proofErr w:type="spellEnd"/>
      <w:r w:rsidRPr="2FB46E9B">
        <w:rPr>
          <w:lang w:val="en-GB"/>
        </w:rPr>
        <w:t xml:space="preserve"> med at </w:t>
      </w:r>
      <w:r w:rsidR="00CD439F">
        <w:rPr>
          <w:lang w:val="en-GB"/>
        </w:rPr>
        <w:t>«</w:t>
      </w:r>
      <w:r w:rsidRPr="00CD439F">
        <w:rPr>
          <w:rStyle w:val="kursiv"/>
          <w:lang w:val="en-US"/>
        </w:rPr>
        <w:t>the facts before it disclose a violation of article 27 of the Covenant, read in the light of article 1 of the Covenant and of the United Nations Declaration on the Rights of Indigenous Peoples</w:t>
      </w:r>
      <w:r w:rsidRPr="2FB46E9B">
        <w:rPr>
          <w:lang w:val="en-GB"/>
        </w:rPr>
        <w:t>.</w:t>
      </w:r>
      <w:r w:rsidR="00CD439F">
        <w:rPr>
          <w:lang w:val="en-GB"/>
        </w:rPr>
        <w:t>»</w:t>
      </w:r>
      <w:r w:rsidR="00CD439F" w:rsidRPr="00CD439F">
        <w:rPr>
          <w:rStyle w:val="Fotnotereferanse"/>
        </w:rPr>
        <w:footnoteReference w:id="126"/>
      </w:r>
    </w:p>
    <w:p w14:paraId="6B7CFF15" w14:textId="7F4F141B" w:rsidR="00A67E7A" w:rsidRDefault="00A67E7A" w:rsidP="00A67E7A">
      <w:r w:rsidRPr="647A0C51">
        <w:t xml:space="preserve">I slike tilfeller er det likevel de rettslig bindende bestemmelsene som vil bli utviklet gjennom praksis, og ikke urfolkserklæringens bestemmelser som sådanne. Erklæringens konkrete rettslige betydning vil derfor trolig i første rekke gjøre seg gjeldende for stater som ikke har ratifisert ILO konvensjon nr. 169, mens den vil ha mindre direkte betydning for stater som har ratifisert ILO-konvensjonen. Norge har ratifisert både SP og ILO-konvensjon nr. 169 og har gjennom reglene i samelovens kapittel 4 tatt sikte på å gjennomføre ILO-konvensjonens bestemmelser om konsultasjoner og deltakelse i beslutningsprosessen i </w:t>
      </w:r>
      <w:r>
        <w:t>norsk</w:t>
      </w:r>
      <w:r w:rsidRPr="647A0C51">
        <w:t xml:space="preserve"> rett. Derfor er det neppe behov for å gå grundig inn på erklæringens ulike bestemmelser i nærværende sammenheng.</w:t>
      </w:r>
    </w:p>
    <w:p w14:paraId="77FB7388" w14:textId="2355C2B9" w:rsidR="00A67E7A" w:rsidRPr="00693A45" w:rsidRDefault="00CD439F" w:rsidP="000D1B9E">
      <w:pPr>
        <w:pStyle w:val="Overskrift2"/>
        <w:rPr>
          <w:lang w:val="en-US"/>
        </w:rPr>
      </w:pPr>
      <w:bookmarkStart w:id="28" w:name="_Toc223433091"/>
      <w:r>
        <w:rPr>
          <w:lang w:val="en-US"/>
        </w:rPr>
        <w:lastRenderedPageBreak/>
        <w:t>«</w:t>
      </w:r>
      <w:r w:rsidR="000D1B9E" w:rsidRPr="00693A45">
        <w:rPr>
          <w:lang w:val="en-US"/>
        </w:rPr>
        <w:t>Free, prior and informed consent</w:t>
      </w:r>
      <w:r>
        <w:rPr>
          <w:lang w:val="en-US"/>
        </w:rPr>
        <w:t>»</w:t>
      </w:r>
      <w:r w:rsidR="000D1B9E" w:rsidRPr="00693A45">
        <w:rPr>
          <w:lang w:val="en-US"/>
        </w:rPr>
        <w:t xml:space="preserve"> (FPIC)</w:t>
      </w:r>
      <w:bookmarkEnd w:id="28"/>
    </w:p>
    <w:p w14:paraId="4146DEDA" w14:textId="17117589" w:rsidR="000D1B9E" w:rsidRDefault="000D1B9E" w:rsidP="000D1B9E">
      <w:pPr>
        <w:pStyle w:val="Overskrift3"/>
      </w:pPr>
      <w:bookmarkStart w:id="29" w:name="_Toc223433092"/>
      <w:r>
        <w:t>Generelt</w:t>
      </w:r>
      <w:bookmarkEnd w:id="29"/>
    </w:p>
    <w:p w14:paraId="0C309688" w14:textId="5F2D0F80" w:rsidR="00BE00B1" w:rsidRDefault="00BE00B1" w:rsidP="00BE00B1">
      <w:r w:rsidRPr="647A0C51">
        <w:t xml:space="preserve">Prinsippet om </w:t>
      </w:r>
      <w:r w:rsidR="00CD439F">
        <w:t>«</w:t>
      </w:r>
      <w:proofErr w:type="spellStart"/>
      <w:r w:rsidRPr="00CD439F">
        <w:rPr>
          <w:rStyle w:val="kursiv"/>
        </w:rPr>
        <w:t>free</w:t>
      </w:r>
      <w:proofErr w:type="spellEnd"/>
      <w:r w:rsidRPr="00CD439F">
        <w:rPr>
          <w:rStyle w:val="kursiv"/>
        </w:rPr>
        <w:t xml:space="preserve">, prior and </w:t>
      </w:r>
      <w:proofErr w:type="spellStart"/>
      <w:r w:rsidRPr="00CD439F">
        <w:rPr>
          <w:rStyle w:val="kursiv"/>
        </w:rPr>
        <w:t>informed</w:t>
      </w:r>
      <w:proofErr w:type="spellEnd"/>
      <w:r w:rsidRPr="00CD439F">
        <w:rPr>
          <w:rStyle w:val="kursiv"/>
        </w:rPr>
        <w:t xml:space="preserve"> </w:t>
      </w:r>
      <w:proofErr w:type="spellStart"/>
      <w:r w:rsidRPr="00CD439F">
        <w:rPr>
          <w:rStyle w:val="kursiv"/>
        </w:rPr>
        <w:t>consent</w:t>
      </w:r>
      <w:proofErr w:type="spellEnd"/>
      <w:r w:rsidR="00CD439F">
        <w:t>»</w:t>
      </w:r>
      <w:r w:rsidRPr="647A0C51">
        <w:t xml:space="preserve"> (fritt og forhåndsinformert samtykke) – FPIC, har fått en stadig bredere plass i nyere urfolksrett. Kjernen i prinsippet er at tiltak som gjennomføres i urfolksområder og som har vesentlige negative virkninger for urfolket, bare kan iverksettes dersom det foreligger et fritt og forhåndsinformert samtykke fra den berørte urfolksgruppen. FNs Høykommissær for menneskerettigheter har i 2013 forklart innholdet i begrepene </w:t>
      </w:r>
      <w:r w:rsidR="00CD439F">
        <w:t>«</w:t>
      </w:r>
      <w:proofErr w:type="spellStart"/>
      <w:r w:rsidRPr="647A0C51">
        <w:t>free</w:t>
      </w:r>
      <w:proofErr w:type="spellEnd"/>
      <w:r w:rsidR="00CD439F">
        <w:t>»</w:t>
      </w:r>
      <w:r w:rsidRPr="647A0C51">
        <w:t xml:space="preserve">, </w:t>
      </w:r>
      <w:r w:rsidR="00CD439F">
        <w:t>«</w:t>
      </w:r>
      <w:r w:rsidRPr="647A0C51">
        <w:t>prior</w:t>
      </w:r>
      <w:r w:rsidR="00CD439F">
        <w:t>»</w:t>
      </w:r>
      <w:r w:rsidRPr="647A0C51">
        <w:t xml:space="preserve"> og </w:t>
      </w:r>
      <w:r w:rsidR="00CD439F">
        <w:t>«</w:t>
      </w:r>
      <w:proofErr w:type="spellStart"/>
      <w:r w:rsidRPr="647A0C51">
        <w:t>informed</w:t>
      </w:r>
      <w:proofErr w:type="spellEnd"/>
      <w:r w:rsidR="00CD439F">
        <w:t>»</w:t>
      </w:r>
      <w:r w:rsidRPr="647A0C51">
        <w:t xml:space="preserve"> på følgende måte:</w:t>
      </w:r>
      <w:r w:rsidR="00CD439F" w:rsidRPr="00CD439F">
        <w:rPr>
          <w:rStyle w:val="Fotnotereferanse"/>
        </w:rPr>
        <w:footnoteReference w:id="127"/>
      </w:r>
    </w:p>
    <w:p w14:paraId="2F0CE7A8" w14:textId="69B923BC" w:rsidR="00BE00B1" w:rsidRPr="00CD439F" w:rsidRDefault="00CD439F" w:rsidP="00393223">
      <w:pPr>
        <w:pStyle w:val="blokksit"/>
        <w:ind w:left="757"/>
        <w:rPr>
          <w:lang w:val="en-US"/>
        </w:rPr>
      </w:pPr>
      <w:r>
        <w:rPr>
          <w:lang w:val="en-US"/>
        </w:rPr>
        <w:t>«</w:t>
      </w:r>
      <w:r w:rsidR="00BE00B1" w:rsidRPr="00CD439F">
        <w:rPr>
          <w:lang w:val="en-US"/>
        </w:rPr>
        <w:t>Free implies that there is no coercion, intimidation or manipulation.</w:t>
      </w:r>
    </w:p>
    <w:p w14:paraId="10E4B937" w14:textId="77777777" w:rsidR="00303661" w:rsidRPr="00CD439F" w:rsidRDefault="00BE00B1" w:rsidP="00393223">
      <w:pPr>
        <w:pStyle w:val="blokksit"/>
        <w:ind w:left="757"/>
        <w:rPr>
          <w:lang w:val="en-US"/>
        </w:rPr>
      </w:pPr>
      <w:r w:rsidRPr="00CD439F">
        <w:rPr>
          <w:lang w:val="en-US"/>
        </w:rPr>
        <w:t>Prior implies that consent is to be sought sufficiently in advance of any authorization or commencement of activities and respect is shown to time requirements of indigenous consultation/consensus processes.</w:t>
      </w:r>
    </w:p>
    <w:p w14:paraId="6BFC5BC9" w14:textId="63ADF8B9" w:rsidR="00BE00B1" w:rsidRPr="00CD439F" w:rsidRDefault="00BE00B1" w:rsidP="00393223">
      <w:pPr>
        <w:pStyle w:val="blokksit"/>
        <w:ind w:left="757"/>
        <w:rPr>
          <w:lang w:val="en-US"/>
        </w:rPr>
      </w:pPr>
      <w:r w:rsidRPr="00CD439F">
        <w:rPr>
          <w:lang w:val="en-US"/>
        </w:rPr>
        <w:t>Informed implies that information is provided that covers a range of aspects, including the nature, size, pace, reversibility and scope of any proposed project or activity; the purpose of the project as well as its duration; locality and areas affected; a preliminary assessment of the likely economic, social, cultural and environmental impact, including potential risks; personnel likely to be involved in the execution of the project; and procedures the project may entail. This process may include the option of withholding consent. Consultation and participation are crucial components of a consent process.</w:t>
      </w:r>
      <w:r w:rsidR="00CD439F">
        <w:rPr>
          <w:lang w:val="en-US"/>
        </w:rPr>
        <w:t>»</w:t>
      </w:r>
    </w:p>
    <w:p w14:paraId="420F8139" w14:textId="55C4D8EB" w:rsidR="00BE00B1" w:rsidRPr="00BE00B1" w:rsidRDefault="00BE00B1" w:rsidP="00BE00B1">
      <w:pPr>
        <w:pStyle w:val="Overskrift3"/>
      </w:pPr>
      <w:bookmarkStart w:id="30" w:name="_Toc223433093"/>
      <w:r w:rsidRPr="00BE00B1">
        <w:t>ILO-konvensjon nr. 169 artikkel 16 (2)</w:t>
      </w:r>
      <w:bookmarkEnd w:id="30"/>
    </w:p>
    <w:p w14:paraId="5A7C1DBC" w14:textId="77777777" w:rsidR="008067B9" w:rsidRPr="00693A45" w:rsidRDefault="008067B9" w:rsidP="008067B9">
      <w:r>
        <w:t xml:space="preserve">ILO-konvensjon nr. 169 artikkel 16 (2) må leses i sammenheng med artikkel 16 (1). </w:t>
      </w:r>
      <w:r w:rsidRPr="00693A45">
        <w:t>De to bestemmelsene lyder:</w:t>
      </w:r>
    </w:p>
    <w:p w14:paraId="537168D1" w14:textId="3BEBAA69" w:rsidR="008067B9" w:rsidRPr="00CD439F" w:rsidRDefault="00CD439F" w:rsidP="00393223">
      <w:pPr>
        <w:pStyle w:val="blokksit"/>
        <w:ind w:left="757"/>
        <w:rPr>
          <w:lang w:val="en-US"/>
        </w:rPr>
      </w:pPr>
      <w:r>
        <w:rPr>
          <w:lang w:val="en-US"/>
        </w:rPr>
        <w:t>«</w:t>
      </w:r>
      <w:r w:rsidR="008067B9" w:rsidRPr="00CD439F">
        <w:rPr>
          <w:lang w:val="en-US"/>
        </w:rPr>
        <w:t>1. Subject to the following paragraphs of this Article, the peoples concerned shall not be removed from the lands which they occupy.</w:t>
      </w:r>
    </w:p>
    <w:p w14:paraId="199F60C8" w14:textId="0E7A1009" w:rsidR="008067B9" w:rsidRPr="00CD439F" w:rsidRDefault="008067B9" w:rsidP="00393223">
      <w:pPr>
        <w:pStyle w:val="blokksit"/>
        <w:ind w:left="757"/>
        <w:rPr>
          <w:lang w:val="en-US"/>
        </w:rPr>
      </w:pPr>
      <w:r w:rsidRPr="00CD439F">
        <w:rPr>
          <w:lang w:val="en-US"/>
        </w:rPr>
        <w:t>2. Where the relocation of these peoples is considered necessary as an exceptional measure, such relocation shall take place only with their free and informed consent. Where their consent cannot be obtained, such relocation shall take place only following appropriate procedures established by national laws and regulations, including public inquiries where appropriate, which provide the opportunity for effective representation of the peoples concerned.</w:t>
      </w:r>
      <w:r w:rsidR="00CD439F">
        <w:rPr>
          <w:lang w:val="en-US"/>
        </w:rPr>
        <w:t>»</w:t>
      </w:r>
    </w:p>
    <w:p w14:paraId="13E1E066" w14:textId="7C14948E" w:rsidR="008067B9" w:rsidRDefault="008067B9" w:rsidP="008067B9">
      <w:r w:rsidRPr="647A0C51">
        <w:lastRenderedPageBreak/>
        <w:t xml:space="preserve">Artikkel 16 (2) bruker formuleringen </w:t>
      </w:r>
      <w:r w:rsidR="00CD439F">
        <w:t>«</w:t>
      </w:r>
      <w:proofErr w:type="spellStart"/>
      <w:r w:rsidRPr="00CD439F">
        <w:rPr>
          <w:rStyle w:val="kursiv"/>
        </w:rPr>
        <w:t>free</w:t>
      </w:r>
      <w:proofErr w:type="spellEnd"/>
      <w:r w:rsidRPr="00CD439F">
        <w:rPr>
          <w:rStyle w:val="kursiv"/>
        </w:rPr>
        <w:t xml:space="preserve"> and </w:t>
      </w:r>
      <w:proofErr w:type="spellStart"/>
      <w:r w:rsidRPr="00CD439F">
        <w:rPr>
          <w:rStyle w:val="kursiv"/>
        </w:rPr>
        <w:t>informed</w:t>
      </w:r>
      <w:proofErr w:type="spellEnd"/>
      <w:r w:rsidRPr="00CD439F">
        <w:rPr>
          <w:rStyle w:val="kursiv"/>
        </w:rPr>
        <w:t xml:space="preserve"> </w:t>
      </w:r>
      <w:proofErr w:type="spellStart"/>
      <w:r w:rsidRPr="00CD439F">
        <w:rPr>
          <w:rStyle w:val="kursiv"/>
        </w:rPr>
        <w:t>consent</w:t>
      </w:r>
      <w:proofErr w:type="spellEnd"/>
      <w:r w:rsidR="00CD439F">
        <w:t>»</w:t>
      </w:r>
      <w:r w:rsidRPr="647A0C51">
        <w:t xml:space="preserve">, ikke </w:t>
      </w:r>
      <w:r w:rsidR="00CD439F">
        <w:t>«</w:t>
      </w:r>
      <w:proofErr w:type="spellStart"/>
      <w:r w:rsidRPr="00CD439F">
        <w:rPr>
          <w:rStyle w:val="kursiv"/>
        </w:rPr>
        <w:t>free</w:t>
      </w:r>
      <w:proofErr w:type="spellEnd"/>
      <w:r w:rsidRPr="00CD439F">
        <w:rPr>
          <w:rStyle w:val="kursiv"/>
        </w:rPr>
        <w:t xml:space="preserve">, prior and </w:t>
      </w:r>
      <w:proofErr w:type="spellStart"/>
      <w:r w:rsidRPr="00CD439F">
        <w:rPr>
          <w:rStyle w:val="kursiv"/>
        </w:rPr>
        <w:t>informed</w:t>
      </w:r>
      <w:proofErr w:type="spellEnd"/>
      <w:r w:rsidRPr="00CD439F">
        <w:rPr>
          <w:rStyle w:val="kursiv"/>
        </w:rPr>
        <w:t xml:space="preserve"> </w:t>
      </w:r>
      <w:proofErr w:type="spellStart"/>
      <w:r w:rsidRPr="00CD439F">
        <w:rPr>
          <w:rStyle w:val="kursiv"/>
        </w:rPr>
        <w:t>consent</w:t>
      </w:r>
      <w:proofErr w:type="spellEnd"/>
      <w:r w:rsidR="00CD439F">
        <w:t>»</w:t>
      </w:r>
      <w:r w:rsidRPr="647A0C51">
        <w:t>, men slår fast at flytting av urfolksgrupper bare gjennomføres som et ekstraordinært tiltak (</w:t>
      </w:r>
      <w:r w:rsidR="00CD439F">
        <w:t>«</w:t>
      </w:r>
      <w:proofErr w:type="spellStart"/>
      <w:r w:rsidRPr="00CD439F">
        <w:rPr>
          <w:rStyle w:val="kursiv"/>
        </w:rPr>
        <w:t>exeptional</w:t>
      </w:r>
      <w:proofErr w:type="spellEnd"/>
      <w:r w:rsidRPr="00CD439F">
        <w:rPr>
          <w:rStyle w:val="kursiv"/>
        </w:rPr>
        <w:t xml:space="preserve"> </w:t>
      </w:r>
      <w:proofErr w:type="spellStart"/>
      <w:r w:rsidRPr="00CD439F">
        <w:rPr>
          <w:rStyle w:val="kursiv"/>
        </w:rPr>
        <w:t>measure</w:t>
      </w:r>
      <w:proofErr w:type="spellEnd"/>
      <w:r w:rsidR="00CD439F">
        <w:t>»</w:t>
      </w:r>
      <w:r w:rsidRPr="647A0C51">
        <w:t>), og bare dersom det foreligger et fritt og informert samtykke fra vedkommende urfolksgruppe. Artikkel 16 (2) siste setning åpner imidlertid for at flytting kan skje også uten samtykke, forutsatt at en del nærmere prosedyrer er fulgt. Bestemmelsen etablerer derfor ingen absolutt vetorett.</w:t>
      </w:r>
    </w:p>
    <w:p w14:paraId="7AF9CC62" w14:textId="77777777" w:rsidR="008067B9" w:rsidRDefault="008067B9" w:rsidP="008067B9">
      <w:r w:rsidRPr="647A0C51">
        <w:t>Artikkel 16 har også regler om at urfolksgrupper som har blitt flyttet skal ha rett til å vende tilbake til sine tradisjonelle landområder så snart årsaken til flyttingen ikke lenger er til stede (nr. 3) eller skal bli tilkjent fullgode erstatningsområder dersom tilbakevending er umulig (nr. 4). De individene som har blitt flyttet, har krav på full erstatning for påførte tap (nr. 5).</w:t>
      </w:r>
    </w:p>
    <w:p w14:paraId="372E16B6" w14:textId="616C72CB" w:rsidR="00303661" w:rsidRDefault="008067B9" w:rsidP="008067B9">
      <w:r w:rsidRPr="647A0C51">
        <w:t xml:space="preserve">Det er i norsk sammenheng ikke aktuelt med den typen folkeforflyttinger som artikkel 16 omhandler. Bestemmelsen har derfor vært lite fremme i den norske samerettslige diskursen. Når artikkel 16 (2) bruker uttrykket </w:t>
      </w:r>
      <w:r w:rsidR="00CD439F">
        <w:t>«</w:t>
      </w:r>
      <w:proofErr w:type="spellStart"/>
      <w:r w:rsidRPr="00CD439F">
        <w:rPr>
          <w:rStyle w:val="kursiv"/>
        </w:rPr>
        <w:t>free</w:t>
      </w:r>
      <w:proofErr w:type="spellEnd"/>
      <w:r w:rsidRPr="00CD439F">
        <w:rPr>
          <w:rStyle w:val="kursiv"/>
        </w:rPr>
        <w:t xml:space="preserve"> and </w:t>
      </w:r>
      <w:proofErr w:type="spellStart"/>
      <w:r w:rsidRPr="00CD439F">
        <w:rPr>
          <w:rStyle w:val="kursiv"/>
        </w:rPr>
        <w:t>informed</w:t>
      </w:r>
      <w:proofErr w:type="spellEnd"/>
      <w:r w:rsidRPr="00CD439F">
        <w:rPr>
          <w:rStyle w:val="kursiv"/>
        </w:rPr>
        <w:t xml:space="preserve"> </w:t>
      </w:r>
      <w:proofErr w:type="spellStart"/>
      <w:r w:rsidRPr="00CD439F">
        <w:rPr>
          <w:rStyle w:val="kursiv"/>
        </w:rPr>
        <w:t>consent</w:t>
      </w:r>
      <w:proofErr w:type="spellEnd"/>
      <w:r w:rsidR="00CD439F">
        <w:t>»</w:t>
      </w:r>
      <w:r w:rsidRPr="647A0C51">
        <w:t>, mens artikkel 6, 7 og 15 ikke har tilsvarende formuleringer, kan det imidlertid sluttes at den konsultasjons- og deltakelsesretten som de tre sistnevnte bestemmelsene etablerer, ikke går like langt som artikkel 16 (2) i retning av å stille krav om samtykke som forutsetning for å iverksette et tiltak. En slik tolkning er også naturlig sett i lys av at artikkel 16 gjelder tiltak som gjennomgående vil ha meget store konsekvenser for de berørte urfolksgruppene.</w:t>
      </w:r>
    </w:p>
    <w:p w14:paraId="3CDD7C00" w14:textId="31A2373E" w:rsidR="008067B9" w:rsidRDefault="008067B9" w:rsidP="008067B9">
      <w:pPr>
        <w:pStyle w:val="Overskrift3"/>
      </w:pPr>
      <w:bookmarkStart w:id="31" w:name="_Toc223433094"/>
      <w:r>
        <w:t>FPIC i FNs verdenserklæring</w:t>
      </w:r>
      <w:bookmarkEnd w:id="31"/>
    </w:p>
    <w:p w14:paraId="2CD10F90" w14:textId="1C7C32B6" w:rsidR="00303661" w:rsidRDefault="008067B9" w:rsidP="008067B9">
      <w:r w:rsidRPr="647A0C51">
        <w:t xml:space="preserve">FNs verdenserklæring om urfolks rettigheter fra 2007 som er omtalt i punkt 3.4, har seks bestemmelser som inneholder uttrykket </w:t>
      </w:r>
      <w:r w:rsidR="00CD439F">
        <w:t>«</w:t>
      </w:r>
      <w:proofErr w:type="spellStart"/>
      <w:r w:rsidRPr="00CD439F">
        <w:rPr>
          <w:rStyle w:val="kursiv"/>
        </w:rPr>
        <w:t>free</w:t>
      </w:r>
      <w:proofErr w:type="spellEnd"/>
      <w:r w:rsidRPr="00CD439F">
        <w:rPr>
          <w:rStyle w:val="kursiv"/>
        </w:rPr>
        <w:t xml:space="preserve">, prior and </w:t>
      </w:r>
      <w:proofErr w:type="spellStart"/>
      <w:r w:rsidRPr="00CD439F">
        <w:rPr>
          <w:rStyle w:val="kursiv"/>
        </w:rPr>
        <w:t>informed</w:t>
      </w:r>
      <w:proofErr w:type="spellEnd"/>
      <w:r w:rsidRPr="00CD439F">
        <w:rPr>
          <w:rStyle w:val="kursiv"/>
        </w:rPr>
        <w:t xml:space="preserve"> </w:t>
      </w:r>
      <w:proofErr w:type="spellStart"/>
      <w:r w:rsidRPr="00CD439F">
        <w:rPr>
          <w:rStyle w:val="kursiv"/>
        </w:rPr>
        <w:t>consent</w:t>
      </w:r>
      <w:proofErr w:type="spellEnd"/>
      <w:r w:rsidR="00CD439F">
        <w:t>»</w:t>
      </w:r>
      <w:r w:rsidRPr="647A0C51">
        <w:t>. To av bestemmelsene statuerer en vetorett for urfolkene ved at tiltakene ikke kan gjennomføres med mindre det foreligger et fritt og informert forhåndssamtykke.</w:t>
      </w:r>
    </w:p>
    <w:p w14:paraId="4160AFB0" w14:textId="7E2A0364" w:rsidR="008067B9" w:rsidRDefault="008067B9" w:rsidP="008067B9">
      <w:r w:rsidRPr="647A0C51">
        <w:t>Dette gjelder for det første erklæringens artikkel 10 som i likhet med ILO-konvensjonens artikkel 16 (2) gjelder tvangsflyttinger, men som har en mer absolutt ordlyd:</w:t>
      </w:r>
    </w:p>
    <w:p w14:paraId="1AB4403D" w14:textId="569E5B06" w:rsidR="008067B9" w:rsidRPr="00CD439F" w:rsidRDefault="00CD439F" w:rsidP="00393223">
      <w:pPr>
        <w:pStyle w:val="blokksit"/>
        <w:ind w:left="757"/>
        <w:rPr>
          <w:lang w:val="en-US"/>
        </w:rPr>
      </w:pPr>
      <w:r>
        <w:rPr>
          <w:lang w:val="en-US"/>
        </w:rPr>
        <w:t>«</w:t>
      </w:r>
      <w:r w:rsidR="008067B9" w:rsidRPr="00CD439F">
        <w:rPr>
          <w:lang w:val="en-US"/>
        </w:rPr>
        <w:t>Indigenous peoples shall not be forcibly removed from their lands or territories. No relocation shall take place without the free, prior and informed consent of the indigenous peoples concerned and after agreement on just and fair compensation and, where possible, with the option of return.</w:t>
      </w:r>
      <w:r>
        <w:rPr>
          <w:lang w:val="en-US"/>
        </w:rPr>
        <w:t>»</w:t>
      </w:r>
    </w:p>
    <w:p w14:paraId="47521E31" w14:textId="77777777" w:rsidR="00303661" w:rsidRDefault="007C0B27" w:rsidP="007C0B27">
      <w:pPr>
        <w:rPr>
          <w:lang w:val="en-US"/>
        </w:rPr>
      </w:pPr>
      <w:r w:rsidRPr="00693A45">
        <w:rPr>
          <w:lang w:val="en-US"/>
        </w:rPr>
        <w:t xml:space="preserve">For det </w:t>
      </w:r>
      <w:proofErr w:type="spellStart"/>
      <w:r w:rsidRPr="00693A45">
        <w:rPr>
          <w:lang w:val="en-US"/>
        </w:rPr>
        <w:t>andre</w:t>
      </w:r>
      <w:proofErr w:type="spellEnd"/>
      <w:r w:rsidRPr="00693A45">
        <w:rPr>
          <w:lang w:val="en-US"/>
        </w:rPr>
        <w:t xml:space="preserve"> </w:t>
      </w:r>
      <w:proofErr w:type="spellStart"/>
      <w:r w:rsidRPr="00693A45">
        <w:rPr>
          <w:lang w:val="en-US"/>
        </w:rPr>
        <w:t>gjelder</w:t>
      </w:r>
      <w:proofErr w:type="spellEnd"/>
      <w:r w:rsidRPr="00693A45">
        <w:rPr>
          <w:lang w:val="en-US"/>
        </w:rPr>
        <w:t xml:space="preserve"> det </w:t>
      </w:r>
      <w:proofErr w:type="spellStart"/>
      <w:r w:rsidRPr="00693A45">
        <w:rPr>
          <w:lang w:val="en-US"/>
        </w:rPr>
        <w:t>artikkel</w:t>
      </w:r>
      <w:proofErr w:type="spellEnd"/>
      <w:r w:rsidRPr="00693A45">
        <w:rPr>
          <w:lang w:val="en-US"/>
        </w:rPr>
        <w:t xml:space="preserve"> 29 (2) </w:t>
      </w:r>
      <w:proofErr w:type="spellStart"/>
      <w:r w:rsidRPr="00693A45">
        <w:rPr>
          <w:lang w:val="en-US"/>
        </w:rPr>
        <w:t>som</w:t>
      </w:r>
      <w:proofErr w:type="spellEnd"/>
      <w:r w:rsidRPr="00693A45">
        <w:rPr>
          <w:lang w:val="en-US"/>
        </w:rPr>
        <w:t xml:space="preserve"> </w:t>
      </w:r>
      <w:proofErr w:type="spellStart"/>
      <w:r w:rsidRPr="00693A45">
        <w:rPr>
          <w:lang w:val="en-US"/>
        </w:rPr>
        <w:t>har</w:t>
      </w:r>
      <w:proofErr w:type="spellEnd"/>
      <w:r w:rsidRPr="00693A45">
        <w:rPr>
          <w:lang w:val="en-US"/>
        </w:rPr>
        <w:t xml:space="preserve"> </w:t>
      </w:r>
      <w:proofErr w:type="spellStart"/>
      <w:r w:rsidRPr="00693A45">
        <w:rPr>
          <w:lang w:val="en-US"/>
        </w:rPr>
        <w:t>en</w:t>
      </w:r>
      <w:proofErr w:type="spellEnd"/>
      <w:r w:rsidRPr="00693A45">
        <w:rPr>
          <w:lang w:val="en-US"/>
        </w:rPr>
        <w:t xml:space="preserve"> regel om at </w:t>
      </w:r>
      <w:proofErr w:type="spellStart"/>
      <w:r w:rsidRPr="00693A45">
        <w:rPr>
          <w:lang w:val="en-US"/>
        </w:rPr>
        <w:t>statene</w:t>
      </w:r>
      <w:proofErr w:type="spellEnd"/>
      <w:r w:rsidRPr="00693A45">
        <w:rPr>
          <w:lang w:val="en-US"/>
        </w:rPr>
        <w:t xml:space="preserve"> </w:t>
      </w:r>
      <w:proofErr w:type="spellStart"/>
      <w:r w:rsidRPr="00693A45">
        <w:rPr>
          <w:lang w:val="en-US"/>
        </w:rPr>
        <w:t>skal</w:t>
      </w:r>
      <w:proofErr w:type="spellEnd"/>
      <w:r w:rsidRPr="00693A45">
        <w:rPr>
          <w:lang w:val="en-US"/>
        </w:rPr>
        <w:t xml:space="preserve"> </w:t>
      </w:r>
      <w:proofErr w:type="spellStart"/>
      <w:r w:rsidRPr="00693A45">
        <w:rPr>
          <w:lang w:val="en-US"/>
        </w:rPr>
        <w:t>iverksette</w:t>
      </w:r>
      <w:proofErr w:type="spellEnd"/>
      <w:r w:rsidRPr="00693A45">
        <w:rPr>
          <w:lang w:val="en-US"/>
        </w:rPr>
        <w:t xml:space="preserve"> </w:t>
      </w:r>
      <w:proofErr w:type="spellStart"/>
      <w:r w:rsidRPr="00693A45">
        <w:rPr>
          <w:lang w:val="en-US"/>
        </w:rPr>
        <w:t>effektive</w:t>
      </w:r>
      <w:proofErr w:type="spellEnd"/>
      <w:r w:rsidRPr="00693A45">
        <w:rPr>
          <w:lang w:val="en-US"/>
        </w:rPr>
        <w:t xml:space="preserve"> </w:t>
      </w:r>
      <w:proofErr w:type="spellStart"/>
      <w:r w:rsidRPr="00693A45">
        <w:rPr>
          <w:lang w:val="en-US"/>
        </w:rPr>
        <w:t>tiltak</w:t>
      </w:r>
      <w:proofErr w:type="spellEnd"/>
      <w:r w:rsidRPr="00693A45">
        <w:rPr>
          <w:lang w:val="en-US"/>
        </w:rPr>
        <w:t xml:space="preserve"> for å </w:t>
      </w:r>
      <w:proofErr w:type="spellStart"/>
      <w:r w:rsidRPr="00693A45">
        <w:rPr>
          <w:lang w:val="en-US"/>
        </w:rPr>
        <w:t>unngå</w:t>
      </w:r>
      <w:proofErr w:type="spellEnd"/>
      <w:r w:rsidRPr="00693A45">
        <w:rPr>
          <w:lang w:val="en-US"/>
        </w:rPr>
        <w:t xml:space="preserve"> </w:t>
      </w:r>
      <w:proofErr w:type="spellStart"/>
      <w:r w:rsidRPr="00693A45">
        <w:rPr>
          <w:lang w:val="en-US"/>
        </w:rPr>
        <w:t>deponering</w:t>
      </w:r>
      <w:proofErr w:type="spellEnd"/>
      <w:r w:rsidRPr="00693A45">
        <w:rPr>
          <w:lang w:val="en-US"/>
        </w:rPr>
        <w:t xml:space="preserve"> av </w:t>
      </w:r>
      <w:proofErr w:type="spellStart"/>
      <w:r w:rsidRPr="00693A45">
        <w:rPr>
          <w:lang w:val="en-US"/>
        </w:rPr>
        <w:t>farlige</w:t>
      </w:r>
      <w:proofErr w:type="spellEnd"/>
      <w:r w:rsidRPr="00693A45">
        <w:rPr>
          <w:lang w:val="en-US"/>
        </w:rPr>
        <w:t xml:space="preserve"> </w:t>
      </w:r>
      <w:proofErr w:type="spellStart"/>
      <w:r w:rsidRPr="00693A45">
        <w:rPr>
          <w:lang w:val="en-US"/>
        </w:rPr>
        <w:t>stoffer</w:t>
      </w:r>
      <w:proofErr w:type="spellEnd"/>
      <w:r w:rsidRPr="00693A45">
        <w:rPr>
          <w:lang w:val="en-US"/>
        </w:rPr>
        <w:t xml:space="preserve"> </w:t>
      </w:r>
      <w:proofErr w:type="spellStart"/>
      <w:r w:rsidRPr="00693A45">
        <w:rPr>
          <w:lang w:val="en-US"/>
        </w:rPr>
        <w:t>i</w:t>
      </w:r>
      <w:proofErr w:type="spellEnd"/>
      <w:r w:rsidRPr="00693A45">
        <w:rPr>
          <w:lang w:val="en-US"/>
        </w:rPr>
        <w:t xml:space="preserve"> </w:t>
      </w:r>
      <w:proofErr w:type="spellStart"/>
      <w:r w:rsidRPr="00693A45">
        <w:rPr>
          <w:lang w:val="en-US"/>
        </w:rPr>
        <w:t>urfolksområder</w:t>
      </w:r>
      <w:proofErr w:type="spellEnd"/>
      <w:r w:rsidRPr="00693A45">
        <w:rPr>
          <w:lang w:val="en-US"/>
        </w:rPr>
        <w:t>:</w:t>
      </w:r>
    </w:p>
    <w:p w14:paraId="746E959C" w14:textId="25ED0981" w:rsidR="007C0B27" w:rsidRPr="00CD439F" w:rsidRDefault="00CD439F" w:rsidP="00393223">
      <w:pPr>
        <w:pStyle w:val="blokksit"/>
        <w:ind w:left="757"/>
        <w:rPr>
          <w:lang w:val="en-US"/>
        </w:rPr>
      </w:pPr>
      <w:r>
        <w:rPr>
          <w:lang w:val="en-US"/>
        </w:rPr>
        <w:t>«</w:t>
      </w:r>
      <w:r w:rsidR="007C0B27" w:rsidRPr="00CD439F">
        <w:rPr>
          <w:lang w:val="en-US"/>
        </w:rPr>
        <w:t>States shall take effective measures to ensure that no storage or disposal of hazardous materials shall take place in the lands or territories of indigenous peoples without their free, prior and informed consent.</w:t>
      </w:r>
      <w:r>
        <w:rPr>
          <w:lang w:val="en-US"/>
        </w:rPr>
        <w:t>»</w:t>
      </w:r>
    </w:p>
    <w:p w14:paraId="60ED9903" w14:textId="77777777" w:rsidR="007C0B27" w:rsidRPr="008A2E6E" w:rsidRDefault="007C0B27" w:rsidP="007C0B27">
      <w:r w:rsidRPr="008A2E6E">
        <w:lastRenderedPageBreak/>
        <w:t>Urfolkserklæringens artikkel 19 har en bestemmelse om konsultasjonsrett i forbindelse med lovgivning og administrative tiltak:</w:t>
      </w:r>
    </w:p>
    <w:p w14:paraId="00082BD7" w14:textId="678C37EB" w:rsidR="007C0B27" w:rsidRPr="00CD439F" w:rsidRDefault="00CD439F" w:rsidP="00393223">
      <w:pPr>
        <w:pStyle w:val="blokksit"/>
        <w:ind w:left="757"/>
        <w:rPr>
          <w:lang w:val="en-US"/>
        </w:rPr>
      </w:pPr>
      <w:r>
        <w:rPr>
          <w:lang w:val="en-US"/>
        </w:rPr>
        <w:t>«</w:t>
      </w:r>
      <w:r w:rsidR="007C0B27" w:rsidRPr="00CD439F">
        <w:rPr>
          <w:lang w:val="en-US"/>
        </w:rPr>
        <w:t>States shall consult and cooperate in good faith with the indigenous peoples concerned through their own representative institutions in order to obtain their free, prior and informed consent before adopting and implementing legislative or administrative measures that may affect them.</w:t>
      </w:r>
      <w:r>
        <w:rPr>
          <w:lang w:val="en-US"/>
        </w:rPr>
        <w:t>»</w:t>
      </w:r>
    </w:p>
    <w:p w14:paraId="7232C251" w14:textId="0972339F" w:rsidR="0002534A" w:rsidRDefault="007C0B27" w:rsidP="007C0B27">
      <w:r w:rsidRPr="647A0C51">
        <w:t>Det dreier seg her om en konsultasjonsrett av samme type som den konsultasjonsretten som er regulert i ILO-konvensjonens artikkel 6. Urfolkserklæringens artikkel 32 (2) har en tilsvarende regel for fysiske inngrep.</w:t>
      </w:r>
    </w:p>
    <w:p w14:paraId="5BBAC713" w14:textId="345D1671" w:rsidR="007C0B27" w:rsidRDefault="007C0B27" w:rsidP="007C0B27">
      <w:r w:rsidRPr="003C4E47">
        <w:t>Denne bestemmelsen har en parallell i ILO-konvensjonens artikkel 15 og lyder slik:</w:t>
      </w:r>
    </w:p>
    <w:p w14:paraId="6E7339A6" w14:textId="63CBC600" w:rsidR="007C0B27" w:rsidRPr="00CD439F" w:rsidRDefault="00CD439F" w:rsidP="00393223">
      <w:pPr>
        <w:pStyle w:val="blokksit"/>
        <w:ind w:left="757"/>
        <w:rPr>
          <w:lang w:val="en-US"/>
        </w:rPr>
      </w:pPr>
      <w:r>
        <w:rPr>
          <w:lang w:val="en-US"/>
        </w:rPr>
        <w:t>«</w:t>
      </w:r>
      <w:r w:rsidR="007C0B27" w:rsidRPr="00CD439F">
        <w:rPr>
          <w:lang w:val="en-US"/>
        </w:rPr>
        <w:t>States shall consult and cooperate in good faith with the indigenous peoples concerned through their own representative institutions in order to obtain their free and informed consent prior to the approval of any project affecting their lands or territories and other resources, particularly in connection with the development, utilization or exploitation of mineral, water or other resources.</w:t>
      </w:r>
      <w:r>
        <w:rPr>
          <w:lang w:val="en-US"/>
        </w:rPr>
        <w:t>»</w:t>
      </w:r>
    </w:p>
    <w:p w14:paraId="0DDDCEA3" w14:textId="77777777" w:rsidR="00303661" w:rsidRDefault="007C0B27" w:rsidP="007C0B27">
      <w:proofErr w:type="spellStart"/>
      <w:r w:rsidRPr="00693A45">
        <w:rPr>
          <w:lang w:val="en-US"/>
        </w:rPr>
        <w:t>Både</w:t>
      </w:r>
      <w:proofErr w:type="spellEnd"/>
      <w:r w:rsidRPr="00693A45">
        <w:rPr>
          <w:lang w:val="en-US"/>
        </w:rPr>
        <w:t xml:space="preserve"> </w:t>
      </w:r>
      <w:proofErr w:type="spellStart"/>
      <w:r w:rsidRPr="00693A45">
        <w:rPr>
          <w:lang w:val="en-US"/>
        </w:rPr>
        <w:t>etter</w:t>
      </w:r>
      <w:proofErr w:type="spellEnd"/>
      <w:r w:rsidRPr="00693A45">
        <w:rPr>
          <w:lang w:val="en-US"/>
        </w:rPr>
        <w:t xml:space="preserve"> </w:t>
      </w:r>
      <w:proofErr w:type="spellStart"/>
      <w:r w:rsidRPr="00693A45">
        <w:rPr>
          <w:lang w:val="en-US"/>
        </w:rPr>
        <w:t>artikkel</w:t>
      </w:r>
      <w:proofErr w:type="spellEnd"/>
      <w:r w:rsidRPr="00693A45">
        <w:rPr>
          <w:lang w:val="en-US"/>
        </w:rPr>
        <w:t xml:space="preserve"> 19 og 32 (2) er </w:t>
      </w:r>
      <w:proofErr w:type="spellStart"/>
      <w:r w:rsidRPr="00693A45">
        <w:rPr>
          <w:lang w:val="en-US"/>
        </w:rPr>
        <w:t>målsettingen</w:t>
      </w:r>
      <w:proofErr w:type="spellEnd"/>
      <w:r w:rsidRPr="00693A45">
        <w:rPr>
          <w:lang w:val="en-US"/>
        </w:rPr>
        <w:t xml:space="preserve"> med </w:t>
      </w:r>
      <w:proofErr w:type="spellStart"/>
      <w:r w:rsidRPr="00693A45">
        <w:rPr>
          <w:lang w:val="en-US"/>
        </w:rPr>
        <w:t>konsultasjonene</w:t>
      </w:r>
      <w:proofErr w:type="spellEnd"/>
      <w:r w:rsidRPr="00693A45">
        <w:rPr>
          <w:lang w:val="en-US"/>
        </w:rPr>
        <w:t xml:space="preserve"> å </w:t>
      </w:r>
      <w:proofErr w:type="spellStart"/>
      <w:r w:rsidRPr="00693A45">
        <w:rPr>
          <w:lang w:val="en-US"/>
        </w:rPr>
        <w:t>oppnå</w:t>
      </w:r>
      <w:proofErr w:type="spellEnd"/>
      <w:r w:rsidRPr="00693A45">
        <w:rPr>
          <w:lang w:val="en-US"/>
        </w:rPr>
        <w:t xml:space="preserve"> et </w:t>
      </w:r>
      <w:proofErr w:type="spellStart"/>
      <w:r w:rsidRPr="00693A45">
        <w:rPr>
          <w:lang w:val="en-US"/>
        </w:rPr>
        <w:t>fritt</w:t>
      </w:r>
      <w:proofErr w:type="spellEnd"/>
      <w:r w:rsidRPr="00693A45">
        <w:rPr>
          <w:lang w:val="en-US"/>
        </w:rPr>
        <w:t xml:space="preserve"> og </w:t>
      </w:r>
      <w:proofErr w:type="spellStart"/>
      <w:r w:rsidRPr="00693A45">
        <w:rPr>
          <w:lang w:val="en-US"/>
        </w:rPr>
        <w:t>forhåndsinformert</w:t>
      </w:r>
      <w:proofErr w:type="spellEnd"/>
      <w:r w:rsidRPr="00693A45">
        <w:rPr>
          <w:lang w:val="en-US"/>
        </w:rPr>
        <w:t xml:space="preserve"> </w:t>
      </w:r>
      <w:proofErr w:type="spellStart"/>
      <w:r w:rsidRPr="00693A45">
        <w:rPr>
          <w:lang w:val="en-US"/>
        </w:rPr>
        <w:t>samtykke</w:t>
      </w:r>
      <w:proofErr w:type="spellEnd"/>
      <w:r w:rsidRPr="00693A45">
        <w:rPr>
          <w:lang w:val="en-US"/>
        </w:rPr>
        <w:t xml:space="preserve"> </w:t>
      </w:r>
      <w:proofErr w:type="spellStart"/>
      <w:r w:rsidRPr="00693A45">
        <w:rPr>
          <w:lang w:val="en-US"/>
        </w:rPr>
        <w:t>før</w:t>
      </w:r>
      <w:proofErr w:type="spellEnd"/>
      <w:r w:rsidRPr="00693A45">
        <w:rPr>
          <w:lang w:val="en-US"/>
        </w:rPr>
        <w:t xml:space="preserve"> </w:t>
      </w:r>
      <w:proofErr w:type="spellStart"/>
      <w:r w:rsidRPr="00693A45">
        <w:rPr>
          <w:lang w:val="en-US"/>
        </w:rPr>
        <w:t>iverksettelsen</w:t>
      </w:r>
      <w:proofErr w:type="spellEnd"/>
      <w:r w:rsidRPr="00693A45">
        <w:rPr>
          <w:lang w:val="en-US"/>
        </w:rPr>
        <w:t xml:space="preserve"> av lover, administrative </w:t>
      </w:r>
      <w:proofErr w:type="spellStart"/>
      <w:r w:rsidRPr="00693A45">
        <w:rPr>
          <w:lang w:val="en-US"/>
        </w:rPr>
        <w:t>tiltak</w:t>
      </w:r>
      <w:proofErr w:type="spellEnd"/>
      <w:r w:rsidRPr="00693A45">
        <w:rPr>
          <w:lang w:val="en-US"/>
        </w:rPr>
        <w:t xml:space="preserve"> og </w:t>
      </w:r>
      <w:proofErr w:type="spellStart"/>
      <w:r w:rsidRPr="00693A45">
        <w:rPr>
          <w:lang w:val="en-US"/>
        </w:rPr>
        <w:t>fysiske</w:t>
      </w:r>
      <w:proofErr w:type="spellEnd"/>
      <w:r w:rsidRPr="00693A45">
        <w:rPr>
          <w:lang w:val="en-US"/>
        </w:rPr>
        <w:t xml:space="preserve"> </w:t>
      </w:r>
      <w:proofErr w:type="spellStart"/>
      <w:r w:rsidRPr="00693A45">
        <w:rPr>
          <w:lang w:val="en-US"/>
        </w:rPr>
        <w:t>inngrep</w:t>
      </w:r>
      <w:proofErr w:type="spellEnd"/>
      <w:r w:rsidRPr="00693A45">
        <w:rPr>
          <w:lang w:val="en-US"/>
        </w:rPr>
        <w:t xml:space="preserve"> </w:t>
      </w:r>
      <w:proofErr w:type="spellStart"/>
      <w:r w:rsidRPr="00693A45">
        <w:rPr>
          <w:lang w:val="en-US"/>
        </w:rPr>
        <w:t>som</w:t>
      </w:r>
      <w:proofErr w:type="spellEnd"/>
      <w:r w:rsidRPr="00693A45">
        <w:rPr>
          <w:lang w:val="en-US"/>
        </w:rPr>
        <w:t xml:space="preserve"> </w:t>
      </w:r>
      <w:proofErr w:type="spellStart"/>
      <w:r w:rsidRPr="00693A45">
        <w:rPr>
          <w:lang w:val="en-US"/>
        </w:rPr>
        <w:t>kan</w:t>
      </w:r>
      <w:proofErr w:type="spellEnd"/>
      <w:r w:rsidRPr="00693A45">
        <w:rPr>
          <w:lang w:val="en-US"/>
        </w:rPr>
        <w:t xml:space="preserve"> </w:t>
      </w:r>
      <w:proofErr w:type="spellStart"/>
      <w:r w:rsidRPr="00693A45">
        <w:rPr>
          <w:lang w:val="en-US"/>
        </w:rPr>
        <w:t>påvirke</w:t>
      </w:r>
      <w:proofErr w:type="spellEnd"/>
      <w:r w:rsidRPr="00693A45">
        <w:rPr>
          <w:lang w:val="en-US"/>
        </w:rPr>
        <w:t xml:space="preserve"> </w:t>
      </w:r>
      <w:proofErr w:type="spellStart"/>
      <w:r w:rsidRPr="00693A45">
        <w:rPr>
          <w:lang w:val="en-US"/>
        </w:rPr>
        <w:t>urfolket</w:t>
      </w:r>
      <w:proofErr w:type="spellEnd"/>
      <w:r w:rsidRPr="00693A45">
        <w:rPr>
          <w:lang w:val="en-US"/>
        </w:rPr>
        <w:t xml:space="preserve">. </w:t>
      </w:r>
      <w:r w:rsidRPr="647A0C51">
        <w:t>Om målsettingen ikke realiseres, vil det imidlertid ikke være i strid med bestemmelsene å gjennomføre tiltakene.</w:t>
      </w:r>
    </w:p>
    <w:p w14:paraId="48AD4680" w14:textId="2D5D3CE6" w:rsidR="007C0B27" w:rsidRDefault="007C0B27" w:rsidP="007C0B27">
      <w:r w:rsidRPr="647A0C51">
        <w:t xml:space="preserve">Uttrykket </w:t>
      </w:r>
      <w:r w:rsidR="00CD439F">
        <w:t>«</w:t>
      </w:r>
      <w:proofErr w:type="spellStart"/>
      <w:r w:rsidRPr="00CD439F">
        <w:rPr>
          <w:rStyle w:val="kursiv"/>
        </w:rPr>
        <w:t>free</w:t>
      </w:r>
      <w:proofErr w:type="spellEnd"/>
      <w:r w:rsidRPr="00CD439F">
        <w:rPr>
          <w:rStyle w:val="kursiv"/>
        </w:rPr>
        <w:t xml:space="preserve">, prior and </w:t>
      </w:r>
      <w:proofErr w:type="spellStart"/>
      <w:r w:rsidRPr="00CD439F">
        <w:rPr>
          <w:rStyle w:val="kursiv"/>
        </w:rPr>
        <w:t>informed</w:t>
      </w:r>
      <w:proofErr w:type="spellEnd"/>
      <w:r w:rsidRPr="00CD439F">
        <w:rPr>
          <w:rStyle w:val="kursiv"/>
        </w:rPr>
        <w:t xml:space="preserve"> </w:t>
      </w:r>
      <w:proofErr w:type="spellStart"/>
      <w:r w:rsidRPr="00CD439F">
        <w:rPr>
          <w:rStyle w:val="kursiv"/>
        </w:rPr>
        <w:t>consent</w:t>
      </w:r>
      <w:proofErr w:type="spellEnd"/>
      <w:r w:rsidR="00CD439F">
        <w:t>»</w:t>
      </w:r>
      <w:r w:rsidRPr="647A0C51">
        <w:t xml:space="preserve"> finnes også i urfolkserklæringens artikkel 11 (2) og 28. Bestemmelsene omhandler gjenoppretting av inngrep som urfolket tidligere har blitt utsatt for, uten</w:t>
      </w:r>
      <w:r w:rsidR="00303661">
        <w:t xml:space="preserve"> </w:t>
      </w:r>
      <w:r w:rsidRPr="647A0C51">
        <w:t xml:space="preserve">å ha gitt et fritt og forhåndsinformert samtykke. Det dreier seg dels om inngrep i immaterielle verdier i form av </w:t>
      </w:r>
      <w:r w:rsidR="00CD439F">
        <w:t>«</w:t>
      </w:r>
      <w:proofErr w:type="spellStart"/>
      <w:r w:rsidRPr="00CD439F">
        <w:rPr>
          <w:rStyle w:val="kursiv"/>
        </w:rPr>
        <w:t>cultural</w:t>
      </w:r>
      <w:proofErr w:type="spellEnd"/>
      <w:r w:rsidRPr="00CD439F">
        <w:rPr>
          <w:rStyle w:val="kursiv"/>
        </w:rPr>
        <w:t xml:space="preserve">, </w:t>
      </w:r>
      <w:proofErr w:type="spellStart"/>
      <w:r w:rsidRPr="00CD439F">
        <w:rPr>
          <w:rStyle w:val="kursiv"/>
        </w:rPr>
        <w:t>intellectual</w:t>
      </w:r>
      <w:proofErr w:type="spellEnd"/>
      <w:r w:rsidRPr="00CD439F">
        <w:rPr>
          <w:rStyle w:val="kursiv"/>
        </w:rPr>
        <w:t xml:space="preserve">, </w:t>
      </w:r>
      <w:proofErr w:type="spellStart"/>
      <w:r w:rsidRPr="00CD439F">
        <w:rPr>
          <w:rStyle w:val="kursiv"/>
        </w:rPr>
        <w:t>religious</w:t>
      </w:r>
      <w:proofErr w:type="spellEnd"/>
      <w:r w:rsidRPr="00CD439F">
        <w:rPr>
          <w:rStyle w:val="kursiv"/>
        </w:rPr>
        <w:t xml:space="preserve"> and spiritual </w:t>
      </w:r>
      <w:proofErr w:type="spellStart"/>
      <w:r w:rsidRPr="00CD439F">
        <w:rPr>
          <w:rStyle w:val="kursiv"/>
        </w:rPr>
        <w:t>property</w:t>
      </w:r>
      <w:proofErr w:type="spellEnd"/>
      <w:r w:rsidR="00CD439F">
        <w:t>»</w:t>
      </w:r>
      <w:r w:rsidRPr="647A0C51">
        <w:t>, jf. artikkel 11 (2), og dels om inngrep i landområder, jf. artikkel 28.</w:t>
      </w:r>
    </w:p>
    <w:p w14:paraId="522CAB9A" w14:textId="655461FF" w:rsidR="007C0B27" w:rsidRDefault="007C0B27" w:rsidP="007C0B27">
      <w:pPr>
        <w:pStyle w:val="Overskrift3"/>
      </w:pPr>
      <w:bookmarkStart w:id="32" w:name="_Toc223433095"/>
      <w:r>
        <w:t>FPIC i Menneskerettskomiteens praksis</w:t>
      </w:r>
      <w:bookmarkEnd w:id="32"/>
    </w:p>
    <w:p w14:paraId="52418338" w14:textId="2D26F6CB" w:rsidR="00303661" w:rsidRDefault="007C0B27" w:rsidP="007C0B27">
      <w:r w:rsidRPr="647A0C51">
        <w:t xml:space="preserve">Som nevnt i punkt 3.4, har FNs menneskerettskomité (MRK) etter vedtakelsen av urfolkserklæringen i 2007 ved flere anledninger vist til erklæringen i sin praksis i tilknytning til SP artikkel 27. I noen tilfeller har MRK i stedet for å vise til SP artikkel 1 som moment ved tolkningen av SP artikkel 27, vist til urfolkserklæringens prinsipper om </w:t>
      </w:r>
      <w:r w:rsidR="00CD439F">
        <w:t>«</w:t>
      </w:r>
      <w:proofErr w:type="spellStart"/>
      <w:r w:rsidRPr="00CD439F">
        <w:rPr>
          <w:rStyle w:val="kursiv"/>
        </w:rPr>
        <w:t>free</w:t>
      </w:r>
      <w:proofErr w:type="spellEnd"/>
      <w:r w:rsidRPr="00CD439F">
        <w:rPr>
          <w:rStyle w:val="kursiv"/>
        </w:rPr>
        <w:t xml:space="preserve">, prior and </w:t>
      </w:r>
      <w:proofErr w:type="spellStart"/>
      <w:r w:rsidRPr="00CD439F">
        <w:rPr>
          <w:rStyle w:val="kursiv"/>
        </w:rPr>
        <w:t>informed</w:t>
      </w:r>
      <w:proofErr w:type="spellEnd"/>
      <w:r w:rsidRPr="00CD439F">
        <w:rPr>
          <w:rStyle w:val="kursiv"/>
        </w:rPr>
        <w:t xml:space="preserve"> </w:t>
      </w:r>
      <w:proofErr w:type="spellStart"/>
      <w:r w:rsidRPr="00CD439F">
        <w:rPr>
          <w:rStyle w:val="kursiv"/>
        </w:rPr>
        <w:t>consent</w:t>
      </w:r>
      <w:proofErr w:type="spellEnd"/>
      <w:r w:rsidR="00CD439F">
        <w:t>»</w:t>
      </w:r>
      <w:r w:rsidRPr="647A0C51">
        <w:t>. I andre tilfeller har MRK vist både til SP artikkel 1 og erklæringen.</w:t>
      </w:r>
    </w:p>
    <w:p w14:paraId="504CD4EA" w14:textId="6B933C95" w:rsidR="007C0B27" w:rsidRDefault="007C0B27" w:rsidP="007C0B27">
      <w:r w:rsidRPr="647A0C51">
        <w:t xml:space="preserve">I </w:t>
      </w:r>
      <w:proofErr w:type="spellStart"/>
      <w:r w:rsidRPr="00CD439F">
        <w:rPr>
          <w:rStyle w:val="kursiv"/>
        </w:rPr>
        <w:t>Poma</w:t>
      </w:r>
      <w:proofErr w:type="spellEnd"/>
      <w:r w:rsidRPr="00CD439F">
        <w:rPr>
          <w:rStyle w:val="kursiv"/>
        </w:rPr>
        <w:t xml:space="preserve"> </w:t>
      </w:r>
      <w:proofErr w:type="spellStart"/>
      <w:r w:rsidRPr="00CD439F">
        <w:rPr>
          <w:rStyle w:val="kursiv"/>
        </w:rPr>
        <w:t>Poma</w:t>
      </w:r>
      <w:proofErr w:type="spellEnd"/>
      <w:r w:rsidRPr="00CD439F">
        <w:rPr>
          <w:rStyle w:val="kursiv"/>
        </w:rPr>
        <w:t xml:space="preserve"> v. Peru</w:t>
      </w:r>
      <w:r w:rsidRPr="647A0C51">
        <w:t xml:space="preserve"> som er nærmere omtalt i punkt </w:t>
      </w:r>
      <w:r w:rsidRPr="00042799">
        <w:t>3.2.3</w:t>
      </w:r>
      <w:r w:rsidRPr="647A0C51">
        <w:t>, og som ble avgjort i 2009, viser MRK verken til SP artikkel 1 eller urfolkserklæringen, men uttaler:</w:t>
      </w:r>
      <w:r w:rsidR="00CD439F" w:rsidRPr="00CD439F">
        <w:rPr>
          <w:rStyle w:val="Fotnotereferanse"/>
        </w:rPr>
        <w:footnoteReference w:id="128"/>
      </w:r>
    </w:p>
    <w:p w14:paraId="7C67E669" w14:textId="7DB547AA" w:rsidR="007C0B27" w:rsidRPr="00CD439F" w:rsidRDefault="00CD439F" w:rsidP="00393223">
      <w:pPr>
        <w:pStyle w:val="blokksit"/>
        <w:ind w:left="757"/>
        <w:rPr>
          <w:lang w:val="en-US"/>
        </w:rPr>
      </w:pPr>
      <w:r>
        <w:rPr>
          <w:lang w:val="en-US"/>
        </w:rPr>
        <w:lastRenderedPageBreak/>
        <w:t>«</w:t>
      </w:r>
      <w:r w:rsidR="007C0B27" w:rsidRPr="00CD439F">
        <w:rPr>
          <w:lang w:val="en-US"/>
        </w:rPr>
        <w:t>The Committee considers that participation in the decision making process must be effective, which requires not mere consultation, but the free, prior and informed consent of the members of the community</w:t>
      </w:r>
      <w:r>
        <w:rPr>
          <w:lang w:val="en-US"/>
        </w:rPr>
        <w:t>»</w:t>
      </w:r>
    </w:p>
    <w:p w14:paraId="4AFE48CE" w14:textId="225D12C2" w:rsidR="007C0B27" w:rsidRDefault="007C0B27" w:rsidP="007C0B27">
      <w:pPr>
        <w:rPr>
          <w:lang w:val="en-GB"/>
        </w:rPr>
      </w:pPr>
      <w:r w:rsidRPr="647A0C51">
        <w:rPr>
          <w:lang w:val="en-GB"/>
        </w:rPr>
        <w:t xml:space="preserve">I </w:t>
      </w:r>
      <w:proofErr w:type="spellStart"/>
      <w:r w:rsidRPr="647A0C51">
        <w:rPr>
          <w:lang w:val="en-GB"/>
        </w:rPr>
        <w:t>saken</w:t>
      </w:r>
      <w:proofErr w:type="spellEnd"/>
      <w:r w:rsidRPr="647A0C51">
        <w:rPr>
          <w:lang w:val="en-GB"/>
        </w:rPr>
        <w:t xml:space="preserve"> </w:t>
      </w:r>
      <w:r w:rsidRPr="00CD439F">
        <w:rPr>
          <w:rStyle w:val="kursiv"/>
          <w:lang w:val="en-US"/>
        </w:rPr>
        <w:t>Pereira et al. v. Paraguay</w:t>
      </w:r>
      <w:r w:rsidRPr="647A0C51">
        <w:rPr>
          <w:lang w:val="en-GB"/>
        </w:rPr>
        <w:t xml:space="preserve"> </w:t>
      </w:r>
      <w:proofErr w:type="spellStart"/>
      <w:r w:rsidRPr="647A0C51">
        <w:rPr>
          <w:lang w:val="en-GB"/>
        </w:rPr>
        <w:t>som</w:t>
      </w:r>
      <w:proofErr w:type="spellEnd"/>
      <w:r w:rsidRPr="647A0C51">
        <w:rPr>
          <w:lang w:val="en-GB"/>
        </w:rPr>
        <w:t xml:space="preserve"> MRK </w:t>
      </w:r>
      <w:proofErr w:type="spellStart"/>
      <w:r w:rsidRPr="647A0C51">
        <w:rPr>
          <w:lang w:val="en-GB"/>
        </w:rPr>
        <w:t>avgjorde</w:t>
      </w:r>
      <w:proofErr w:type="spellEnd"/>
      <w:r w:rsidRPr="647A0C51">
        <w:rPr>
          <w:lang w:val="en-GB"/>
        </w:rPr>
        <w:t xml:space="preserve"> </w:t>
      </w:r>
      <w:proofErr w:type="spellStart"/>
      <w:r w:rsidRPr="647A0C51">
        <w:rPr>
          <w:lang w:val="en-GB"/>
        </w:rPr>
        <w:t>i</w:t>
      </w:r>
      <w:proofErr w:type="spellEnd"/>
      <w:r w:rsidRPr="647A0C51">
        <w:rPr>
          <w:lang w:val="en-GB"/>
        </w:rPr>
        <w:t xml:space="preserve"> 2021, </w:t>
      </w:r>
      <w:proofErr w:type="spellStart"/>
      <w:r w:rsidRPr="647A0C51">
        <w:rPr>
          <w:lang w:val="en-GB"/>
        </w:rPr>
        <w:t>nevner</w:t>
      </w:r>
      <w:proofErr w:type="spellEnd"/>
      <w:r w:rsidRPr="647A0C51">
        <w:rPr>
          <w:lang w:val="en-GB"/>
        </w:rPr>
        <w:t xml:space="preserve"> </w:t>
      </w:r>
      <w:proofErr w:type="spellStart"/>
      <w:r w:rsidRPr="647A0C51">
        <w:rPr>
          <w:lang w:val="en-GB"/>
        </w:rPr>
        <w:t>ikke</w:t>
      </w:r>
      <w:proofErr w:type="spellEnd"/>
      <w:r w:rsidRPr="647A0C51">
        <w:rPr>
          <w:lang w:val="en-GB"/>
        </w:rPr>
        <w:t xml:space="preserve"> MRK SP </w:t>
      </w:r>
      <w:proofErr w:type="spellStart"/>
      <w:r w:rsidRPr="647A0C51">
        <w:rPr>
          <w:lang w:val="en-GB"/>
        </w:rPr>
        <w:t>artikkel</w:t>
      </w:r>
      <w:proofErr w:type="spellEnd"/>
      <w:r w:rsidRPr="647A0C51">
        <w:rPr>
          <w:lang w:val="en-GB"/>
        </w:rPr>
        <w:t xml:space="preserve"> 1, men </w:t>
      </w:r>
      <w:proofErr w:type="spellStart"/>
      <w:r w:rsidRPr="647A0C51">
        <w:rPr>
          <w:lang w:val="en-GB"/>
        </w:rPr>
        <w:t>uttaler</w:t>
      </w:r>
      <w:proofErr w:type="spellEnd"/>
      <w:r w:rsidRPr="647A0C51">
        <w:rPr>
          <w:lang w:val="en-GB"/>
        </w:rPr>
        <w:t xml:space="preserve"> at </w:t>
      </w:r>
      <w:proofErr w:type="spellStart"/>
      <w:r w:rsidRPr="647A0C51">
        <w:rPr>
          <w:lang w:val="en-GB"/>
        </w:rPr>
        <w:t>artikkel</w:t>
      </w:r>
      <w:proofErr w:type="spellEnd"/>
      <w:r w:rsidRPr="647A0C51">
        <w:rPr>
          <w:lang w:val="en-GB"/>
        </w:rPr>
        <w:t xml:space="preserve"> 27 </w:t>
      </w:r>
      <w:proofErr w:type="spellStart"/>
      <w:r w:rsidRPr="647A0C51">
        <w:rPr>
          <w:lang w:val="en-GB"/>
        </w:rPr>
        <w:t>tolket</w:t>
      </w:r>
      <w:proofErr w:type="spellEnd"/>
      <w:r w:rsidRPr="647A0C51">
        <w:rPr>
          <w:lang w:val="en-GB"/>
        </w:rPr>
        <w:t xml:space="preserve"> </w:t>
      </w:r>
      <w:proofErr w:type="spellStart"/>
      <w:r w:rsidRPr="647A0C51">
        <w:rPr>
          <w:lang w:val="en-GB"/>
        </w:rPr>
        <w:t>i</w:t>
      </w:r>
      <w:proofErr w:type="spellEnd"/>
      <w:r w:rsidRPr="647A0C51">
        <w:rPr>
          <w:lang w:val="en-GB"/>
        </w:rPr>
        <w:t xml:space="preserve"> </w:t>
      </w:r>
      <w:proofErr w:type="spellStart"/>
      <w:r w:rsidRPr="647A0C51">
        <w:rPr>
          <w:lang w:val="en-GB"/>
        </w:rPr>
        <w:t>lys</w:t>
      </w:r>
      <w:proofErr w:type="spellEnd"/>
      <w:r w:rsidRPr="647A0C51">
        <w:rPr>
          <w:lang w:val="en-GB"/>
        </w:rPr>
        <w:t xml:space="preserve"> </w:t>
      </w:r>
      <w:proofErr w:type="spellStart"/>
      <w:r w:rsidRPr="647A0C51">
        <w:rPr>
          <w:lang w:val="en-GB"/>
        </w:rPr>
        <w:t>av</w:t>
      </w:r>
      <w:proofErr w:type="spellEnd"/>
      <w:r w:rsidRPr="647A0C51">
        <w:rPr>
          <w:lang w:val="en-GB"/>
        </w:rPr>
        <w:t xml:space="preserve"> </w:t>
      </w:r>
      <w:proofErr w:type="spellStart"/>
      <w:r w:rsidRPr="647A0C51">
        <w:rPr>
          <w:lang w:val="en-GB"/>
        </w:rPr>
        <w:t>urfolkserklæringen</w:t>
      </w:r>
      <w:proofErr w:type="spellEnd"/>
      <w:r w:rsidRPr="647A0C51">
        <w:rPr>
          <w:lang w:val="en-GB"/>
        </w:rPr>
        <w:t xml:space="preserve"> </w:t>
      </w:r>
      <w:r w:rsidR="00CD439F">
        <w:rPr>
          <w:lang w:val="en-GB"/>
        </w:rPr>
        <w:t>«</w:t>
      </w:r>
      <w:r w:rsidRPr="00CD439F">
        <w:rPr>
          <w:rStyle w:val="kursiv"/>
          <w:lang w:val="en-US"/>
        </w:rPr>
        <w:t>enshrines the inalienable right of indigenous peoples to enjoy the territories and natural resources that they have traditionally used for their subsistence and cultural identity</w:t>
      </w:r>
      <w:r w:rsidR="00CD439F">
        <w:rPr>
          <w:lang w:val="en-GB"/>
        </w:rPr>
        <w:t>»</w:t>
      </w:r>
      <w:r w:rsidRPr="647A0C51">
        <w:rPr>
          <w:lang w:val="en-GB"/>
        </w:rPr>
        <w:t xml:space="preserve">, og </w:t>
      </w:r>
      <w:proofErr w:type="spellStart"/>
      <w:r w:rsidRPr="647A0C51">
        <w:rPr>
          <w:lang w:val="en-GB"/>
        </w:rPr>
        <w:t>sier</w:t>
      </w:r>
      <w:proofErr w:type="spellEnd"/>
      <w:r w:rsidRPr="647A0C51">
        <w:rPr>
          <w:lang w:val="en-GB"/>
        </w:rPr>
        <w:t xml:space="preserve"> </w:t>
      </w:r>
      <w:proofErr w:type="spellStart"/>
      <w:r w:rsidRPr="647A0C51">
        <w:rPr>
          <w:lang w:val="en-GB"/>
        </w:rPr>
        <w:t>videre</w:t>
      </w:r>
      <w:proofErr w:type="spellEnd"/>
      <w:r w:rsidRPr="647A0C51">
        <w:rPr>
          <w:lang w:val="en-GB"/>
        </w:rPr>
        <w:t>:</w:t>
      </w:r>
      <w:r w:rsidR="00CD439F" w:rsidRPr="00CD439F">
        <w:rPr>
          <w:rStyle w:val="Fotnotereferanse"/>
        </w:rPr>
        <w:footnoteReference w:id="129"/>
      </w:r>
    </w:p>
    <w:p w14:paraId="4B84C275" w14:textId="785EAC3F" w:rsidR="00303661" w:rsidRPr="00CD439F" w:rsidRDefault="00CD439F" w:rsidP="00393223">
      <w:pPr>
        <w:pStyle w:val="blokksit"/>
        <w:ind w:left="757"/>
        <w:rPr>
          <w:lang w:val="en-US"/>
        </w:rPr>
      </w:pPr>
      <w:r>
        <w:rPr>
          <w:rFonts w:asciiTheme="majorBidi" w:hAnsiTheme="majorBidi" w:cstheme="majorBidi"/>
          <w:lang w:val="en-US"/>
        </w:rPr>
        <w:t>«</w:t>
      </w:r>
      <w:r w:rsidR="007C0B27" w:rsidRPr="00CD439F">
        <w:rPr>
          <w:lang w:val="en-US"/>
        </w:rPr>
        <w:t>The Committee also recalls that measures should be taken to ensure that indigenous peoples can effectively participate in decisions of concern to them. Specifically, it is of vital importance that measures that compromise or interfere with the culturally significant economic activities of an indigenous community are taken with the free, prior and informed consent of the members of the community and respect the principle of proportionality so as not to endanger the very survival of the community.</w:t>
      </w:r>
      <w:r>
        <w:rPr>
          <w:rFonts w:asciiTheme="majorBidi" w:hAnsiTheme="majorBidi" w:cstheme="majorBidi"/>
          <w:lang w:val="en-US"/>
        </w:rPr>
        <w:t>»</w:t>
      </w:r>
    </w:p>
    <w:p w14:paraId="1F2EE607" w14:textId="2E0A99B5" w:rsidR="007C0B27" w:rsidRDefault="007C0B27" w:rsidP="0019299F">
      <w:pPr>
        <w:rPr>
          <w:lang w:val="en-GB"/>
        </w:rPr>
      </w:pPr>
      <w:r w:rsidRPr="2FB46E9B">
        <w:t xml:space="preserve">Prinsippet om fritt og forhåndsinformert samtykke var et av flere temaer i saken </w:t>
      </w:r>
      <w:proofErr w:type="spellStart"/>
      <w:r w:rsidRPr="00CD439F">
        <w:rPr>
          <w:rStyle w:val="kursiv"/>
        </w:rPr>
        <w:t>Ailsa</w:t>
      </w:r>
      <w:proofErr w:type="spellEnd"/>
      <w:r w:rsidRPr="00CD439F">
        <w:rPr>
          <w:rStyle w:val="kursiv"/>
        </w:rPr>
        <w:t xml:space="preserve"> Roy v. Australia</w:t>
      </w:r>
      <w:r w:rsidRPr="2FB46E9B">
        <w:t xml:space="preserve"> som ble avgjort i 2023. Australske myndigheter anførte at SP artikkel 27 ikke var overtrådt blant annet fordi </w:t>
      </w:r>
      <w:r w:rsidR="00CD439F">
        <w:t>«</w:t>
      </w:r>
      <w:proofErr w:type="spellStart"/>
      <w:r w:rsidRPr="00CD439F">
        <w:rPr>
          <w:rStyle w:val="kursiv"/>
        </w:rPr>
        <w:t>that</w:t>
      </w:r>
      <w:proofErr w:type="spellEnd"/>
      <w:r w:rsidRPr="00CD439F">
        <w:rPr>
          <w:rStyle w:val="kursiv"/>
        </w:rPr>
        <w:t xml:space="preserve"> </w:t>
      </w:r>
      <w:proofErr w:type="spellStart"/>
      <w:r w:rsidRPr="00CD439F">
        <w:rPr>
          <w:rStyle w:val="kursiv"/>
        </w:rPr>
        <w:t>article</w:t>
      </w:r>
      <w:proofErr w:type="spellEnd"/>
      <w:r w:rsidRPr="00CD439F">
        <w:rPr>
          <w:rStyle w:val="kursiv"/>
        </w:rPr>
        <w:t xml:space="preserve"> </w:t>
      </w:r>
      <w:proofErr w:type="spellStart"/>
      <w:r w:rsidRPr="00CD439F">
        <w:rPr>
          <w:rStyle w:val="kursiv"/>
        </w:rPr>
        <w:t>does</w:t>
      </w:r>
      <w:proofErr w:type="spellEnd"/>
      <w:r w:rsidRPr="00CD439F">
        <w:rPr>
          <w:rStyle w:val="kursiv"/>
        </w:rPr>
        <w:t xml:space="preserve"> not </w:t>
      </w:r>
      <w:proofErr w:type="spellStart"/>
      <w:r w:rsidRPr="00CD439F">
        <w:rPr>
          <w:rStyle w:val="kursiv"/>
        </w:rPr>
        <w:t>provide</w:t>
      </w:r>
      <w:proofErr w:type="spellEnd"/>
      <w:r w:rsidRPr="00CD439F">
        <w:rPr>
          <w:rStyle w:val="kursiv"/>
        </w:rPr>
        <w:t xml:space="preserve"> </w:t>
      </w:r>
      <w:proofErr w:type="spellStart"/>
      <w:r w:rsidRPr="00CD439F">
        <w:rPr>
          <w:rStyle w:val="kursiv"/>
        </w:rPr>
        <w:t>the</w:t>
      </w:r>
      <w:proofErr w:type="spellEnd"/>
      <w:r w:rsidRPr="00CD439F">
        <w:rPr>
          <w:rStyle w:val="kursiv"/>
        </w:rPr>
        <w:t xml:space="preserve"> right to </w:t>
      </w:r>
      <w:proofErr w:type="spellStart"/>
      <w:r w:rsidRPr="00CD439F">
        <w:rPr>
          <w:rStyle w:val="kursiv"/>
        </w:rPr>
        <w:t>free</w:t>
      </w:r>
      <w:proofErr w:type="spellEnd"/>
      <w:r w:rsidRPr="00CD439F">
        <w:rPr>
          <w:rStyle w:val="kursiv"/>
        </w:rPr>
        <w:t xml:space="preserve">, prior and </w:t>
      </w:r>
      <w:proofErr w:type="spellStart"/>
      <w:r w:rsidRPr="00CD439F">
        <w:rPr>
          <w:rStyle w:val="kursiv"/>
        </w:rPr>
        <w:t>informed</w:t>
      </w:r>
      <w:proofErr w:type="spellEnd"/>
      <w:r w:rsidRPr="00CD439F">
        <w:rPr>
          <w:rStyle w:val="kursiv"/>
        </w:rPr>
        <w:t xml:space="preserve"> </w:t>
      </w:r>
      <w:proofErr w:type="spellStart"/>
      <w:r w:rsidRPr="00CD439F">
        <w:rPr>
          <w:rStyle w:val="kursiv"/>
        </w:rPr>
        <w:t>consent</w:t>
      </w:r>
      <w:proofErr w:type="spellEnd"/>
      <w:r w:rsidRPr="00CD439F">
        <w:rPr>
          <w:rStyle w:val="kursiv"/>
        </w:rPr>
        <w:t xml:space="preserve"> for </w:t>
      </w:r>
      <w:proofErr w:type="spellStart"/>
      <w:r w:rsidRPr="00CD439F">
        <w:rPr>
          <w:rStyle w:val="kursiv"/>
        </w:rPr>
        <w:t>Indigenous</w:t>
      </w:r>
      <w:proofErr w:type="spellEnd"/>
      <w:r w:rsidRPr="00CD439F">
        <w:rPr>
          <w:rStyle w:val="kursiv"/>
        </w:rPr>
        <w:t xml:space="preserve"> Peoples</w:t>
      </w:r>
      <w:r w:rsidR="00CD439F">
        <w:t>»</w:t>
      </w:r>
      <w:r w:rsidRPr="2FB46E9B">
        <w:t xml:space="preserve">. </w:t>
      </w:r>
      <w:r w:rsidRPr="2FB46E9B">
        <w:rPr>
          <w:lang w:val="en-GB"/>
        </w:rPr>
        <w:t xml:space="preserve">MRK </w:t>
      </w:r>
      <w:proofErr w:type="spellStart"/>
      <w:r w:rsidRPr="2FB46E9B">
        <w:rPr>
          <w:lang w:val="en-GB"/>
        </w:rPr>
        <w:t>kommenterte</w:t>
      </w:r>
      <w:proofErr w:type="spellEnd"/>
      <w:r w:rsidRPr="2FB46E9B">
        <w:rPr>
          <w:lang w:val="en-GB"/>
        </w:rPr>
        <w:t xml:space="preserve"> </w:t>
      </w:r>
      <w:proofErr w:type="spellStart"/>
      <w:r w:rsidRPr="2FB46E9B">
        <w:rPr>
          <w:lang w:val="en-GB"/>
        </w:rPr>
        <w:t>ikke</w:t>
      </w:r>
      <w:proofErr w:type="spellEnd"/>
      <w:r w:rsidRPr="2FB46E9B">
        <w:rPr>
          <w:lang w:val="en-GB"/>
        </w:rPr>
        <w:t xml:space="preserve"> </w:t>
      </w:r>
      <w:proofErr w:type="spellStart"/>
      <w:r w:rsidRPr="2FB46E9B">
        <w:rPr>
          <w:lang w:val="en-GB"/>
        </w:rPr>
        <w:t>anførselen</w:t>
      </w:r>
      <w:proofErr w:type="spellEnd"/>
      <w:r w:rsidRPr="2FB46E9B">
        <w:rPr>
          <w:lang w:val="en-GB"/>
        </w:rPr>
        <w:t xml:space="preserve"> </w:t>
      </w:r>
      <w:proofErr w:type="spellStart"/>
      <w:r w:rsidRPr="2FB46E9B">
        <w:rPr>
          <w:lang w:val="en-GB"/>
        </w:rPr>
        <w:t>direkte</w:t>
      </w:r>
      <w:proofErr w:type="spellEnd"/>
      <w:r w:rsidRPr="2FB46E9B">
        <w:rPr>
          <w:lang w:val="en-GB"/>
        </w:rPr>
        <w:t xml:space="preserve">, men </w:t>
      </w:r>
      <w:proofErr w:type="spellStart"/>
      <w:r w:rsidRPr="2FB46E9B">
        <w:rPr>
          <w:lang w:val="en-GB"/>
        </w:rPr>
        <w:t>uttalte</w:t>
      </w:r>
      <w:proofErr w:type="spellEnd"/>
      <w:r w:rsidRPr="2FB46E9B">
        <w:rPr>
          <w:lang w:val="en-GB"/>
        </w:rPr>
        <w:t>:</w:t>
      </w:r>
      <w:r w:rsidR="00CD439F" w:rsidRPr="00CD439F">
        <w:rPr>
          <w:rStyle w:val="Fotnotereferanse"/>
        </w:rPr>
        <w:footnoteReference w:id="130"/>
      </w:r>
    </w:p>
    <w:p w14:paraId="67B7FCE7" w14:textId="4CCD984F" w:rsidR="0019299F" w:rsidRPr="00CD439F" w:rsidRDefault="00CD439F" w:rsidP="00393223">
      <w:pPr>
        <w:pStyle w:val="blokksit"/>
        <w:ind w:left="757"/>
        <w:rPr>
          <w:lang w:val="en-US"/>
        </w:rPr>
      </w:pPr>
      <w:r>
        <w:rPr>
          <w:lang w:val="en-US"/>
        </w:rPr>
        <w:t>«</w:t>
      </w:r>
      <w:r w:rsidR="0019299F" w:rsidRPr="00CD439F">
        <w:rPr>
          <w:lang w:val="en-US"/>
        </w:rPr>
        <w:t>…, it is of vital importance that measures that compromise Indigenous Peoples</w:t>
      </w:r>
      <w:r>
        <w:rPr>
          <w:lang w:val="en-US"/>
        </w:rPr>
        <w:t>’</w:t>
      </w:r>
      <w:r w:rsidR="0019299F" w:rsidRPr="00CD439F">
        <w:rPr>
          <w:lang w:val="en-US"/>
        </w:rPr>
        <w:t xml:space="preserve"> culturally significant territories are taken after a process of effective participation and with the free, prior and informed consent of the community concerned, so as not to endanger the very survival of the community and its members.</w:t>
      </w:r>
      <w:r>
        <w:rPr>
          <w:lang w:val="en-US"/>
        </w:rPr>
        <w:t>»</w:t>
      </w:r>
    </w:p>
    <w:p w14:paraId="0600384E" w14:textId="11C5228D" w:rsidR="00303661" w:rsidRDefault="0019299F" w:rsidP="0019299F">
      <w:r w:rsidRPr="00693A45">
        <w:rPr>
          <w:lang w:val="en-US"/>
        </w:rPr>
        <w:t xml:space="preserve">MRK </w:t>
      </w:r>
      <w:proofErr w:type="spellStart"/>
      <w:r w:rsidRPr="00693A45">
        <w:rPr>
          <w:lang w:val="en-US"/>
        </w:rPr>
        <w:t>konstaterte</w:t>
      </w:r>
      <w:proofErr w:type="spellEnd"/>
      <w:r w:rsidRPr="00693A45">
        <w:rPr>
          <w:lang w:val="en-US"/>
        </w:rPr>
        <w:t xml:space="preserve"> </w:t>
      </w:r>
      <w:proofErr w:type="spellStart"/>
      <w:r w:rsidRPr="00693A45">
        <w:rPr>
          <w:lang w:val="en-US"/>
        </w:rPr>
        <w:t>videre</w:t>
      </w:r>
      <w:proofErr w:type="spellEnd"/>
      <w:r w:rsidRPr="00693A45">
        <w:rPr>
          <w:lang w:val="en-US"/>
        </w:rPr>
        <w:t xml:space="preserve"> at </w:t>
      </w:r>
      <w:proofErr w:type="spellStart"/>
      <w:r w:rsidRPr="00693A45">
        <w:rPr>
          <w:lang w:val="en-US"/>
        </w:rPr>
        <w:t>australske</w:t>
      </w:r>
      <w:proofErr w:type="spellEnd"/>
      <w:r w:rsidRPr="00693A45">
        <w:rPr>
          <w:lang w:val="en-US"/>
        </w:rPr>
        <w:t xml:space="preserve"> </w:t>
      </w:r>
      <w:proofErr w:type="spellStart"/>
      <w:r w:rsidRPr="00693A45">
        <w:rPr>
          <w:lang w:val="en-US"/>
        </w:rPr>
        <w:t>myndigheter</w:t>
      </w:r>
      <w:proofErr w:type="spellEnd"/>
      <w:r w:rsidRPr="00693A45">
        <w:rPr>
          <w:lang w:val="en-US"/>
        </w:rPr>
        <w:t xml:space="preserve"> </w:t>
      </w:r>
      <w:proofErr w:type="spellStart"/>
      <w:r w:rsidRPr="00693A45">
        <w:rPr>
          <w:lang w:val="en-US"/>
        </w:rPr>
        <w:t>ikke</w:t>
      </w:r>
      <w:proofErr w:type="spellEnd"/>
      <w:r w:rsidRPr="00693A45">
        <w:rPr>
          <w:lang w:val="en-US"/>
        </w:rPr>
        <w:t xml:space="preserve"> </w:t>
      </w:r>
      <w:proofErr w:type="spellStart"/>
      <w:r w:rsidRPr="00693A45">
        <w:rPr>
          <w:lang w:val="en-US"/>
        </w:rPr>
        <w:t>hadde</w:t>
      </w:r>
      <w:proofErr w:type="spellEnd"/>
      <w:r w:rsidRPr="00693A45">
        <w:rPr>
          <w:lang w:val="en-US"/>
        </w:rPr>
        <w:t xml:space="preserve"> </w:t>
      </w:r>
      <w:proofErr w:type="spellStart"/>
      <w:r w:rsidRPr="00693A45">
        <w:rPr>
          <w:lang w:val="en-US"/>
        </w:rPr>
        <w:t>kunnet</w:t>
      </w:r>
      <w:proofErr w:type="spellEnd"/>
      <w:r w:rsidRPr="00693A45">
        <w:rPr>
          <w:lang w:val="en-US"/>
        </w:rPr>
        <w:t xml:space="preserve"> </w:t>
      </w:r>
      <w:proofErr w:type="spellStart"/>
      <w:r w:rsidRPr="00693A45">
        <w:rPr>
          <w:lang w:val="en-US"/>
        </w:rPr>
        <w:t>påvise</w:t>
      </w:r>
      <w:proofErr w:type="spellEnd"/>
      <w:r w:rsidRPr="00693A45">
        <w:rPr>
          <w:lang w:val="en-US"/>
        </w:rPr>
        <w:t xml:space="preserve"> at de </w:t>
      </w:r>
      <w:proofErr w:type="spellStart"/>
      <w:r w:rsidRPr="00693A45">
        <w:rPr>
          <w:lang w:val="en-US"/>
        </w:rPr>
        <w:t>hadde</w:t>
      </w:r>
      <w:proofErr w:type="spellEnd"/>
      <w:r w:rsidRPr="00693A45">
        <w:rPr>
          <w:lang w:val="en-US"/>
        </w:rPr>
        <w:t xml:space="preserve"> </w:t>
      </w:r>
      <w:proofErr w:type="spellStart"/>
      <w:r w:rsidRPr="00693A45">
        <w:rPr>
          <w:lang w:val="en-US"/>
        </w:rPr>
        <w:t>iverksatt</w:t>
      </w:r>
      <w:proofErr w:type="spellEnd"/>
      <w:r w:rsidRPr="00693A45">
        <w:rPr>
          <w:lang w:val="en-US"/>
        </w:rPr>
        <w:t xml:space="preserve"> </w:t>
      </w:r>
      <w:proofErr w:type="spellStart"/>
      <w:r w:rsidRPr="00693A45">
        <w:rPr>
          <w:lang w:val="en-US"/>
        </w:rPr>
        <w:t>tiltak</w:t>
      </w:r>
      <w:proofErr w:type="spellEnd"/>
      <w:r w:rsidRPr="00693A45">
        <w:rPr>
          <w:lang w:val="en-US"/>
        </w:rPr>
        <w:t xml:space="preserve"> for å </w:t>
      </w:r>
      <w:proofErr w:type="spellStart"/>
      <w:r w:rsidRPr="00693A45">
        <w:rPr>
          <w:lang w:val="en-US"/>
        </w:rPr>
        <w:t>beskytte</w:t>
      </w:r>
      <w:proofErr w:type="spellEnd"/>
      <w:r w:rsidRPr="00693A45">
        <w:rPr>
          <w:lang w:val="en-US"/>
        </w:rPr>
        <w:t xml:space="preserve"> </w:t>
      </w:r>
      <w:proofErr w:type="spellStart"/>
      <w:r w:rsidRPr="00693A45">
        <w:rPr>
          <w:lang w:val="en-US"/>
        </w:rPr>
        <w:t>kulturutøvelsen</w:t>
      </w:r>
      <w:proofErr w:type="spellEnd"/>
      <w:r w:rsidRPr="00693A45">
        <w:rPr>
          <w:lang w:val="en-US"/>
        </w:rPr>
        <w:t xml:space="preserve"> </w:t>
      </w:r>
      <w:proofErr w:type="spellStart"/>
      <w:r w:rsidRPr="00693A45">
        <w:rPr>
          <w:lang w:val="en-US"/>
        </w:rPr>
        <w:t>til</w:t>
      </w:r>
      <w:proofErr w:type="spellEnd"/>
      <w:r w:rsidRPr="00693A45">
        <w:rPr>
          <w:lang w:val="en-US"/>
        </w:rPr>
        <w:t xml:space="preserve"> den </w:t>
      </w:r>
      <w:proofErr w:type="spellStart"/>
      <w:r w:rsidRPr="00693A45">
        <w:rPr>
          <w:lang w:val="en-US"/>
        </w:rPr>
        <w:t>urfolksgruppen</w:t>
      </w:r>
      <w:proofErr w:type="spellEnd"/>
      <w:r w:rsidRPr="00693A45">
        <w:rPr>
          <w:lang w:val="en-US"/>
        </w:rPr>
        <w:t xml:space="preserve"> Ailsa Roy </w:t>
      </w:r>
      <w:proofErr w:type="spellStart"/>
      <w:r w:rsidRPr="00693A45">
        <w:rPr>
          <w:lang w:val="en-US"/>
        </w:rPr>
        <w:t>tilhørte</w:t>
      </w:r>
      <w:proofErr w:type="spellEnd"/>
      <w:r w:rsidRPr="00693A45">
        <w:rPr>
          <w:lang w:val="en-US"/>
        </w:rPr>
        <w:t xml:space="preserve"> (Wunna </w:t>
      </w:r>
      <w:proofErr w:type="spellStart"/>
      <w:r w:rsidRPr="00693A45">
        <w:rPr>
          <w:lang w:val="en-US"/>
        </w:rPr>
        <w:t>Nyiyaparli</w:t>
      </w:r>
      <w:proofErr w:type="spellEnd"/>
      <w:r w:rsidRPr="00693A45">
        <w:rPr>
          <w:lang w:val="en-US"/>
        </w:rPr>
        <w:t xml:space="preserve">). </w:t>
      </w:r>
      <w:r w:rsidRPr="57473D06">
        <w:t xml:space="preserve">Myndighetene hadde tvert imot – uten at </w:t>
      </w:r>
      <w:proofErr w:type="spellStart"/>
      <w:r w:rsidRPr="57473D06">
        <w:t>Wunna</w:t>
      </w:r>
      <w:proofErr w:type="spellEnd"/>
      <w:r w:rsidRPr="57473D06">
        <w:t xml:space="preserve"> </w:t>
      </w:r>
      <w:proofErr w:type="spellStart"/>
      <w:r w:rsidRPr="57473D06">
        <w:t>Nyiyaparli</w:t>
      </w:r>
      <w:proofErr w:type="spellEnd"/>
      <w:r w:rsidRPr="57473D06">
        <w:t xml:space="preserve"> hadde hatt effektiv deltakelse i beslutningsprosessen – tilkjent deres tradisjonelle landområder til en annen urfolksgruppe. Slik MRK vurderte saken, var dette en beslutning som virket inn på </w:t>
      </w:r>
      <w:proofErr w:type="spellStart"/>
      <w:r w:rsidRPr="57473D06">
        <w:t>Wunna</w:t>
      </w:r>
      <w:proofErr w:type="spellEnd"/>
      <w:r w:rsidRPr="57473D06">
        <w:t xml:space="preserve"> </w:t>
      </w:r>
      <w:proofErr w:type="spellStart"/>
      <w:r w:rsidRPr="57473D06">
        <w:t>Nyiyaparlis</w:t>
      </w:r>
      <w:proofErr w:type="spellEnd"/>
      <w:r w:rsidRPr="57473D06">
        <w:t xml:space="preserve"> overlevelse som folk. Manglende effektiv deltakelse i beslutningsprosessen utgjorde derfor en krenkelse av SP artikkel 27, tolket i lys av SP artikkel 1 og FNs urfolkserklæring.</w:t>
      </w:r>
      <w:r w:rsidR="00CD439F" w:rsidRPr="00CD439F">
        <w:rPr>
          <w:rStyle w:val="Fotnotereferanse"/>
        </w:rPr>
        <w:footnoteReference w:id="131"/>
      </w:r>
    </w:p>
    <w:p w14:paraId="07C0A48F" w14:textId="3F24E8B5" w:rsidR="0019299F" w:rsidRDefault="0019299F" w:rsidP="0019299F">
      <w:pPr>
        <w:pStyle w:val="Overskrift3"/>
      </w:pPr>
      <w:bookmarkStart w:id="33" w:name="_Toc223433096"/>
      <w:r>
        <w:lastRenderedPageBreak/>
        <w:t>FPIC som folkerettslig sedvanerett?</w:t>
      </w:r>
      <w:bookmarkEnd w:id="33"/>
    </w:p>
    <w:p w14:paraId="3AC1FAC7" w14:textId="77777777" w:rsidR="00303661" w:rsidRDefault="0019299F" w:rsidP="0019299F">
      <w:r w:rsidRPr="001C0CB0">
        <w:t>Den foregående gjennomgangen viser at prinsippet om fritt og forhåndsinformert samtykke har fått en stadig sterkere plass i internasjonal urfolksrett.</w:t>
      </w:r>
    </w:p>
    <w:p w14:paraId="6E614218" w14:textId="517CC5ED" w:rsidR="0019299F" w:rsidRDefault="0019299F" w:rsidP="0019299F">
      <w:r w:rsidRPr="001C0CB0">
        <w:t>Det fremgår videre at det det dreier seg om to sett av regler. Det ene regelsettet er en form for vetorett, eksemplifisert ved urfolkserklæringens forbud mot folkeforflyttinger (artikkel 10, jf. artikkel 16 (2) i ILO-konvensjonens 169), og forbud mot deponering av farlige stoffer i urfolkets landområder (artikkel 29). Det andre regelsettet innebærer at det skal gjennomføres konsultasjoner med den berørte urfolksgruppen med sikte på å oppnå et fritt og forhåndsinformert samtykke om de aktuelle tiltakene, men der det ikke vil være folkerettsstridig å gjennomføre tiltakene om enighet ikke oppnås. Se ILO-konvensjonens artikkel 6, 7 og 15 og urfolkserklæringens artikkel 19 og 32 (2).</w:t>
      </w:r>
    </w:p>
    <w:p w14:paraId="7581C6D2" w14:textId="77777777" w:rsidR="0019299F" w:rsidRDefault="0019299F" w:rsidP="0019299F">
      <w:r w:rsidRPr="001C0CB0">
        <w:t>En folkerettslig sedvanerettsdannelse forutsetter at det dreier seg om en fast praksis som er fulgt av et betydelig antall stater på grunnlag av en oppfatning om at praksisen er uttrykk for en bindende rettsregel (</w:t>
      </w:r>
      <w:proofErr w:type="spellStart"/>
      <w:r w:rsidRPr="001C0CB0">
        <w:t>opinio</w:t>
      </w:r>
      <w:proofErr w:type="spellEnd"/>
      <w:r w:rsidRPr="001C0CB0">
        <w:t xml:space="preserve"> juris), jf. artikkel 38 (1) b) i ICJ-statuttene.</w:t>
      </w:r>
    </w:p>
    <w:p w14:paraId="3EFC9D5B" w14:textId="77777777" w:rsidR="0019299F" w:rsidRDefault="0019299F" w:rsidP="0019299F">
      <w:pPr>
        <w:rPr>
          <w:rFonts w:cs="Times New Roman"/>
        </w:rPr>
      </w:pPr>
      <w:r w:rsidRPr="57473D06">
        <w:rPr>
          <w:rFonts w:cs="Times New Roman"/>
        </w:rPr>
        <w:t>Begge de ovennevnte aspektene av FPIC er uttrykt i FNs urfolkserklæring</w:t>
      </w:r>
      <w:r>
        <w:rPr>
          <w:rFonts w:cs="Times New Roman"/>
        </w:rPr>
        <w:t>,</w:t>
      </w:r>
      <w:r w:rsidRPr="57473D06">
        <w:rPr>
          <w:rFonts w:cs="Times New Roman"/>
        </w:rPr>
        <w:t xml:space="preserve"> som har stor internasjonal tilslutning. Det er likevel per i dag vanskelig å fastslå med bred penn at FPIC er folkerettslig sedvanerett. Til tross for staten</w:t>
      </w:r>
      <w:r>
        <w:rPr>
          <w:rFonts w:cs="Times New Roman"/>
        </w:rPr>
        <w:t>e</w:t>
      </w:r>
      <w:r w:rsidRPr="57473D06">
        <w:rPr>
          <w:rFonts w:cs="Times New Roman"/>
        </w:rPr>
        <w:t>s tilslutning til de prinsippene som er uttrykt i urfolkserklæringen, er det likevel usikkert om det foreligger tilstrekkelig fast statspraksis til at kriteriene for sedvanerettsdannelse er oppfylt. Det er imidlertid ingen tvil om at den internasjonale utviklingen går i retning av en slik sedvanerettsdannelse.</w:t>
      </w:r>
    </w:p>
    <w:p w14:paraId="732CC908" w14:textId="7C2D7197" w:rsidR="0019299F" w:rsidRDefault="0019299F" w:rsidP="0019299F">
      <w:pPr>
        <w:rPr>
          <w:rFonts w:cs="Times New Roman"/>
        </w:rPr>
      </w:pPr>
      <w:r>
        <w:rPr>
          <w:rFonts w:cs="Times New Roman"/>
        </w:rPr>
        <w:t>Ettersom Norge har ratifisert både SP og ILO-konvensjon nr. 169 og dermed er folkerettslig bundet av disse traktatverkene, har imidlertid spørsmålet for Norges del i første rekke teoretisk, og i mindre grad praktisk interesse. Det er heller ikke umiddelbart lett å se for seg at FPIC vil fange opp situasjoner, som ikke også vil være fanget opp av SP artikkel 27, tolket i lys av SP artikkel 1 og urfolkserklæringen og ILO-konvensjon nr. 169.</w:t>
      </w:r>
    </w:p>
    <w:p w14:paraId="0A86A70F" w14:textId="2747D852" w:rsidR="008814FC" w:rsidRDefault="008814FC" w:rsidP="008814FC">
      <w:pPr>
        <w:pStyle w:val="Overskrift1"/>
      </w:pPr>
      <w:bookmarkStart w:id="34" w:name="_Toc223433097"/>
      <w:r>
        <w:t>Konvensjoner som beskytter rovdyr</w:t>
      </w:r>
      <w:bookmarkEnd w:id="34"/>
    </w:p>
    <w:p w14:paraId="3875FFDE" w14:textId="204D81D7" w:rsidR="008814FC" w:rsidRDefault="008922D8" w:rsidP="008922D8">
      <w:pPr>
        <w:pStyle w:val="Overskrift2"/>
      </w:pPr>
      <w:bookmarkStart w:id="35" w:name="_Toc223433098"/>
      <w:r>
        <w:t>Innledning</w:t>
      </w:r>
      <w:bookmarkEnd w:id="35"/>
    </w:p>
    <w:p w14:paraId="7B145AC9" w14:textId="04144447" w:rsidR="008922D8" w:rsidRDefault="008922D8" w:rsidP="008922D8">
      <w:pPr>
        <w:pStyle w:val="Overskrift3"/>
      </w:pPr>
      <w:bookmarkStart w:id="36" w:name="_Toc223433099"/>
      <w:r>
        <w:t>Oversikt over relevante konvensjoner</w:t>
      </w:r>
      <w:bookmarkEnd w:id="36"/>
    </w:p>
    <w:p w14:paraId="7BDEF217" w14:textId="0D126F27" w:rsidR="002D0F89" w:rsidRDefault="008922D8" w:rsidP="008922D8">
      <w:r w:rsidRPr="0EB64625">
        <w:t>Norges internasjonale forpliktelser til å beskytte rovvilt er basert på flere internasjonale miljø</w:t>
      </w:r>
      <w:r>
        <w:t>konvensjoner</w:t>
      </w:r>
      <w:r w:rsidRPr="0EB64625">
        <w:t xml:space="preserve"> som Norge har ratifisert. Disse forpliktelsene legger føringer på hvordan Norge skal bevare truede og sårbare rovdyrarter som ulv, bjørn, jerv</w:t>
      </w:r>
      <w:r>
        <w:t>,</w:t>
      </w:r>
      <w:r w:rsidRPr="0EB64625">
        <w:t xml:space="preserve"> gaupe</w:t>
      </w:r>
      <w:r>
        <w:t xml:space="preserve"> og kongeørn</w:t>
      </w:r>
      <w:r w:rsidRPr="0EB64625">
        <w:t xml:space="preserve">. De viktigste </w:t>
      </w:r>
      <w:r>
        <w:t>konvensjonene i vår sammenheng er k</w:t>
      </w:r>
      <w:r w:rsidRPr="0EB64625">
        <w:t>onvensjonen om vern av ville europeiske planter og dyr og deres naturlige leveområder (Bernkonvensjonen,</w:t>
      </w:r>
      <w:r>
        <w:t xml:space="preserve"> </w:t>
      </w:r>
      <w:r w:rsidRPr="0EB64625">
        <w:t>1979)</w:t>
      </w:r>
      <w:r>
        <w:t xml:space="preserve"> og</w:t>
      </w:r>
      <w:r w:rsidRPr="0EB64625">
        <w:t xml:space="preserve"> </w:t>
      </w:r>
      <w:r>
        <w:t>k</w:t>
      </w:r>
      <w:r w:rsidRPr="0EB64625">
        <w:t>onvensjonen om biologisk mangfold (CBD, 1992)</w:t>
      </w:r>
      <w:r>
        <w:t>.</w:t>
      </w:r>
    </w:p>
    <w:p w14:paraId="2A05B20A" w14:textId="2ECDBEF8" w:rsidR="00303661" w:rsidRDefault="008922D8" w:rsidP="008922D8">
      <w:r w:rsidRPr="00F36883">
        <w:lastRenderedPageBreak/>
        <w:t>Beskyttelse av rovdyr kan også omfattes av menneskerettighetskonvensjoner, særlig der miljøet av en viss kvalitet er en forutsetning for å ivareta andre menneskerettigheter. For urfolk er særlig rett</w:t>
      </w:r>
      <w:r>
        <w:t>en</w:t>
      </w:r>
      <w:r w:rsidRPr="00F36883">
        <w:t xml:space="preserve"> til kultur (å videreføre tradisjoner og levesett) relevant. For enkelte urfolk er rovdyr hellige eller viktige i tradisjoner og kultur.</w:t>
      </w:r>
      <w:r w:rsidR="00CD439F" w:rsidRPr="00CD439F">
        <w:rPr>
          <w:rStyle w:val="Fotnotereferanse"/>
        </w:rPr>
        <w:footnoteReference w:id="132"/>
      </w:r>
      <w:r w:rsidRPr="00F36883">
        <w:t xml:space="preserve"> Bevaring av rovdyr kan dermed kobles til retten til å utøve sin kultur. Andre relevante rettigheter er rett til land og ressurser (urfolk har rett til å bruke og forvalte tradisjonelle områder) og rett til deltakelse i beslutningsprosesser (ved inngrep i deres landområder skal de bli konsultert ((jf. </w:t>
      </w:r>
      <w:r>
        <w:t xml:space="preserve">SP artikkel 27 og </w:t>
      </w:r>
      <w:r w:rsidRPr="00F36883">
        <w:t>ILO-konvensjon 169)).</w:t>
      </w:r>
    </w:p>
    <w:p w14:paraId="13B2266E" w14:textId="0CFFDEBF" w:rsidR="008922D8" w:rsidRDefault="008922D8" w:rsidP="008922D8">
      <w:r w:rsidRPr="75356CD1">
        <w:t xml:space="preserve">Beskyttelse av rovdyr kan </w:t>
      </w:r>
      <w:r>
        <w:t>videre</w:t>
      </w:r>
      <w:r w:rsidRPr="75356CD1">
        <w:t xml:space="preserve"> inngå som en del av menneskeretten til et bærekraftig og sunt miljø, fordi rovdyr er en viktig del av økosystemene – og biologisk mangfold er anerkjent som en kjerne i miljørettigheter. Rovdyr (som ulv, bjørn, gaupe og jerv) spiller en avgjørende rolle i å regulere økosystemer. Rovdyr kalles for</w:t>
      </w:r>
      <w:r w:rsidR="00303661">
        <w:t xml:space="preserve"> </w:t>
      </w:r>
      <w:r w:rsidRPr="75356CD1">
        <w:t>toppredatorer, altså dyr som står øverst i næringskjeden. Rovdyrene har viktige funksjoner, som, for eksempel, regulering av byttedyr. Ulv, gaupe og bjørn holder bestandene av hjortedyr (elg, rådyr, rein) nede. Uten rovdyr kan disse bestandene vokse for mye, noe som gir overbeiting og skader på skog og planter. Rovdyr bidrar til balanse og mangfold. Når byttedyrbestandene holdes på et nivå som ikke fører til overbeiting, får planter, busker og trær mulighet til å vokse. Dette gir igjen livsgrunnlag for insekter, fugler og smådyr.</w:t>
      </w:r>
    </w:p>
    <w:p w14:paraId="5DBA8451" w14:textId="28D85C75" w:rsidR="002D0F89" w:rsidRDefault="008922D8" w:rsidP="008922D8">
      <w:r w:rsidRPr="75356CD1">
        <w:t>Rovdyr fjerner også syke og svake dyr. Det gjør at byttedyrbestandene blir friskere og mer robuste. Dette påvirker hele økosystemets struktur og kalles en</w:t>
      </w:r>
      <w:r w:rsidR="00303661">
        <w:t xml:space="preserve"> </w:t>
      </w:r>
      <w:r w:rsidRPr="75356CD1">
        <w:t>trofisk kaskade: når rovdyr påvirker byttedyr, påvirker det også planter, insekter og til slutt hele landskapet. Et kjent eksempel er fra</w:t>
      </w:r>
      <w:r w:rsidR="00303661">
        <w:t xml:space="preserve"> </w:t>
      </w:r>
      <w:r w:rsidRPr="75356CD1">
        <w:t>Yellowstone nasjonalpark</w:t>
      </w:r>
      <w:r w:rsidR="00303661">
        <w:t xml:space="preserve"> </w:t>
      </w:r>
      <w:r w:rsidRPr="75356CD1">
        <w:t xml:space="preserve">i USA, der ulvens tilbakekomst førte til at </w:t>
      </w:r>
      <w:r>
        <w:t xml:space="preserve">det ble færre </w:t>
      </w:r>
      <w:r w:rsidRPr="75356CD1">
        <w:t>elg, trær vokste opp igjen, og nye arter fikk gode leveområder.</w:t>
      </w:r>
    </w:p>
    <w:p w14:paraId="0D0FDCF1" w14:textId="302E507C" w:rsidR="00303661" w:rsidRDefault="008922D8" w:rsidP="008922D8">
      <w:r w:rsidRPr="1755F46F">
        <w:t>Rovdyr er</w:t>
      </w:r>
      <w:r w:rsidR="00303661">
        <w:t xml:space="preserve"> </w:t>
      </w:r>
      <w:r w:rsidRPr="1755F46F">
        <w:t xml:space="preserve">naturens økologiske </w:t>
      </w:r>
      <w:r w:rsidR="00CD439F">
        <w:t>«</w:t>
      </w:r>
      <w:r w:rsidRPr="1755F46F">
        <w:t>balanseholdere</w:t>
      </w:r>
      <w:r w:rsidR="00CD439F">
        <w:t>»</w:t>
      </w:r>
      <w:r w:rsidRPr="1755F46F">
        <w:t xml:space="preserve">. Uten dem blir økosystemene fattigere, mindre stabile og mer sårbare. Tap av rovdyr kan føre til økologisk ubalanse, som igjen kan svekke miljøet folk lever i. Derfor er vern av truede rovdyr en del av arbeidet for å </w:t>
      </w:r>
      <w:r w:rsidRPr="1755F46F">
        <w:lastRenderedPageBreak/>
        <w:t>opprettholde et sunt miljø. Retten til miljø må imidlertid avveies mot andre menneskerettigheter, som retten til å drive reindrift som del av den samiske kulturen.</w:t>
      </w:r>
    </w:p>
    <w:p w14:paraId="296A966D" w14:textId="378BE653" w:rsidR="003B7691" w:rsidRDefault="00246CA3" w:rsidP="00246CA3">
      <w:pPr>
        <w:pStyle w:val="Overskrift3"/>
      </w:pPr>
      <w:bookmarkStart w:id="37" w:name="_Toc223433100"/>
      <w:r>
        <w:t xml:space="preserve">Soft </w:t>
      </w:r>
      <w:proofErr w:type="spellStart"/>
      <w:r>
        <w:t>law</w:t>
      </w:r>
      <w:bookmarkEnd w:id="37"/>
      <w:proofErr w:type="spellEnd"/>
    </w:p>
    <w:p w14:paraId="6FB4C158" w14:textId="0FEAD88B" w:rsidR="00246CA3" w:rsidRDefault="00246CA3" w:rsidP="00246CA3">
      <w:r w:rsidRPr="00F36883">
        <w:t>I tillegg til folkerettslige forpliktelser i traktat- og sedvanerett, finnes det mange ikke</w:t>
      </w:r>
      <w:r>
        <w:t>-</w:t>
      </w:r>
      <w:r w:rsidRPr="00F36883">
        <w:t xml:space="preserve">bindende erklæringer og beslutninger, såkalt </w:t>
      </w:r>
      <w:r w:rsidR="00CD439F">
        <w:t>«</w:t>
      </w:r>
      <w:r w:rsidRPr="00F36883">
        <w:t xml:space="preserve">soft </w:t>
      </w:r>
      <w:proofErr w:type="spellStart"/>
      <w:r w:rsidRPr="00F36883">
        <w:t>law</w:t>
      </w:r>
      <w:proofErr w:type="spellEnd"/>
      <w:r w:rsidR="00CD439F">
        <w:t>»</w:t>
      </w:r>
      <w:r w:rsidRPr="00F36883">
        <w:t xml:space="preserve">. </w:t>
      </w:r>
      <w:r>
        <w:t>Dette omfatter</w:t>
      </w:r>
      <w:r w:rsidRPr="00F36883">
        <w:t>, for eksempel, Stockholm- og Rio-erklæringene</w:t>
      </w:r>
      <w:r>
        <w:t xml:space="preserve"> </w:t>
      </w:r>
      <w:r w:rsidRPr="053EA296">
        <w:t>fra</w:t>
      </w:r>
      <w:r>
        <w:t xml:space="preserve"> henholdsvis 1972 og 1992</w:t>
      </w:r>
      <w:r w:rsidRPr="00F36883">
        <w:t>.</w:t>
      </w:r>
    </w:p>
    <w:p w14:paraId="1E69029C" w14:textId="2C5D7C83" w:rsidR="00246CA3" w:rsidRDefault="00246CA3" w:rsidP="00246CA3">
      <w:r>
        <w:t xml:space="preserve">Disse erklæringene inneholder flere </w:t>
      </w:r>
      <w:r w:rsidRPr="00F36883">
        <w:t xml:space="preserve">miljørettsprinsipper. Dette </w:t>
      </w:r>
      <w:r>
        <w:t>omfatter blant annet</w:t>
      </w:r>
      <w:r w:rsidRPr="00F36883">
        <w:t xml:space="preserve"> prinsippet om forebygging av miljøskade, føre-var prinsippet, forbudet mot å volde skade utenfor staters eget territorium, felles men differensiert ansvar, generasjonsrettferdighet m.fl.</w:t>
      </w:r>
      <w:r w:rsidR="00CD439F" w:rsidRPr="00CD439F">
        <w:rPr>
          <w:rStyle w:val="Fotnotereferanse"/>
        </w:rPr>
        <w:footnoteReference w:id="133"/>
      </w:r>
      <w:r w:rsidRPr="00F36883">
        <w:t xml:space="preserve"> Mange av prinsippene har i etterkant blitt kodifisert i miljø</w:t>
      </w:r>
      <w:r>
        <w:t>konvensjoner</w:t>
      </w:r>
      <w:r w:rsidRPr="00F36883">
        <w:t xml:space="preserve">, som for eksempel, </w:t>
      </w:r>
      <w:r>
        <w:t>k</w:t>
      </w:r>
      <w:r w:rsidRPr="00F36883">
        <w:t>limakonvensjon</w:t>
      </w:r>
      <w:r>
        <w:t>en</w:t>
      </w:r>
      <w:r w:rsidRPr="00F36883">
        <w:t xml:space="preserve"> (UNFCCC) </w:t>
      </w:r>
      <w:r>
        <w:t>og</w:t>
      </w:r>
      <w:r w:rsidRPr="00F36883">
        <w:t xml:space="preserve"> </w:t>
      </w:r>
      <w:r>
        <w:t>k</w:t>
      </w:r>
      <w:r w:rsidRPr="00F36883">
        <w:t>onvensjon</w:t>
      </w:r>
      <w:r>
        <w:t>en</w:t>
      </w:r>
      <w:r w:rsidRPr="00F36883">
        <w:t xml:space="preserve"> </w:t>
      </w:r>
      <w:r>
        <w:t>om</w:t>
      </w:r>
      <w:r w:rsidRPr="00F36883">
        <w:t xml:space="preserve"> biologisk</w:t>
      </w:r>
      <w:r>
        <w:t xml:space="preserve"> </w:t>
      </w:r>
      <w:r w:rsidRPr="00F36883">
        <w:t>mangfold.</w:t>
      </w:r>
      <w:r>
        <w:t xml:space="preserve"> </w:t>
      </w:r>
      <w:r w:rsidRPr="00F36883">
        <w:t>Prinsippene i seg selv etablerer ingen rettslige forpliktelser, men de kan være veiledende for tolkningen og videreutvikling av traktatretten.</w:t>
      </w:r>
      <w:r w:rsidR="00CD439F" w:rsidRPr="00CD439F">
        <w:rPr>
          <w:rStyle w:val="Fotnotereferanse"/>
        </w:rPr>
        <w:footnoteReference w:id="134"/>
      </w:r>
    </w:p>
    <w:p w14:paraId="393B7FCC" w14:textId="7DB4DC01" w:rsidR="00246CA3" w:rsidRDefault="00246CA3" w:rsidP="00246CA3">
      <w:r w:rsidRPr="00F36883">
        <w:t xml:space="preserve">Denne utredningen </w:t>
      </w:r>
      <w:r>
        <w:t>behandler Norges</w:t>
      </w:r>
      <w:r w:rsidRPr="00F36883">
        <w:t xml:space="preserve"> folkerettslige forpliktelser</w:t>
      </w:r>
      <w:r>
        <w:t>, men trekker inn internasjonale miljøretts</w:t>
      </w:r>
      <w:r w:rsidRPr="00F36883">
        <w:t>prinsipper der de er relevante for tolkningen av de folkerettslige forpliktelsene.</w:t>
      </w:r>
    </w:p>
    <w:p w14:paraId="37A7D2C1" w14:textId="3ECB0861" w:rsidR="00246CA3" w:rsidRDefault="00246CA3" w:rsidP="00246CA3">
      <w:pPr>
        <w:pStyle w:val="Overskrift3"/>
      </w:pPr>
      <w:bookmarkStart w:id="38" w:name="_Toc223433101"/>
      <w:r>
        <w:t>Folkerettslig sedvanerett</w:t>
      </w:r>
      <w:bookmarkEnd w:id="38"/>
    </w:p>
    <w:p w14:paraId="5464F616" w14:textId="77777777" w:rsidR="00303661" w:rsidRDefault="00246CA3" w:rsidP="00246CA3">
      <w:r w:rsidRPr="0004247F">
        <w:t>Fo</w:t>
      </w:r>
      <w:r>
        <w:t>lkerettslig</w:t>
      </w:r>
      <w:r w:rsidRPr="00F36883">
        <w:t xml:space="preserve"> sedvanerett spiller en viktig rolle i miljøretten, særlig der det ikke finnes bindende traktater. Selv om miljøretten hovedsakelig utvikles gjennom internasjonale</w:t>
      </w:r>
      <w:r>
        <w:t xml:space="preserve"> traktater</w:t>
      </w:r>
      <w:r w:rsidRPr="00F36883">
        <w:t>, finnes det også sedvanerettslige regler som gjelder for alle stater, uavhengig av traktatforpliktelser.</w:t>
      </w:r>
    </w:p>
    <w:p w14:paraId="1A6EC79D" w14:textId="2F5F0941" w:rsidR="00246CA3" w:rsidRDefault="00246CA3" w:rsidP="00246CA3">
      <w:r w:rsidRPr="00F36883">
        <w:t>En av de viktigste sedvanerettslige reglene for miljøbeskyttelse er prinsippet om ikke</w:t>
      </w:r>
      <w:r>
        <w:t xml:space="preserve"> </w:t>
      </w:r>
      <w:r w:rsidRPr="00F36883">
        <w:t>å forårsake skade (</w:t>
      </w:r>
      <w:r w:rsidR="00CD439F">
        <w:t>«</w:t>
      </w:r>
      <w:proofErr w:type="spellStart"/>
      <w:r w:rsidRPr="00F36883">
        <w:t>no</w:t>
      </w:r>
      <w:proofErr w:type="spellEnd"/>
      <w:r w:rsidRPr="00F36883">
        <w:t xml:space="preserve"> harm</w:t>
      </w:r>
      <w:r w:rsidR="00CD439F">
        <w:t>»</w:t>
      </w:r>
      <w:r w:rsidRPr="00F36883">
        <w:t>-prinsippet). Stater har en plikt til å sikre at aktiviteter innenfor deres jurisdiksjon eller kontroll ikke forårsaker betydelig skade på miljøet i andre stater eller i områder utenfor nasjonal jurisdiksjon.</w:t>
      </w:r>
      <w:r w:rsidR="00CD439F" w:rsidRPr="00CD439F">
        <w:rPr>
          <w:rStyle w:val="Fotnotereferanse"/>
        </w:rPr>
        <w:footnoteReference w:id="135"/>
      </w:r>
      <w:r w:rsidRPr="00F36883">
        <w:t xml:space="preserve"> Når de</w:t>
      </w:r>
      <w:r>
        <w:t>t</w:t>
      </w:r>
      <w:r w:rsidRPr="00F36883">
        <w:t xml:space="preserve"> gjelder beskyttelsen og vern av rovdyr, kan denne regelen være relevant i tilfeller av grenseoverskridende bestander hvor aktivitetene i ett land påvirker levedyktigheten </w:t>
      </w:r>
      <w:r>
        <w:t>til</w:t>
      </w:r>
      <w:r w:rsidRPr="00F36883">
        <w:t xml:space="preserve"> hele bestanden. Et annet sedvanerettsprinsipp er prinsippet om internasjonalt samarbeid.</w:t>
      </w:r>
      <w:r w:rsidR="00CD439F" w:rsidRPr="00CD439F">
        <w:rPr>
          <w:rStyle w:val="Fotnotereferanse"/>
        </w:rPr>
        <w:footnoteReference w:id="136"/>
      </w:r>
      <w:r w:rsidRPr="00F36883">
        <w:t xml:space="preserve"> Ifølge dette </w:t>
      </w:r>
      <w:r w:rsidRPr="00F36883">
        <w:lastRenderedPageBreak/>
        <w:t>prinsippet skal stater samarbeide i god tro om beskyttelse av miljøet, inkludert utveksling av informasjon, varsling om risiko, og deltakelse i konsultasjoner</w:t>
      </w:r>
      <w:r>
        <w:t>.</w:t>
      </w:r>
    </w:p>
    <w:p w14:paraId="360591DD" w14:textId="44176D16" w:rsidR="00246CA3" w:rsidRDefault="00246CA3" w:rsidP="00246CA3">
      <w:pPr>
        <w:pStyle w:val="Overskrift2"/>
      </w:pPr>
      <w:bookmarkStart w:id="39" w:name="_Toc223433102"/>
      <w:r>
        <w:t>Konvensjonen om vern av ville europeiske planter og dyr og deres naturlige leveområder (Bernkonvensjonen)</w:t>
      </w:r>
      <w:bookmarkEnd w:id="39"/>
    </w:p>
    <w:p w14:paraId="11FA09A3" w14:textId="305D04E9" w:rsidR="00246CA3" w:rsidRDefault="00246CA3" w:rsidP="00246CA3">
      <w:pPr>
        <w:pStyle w:val="Overskrift3"/>
      </w:pPr>
      <w:bookmarkStart w:id="40" w:name="_Toc223433103"/>
      <w:r>
        <w:t>Oversikt</w:t>
      </w:r>
      <w:bookmarkEnd w:id="40"/>
    </w:p>
    <w:p w14:paraId="2E625D6C" w14:textId="77777777" w:rsidR="00303661" w:rsidRDefault="00246CA3" w:rsidP="00246CA3">
      <w:r w:rsidRPr="02645A7F">
        <w:t>Bernkonvensjonen ble vedtatt av Europarådets Ministerkomite 18. juni 1979 og trådte i kraft 1. juni 1982. Konvensjonen har 51</w:t>
      </w:r>
      <w:r>
        <w:t xml:space="preserve"> </w:t>
      </w:r>
      <w:r w:rsidRPr="02645A7F">
        <w:t>medlemsstater, hvorav 5 stater ikke er medlemmer av Europarådet. I tillegg er EU medlem.</w:t>
      </w:r>
    </w:p>
    <w:p w14:paraId="2C2D0A3F" w14:textId="6C2C462A" w:rsidR="00303661" w:rsidRDefault="00246CA3" w:rsidP="00246CA3">
      <w:r w:rsidRPr="00F36883">
        <w:t xml:space="preserve">Norge ratifiserte Bernkonvensjonen 27. mai 1986 og den trådte i kraft for Norge 1. september samme år. I forbindelse med ratifikasjonen ga Norge en erklæring om at konvensjonen ikke får anvendelse på Svalbard og Jan Mayen. Norge reserverte seg </w:t>
      </w:r>
      <w:r>
        <w:t>når det gjaldt</w:t>
      </w:r>
      <w:r w:rsidRPr="00F36883">
        <w:t xml:space="preserve"> forbud mot visse fangstmetoder</w:t>
      </w:r>
      <w:r>
        <w:t xml:space="preserve"> og</w:t>
      </w:r>
      <w:r w:rsidRPr="00F36883">
        <w:t xml:space="preserve"> har også reservert seg mot visse vedtak fattet under konvensjonen.</w:t>
      </w:r>
      <w:r w:rsidR="00CD439F" w:rsidRPr="00CD439F">
        <w:rPr>
          <w:rStyle w:val="Fotnotereferanse"/>
        </w:rPr>
        <w:footnoteReference w:id="137"/>
      </w:r>
    </w:p>
    <w:p w14:paraId="248129D3" w14:textId="1B1F5EC5" w:rsidR="00303661" w:rsidRDefault="00246CA3" w:rsidP="00246CA3">
      <w:r w:rsidRPr="00F36883">
        <w:t>Bernkonvensjonen har som formål å bevare ville dyr og planter og deres naturlige leveområder, særlig arter som er truet eller sårbare. Dette frem</w:t>
      </w:r>
      <w:r>
        <w:t>går</w:t>
      </w:r>
      <w:r w:rsidRPr="00F36883">
        <w:t xml:space="preserve"> både av konvensjonens tittel og av artikkel 1 nr. 1, hvor målsettingen er å </w:t>
      </w:r>
      <w:r w:rsidR="00CD439F">
        <w:t>«</w:t>
      </w:r>
      <w:r w:rsidRPr="00F36883">
        <w:t>verne vill flora og fauna og deres naturlige leveområder, særlig de arter og leveområder hvis vern krever samarbeid mellom flere stater, og å fremme slik samarbeid</w:t>
      </w:r>
      <w:r w:rsidR="00CD439F">
        <w:t>»</w:t>
      </w:r>
      <w:r w:rsidRPr="00F36883">
        <w:t>.</w:t>
      </w:r>
    </w:p>
    <w:p w14:paraId="2E35EE6C" w14:textId="57915965" w:rsidR="00303661" w:rsidRDefault="00246CA3" w:rsidP="00246CA3">
      <w:r w:rsidRPr="4DA77A36">
        <w:t>Bernkonvensjonen er dermed en naturvernkonvensjon (</w:t>
      </w:r>
      <w:r w:rsidR="00CD439F">
        <w:t>«</w:t>
      </w:r>
      <w:r w:rsidRPr="4DA77A36">
        <w:t xml:space="preserve">nature </w:t>
      </w:r>
      <w:proofErr w:type="spellStart"/>
      <w:r w:rsidRPr="4DA77A36">
        <w:t>conservation</w:t>
      </w:r>
      <w:proofErr w:type="spellEnd"/>
      <w:r w:rsidRPr="4DA77A36">
        <w:t xml:space="preserve"> </w:t>
      </w:r>
      <w:proofErr w:type="spellStart"/>
      <w:r w:rsidRPr="4DA77A36">
        <w:t>convention</w:t>
      </w:r>
      <w:proofErr w:type="spellEnd"/>
      <w:r w:rsidR="00CD439F">
        <w:t>»</w:t>
      </w:r>
      <w:r w:rsidRPr="4DA77A36">
        <w:t>) i den forstand at dens fokus er vern av ville dyr og planter, og ikke hvordan naturressurser kan utnyttes på en best mulig – eller bærekraf</w:t>
      </w:r>
      <w:r>
        <w:t>tig</w:t>
      </w:r>
      <w:r w:rsidRPr="4DA77A36">
        <w:t xml:space="preserve"> </w:t>
      </w:r>
      <w:r>
        <w:t>–</w:t>
      </w:r>
      <w:r w:rsidRPr="4DA77A36">
        <w:t xml:space="preserve"> måte ut fra økonomiske eller sosiale kriterier. Det framgår av konvensjonens fortale at partene erkjenner at vill flora og fauna utgjør </w:t>
      </w:r>
      <w:r w:rsidR="00CD439F">
        <w:t>«</w:t>
      </w:r>
      <w:r w:rsidRPr="4DA77A36">
        <w:t xml:space="preserve">en naturarv som har en estetisk, vitenskapelig, kulturell, </w:t>
      </w:r>
      <w:proofErr w:type="spellStart"/>
      <w:r w:rsidRPr="4DA77A36">
        <w:t>rekreasjonsmessig</w:t>
      </w:r>
      <w:proofErr w:type="spellEnd"/>
      <w:r w:rsidRPr="4DA77A36">
        <w:t xml:space="preserve">, økonomisk og egen verdi som trenger </w:t>
      </w:r>
      <w:r>
        <w:t>å</w:t>
      </w:r>
      <w:r w:rsidRPr="4DA77A36">
        <w:t xml:space="preserve"> sikres og overføres til framtidige generasjoner</w:t>
      </w:r>
      <w:r w:rsidR="00CD439F">
        <w:t>»</w:t>
      </w:r>
      <w:r w:rsidRPr="4DA77A36">
        <w:t>. Naturen har derfor en verdi som er mer en ren økonomisk ressursutnyttelse. Den har mange former for verdi for menneskene</w:t>
      </w:r>
      <w:r w:rsidR="00303661">
        <w:t xml:space="preserve"> – </w:t>
      </w:r>
      <w:r w:rsidRPr="4DA77A36">
        <w:t>og den har også en verdi i seg selv.</w:t>
      </w:r>
    </w:p>
    <w:p w14:paraId="6E89F2E0" w14:textId="77777777" w:rsidR="00303661" w:rsidRDefault="00246CA3" w:rsidP="00246CA3">
      <w:r w:rsidRPr="00F36883">
        <w:t>Konvensjonen inneholder rettslige forpliktelser for Norge om vern av arter og leveområder. Arte</w:t>
      </w:r>
      <w:r>
        <w:t>ne</w:t>
      </w:r>
      <w:r w:rsidRPr="00F36883">
        <w:t xml:space="preserve"> er </w:t>
      </w:r>
      <w:r>
        <w:t>oppført</w:t>
      </w:r>
      <w:r w:rsidRPr="00F36883">
        <w:t xml:space="preserve"> i vedlegg:</w:t>
      </w:r>
    </w:p>
    <w:p w14:paraId="110EB6A9" w14:textId="77777777" w:rsidR="00303661" w:rsidRDefault="00246CA3" w:rsidP="00E61AB9">
      <w:pPr>
        <w:pStyle w:val="Listebombe"/>
      </w:pPr>
      <w:r w:rsidRPr="00F36883">
        <w:t>Vedlegg I: Strengt beskyttede plantearter.</w:t>
      </w:r>
    </w:p>
    <w:p w14:paraId="2A14D66F" w14:textId="77777777" w:rsidR="00303661" w:rsidRDefault="00246CA3" w:rsidP="00E61AB9">
      <w:pPr>
        <w:pStyle w:val="Listebombe"/>
      </w:pPr>
      <w:r w:rsidRPr="7FD89EF3">
        <w:t xml:space="preserve">Vedlegg II: Strengt beskyttede dyrearter (f.eks. </w:t>
      </w:r>
      <w:r w:rsidR="00EA716D">
        <w:t>j</w:t>
      </w:r>
      <w:r w:rsidRPr="7FD89EF3">
        <w:t>erv</w:t>
      </w:r>
      <w:r w:rsidR="00EA716D">
        <w:t xml:space="preserve"> og</w:t>
      </w:r>
      <w:r w:rsidRPr="7FD89EF3">
        <w:t xml:space="preserve"> bjørn).</w:t>
      </w:r>
    </w:p>
    <w:p w14:paraId="66D9A4FC" w14:textId="77777777" w:rsidR="00303661" w:rsidRDefault="00246CA3" w:rsidP="00E61AB9">
      <w:pPr>
        <w:pStyle w:val="Listebombe"/>
      </w:pPr>
      <w:r w:rsidRPr="7FD89EF3">
        <w:lastRenderedPageBreak/>
        <w:t>Vedlegg III: Beskyttede dyrearter (f.eks. ulv</w:t>
      </w:r>
      <w:r w:rsidR="00EA716D">
        <w:t xml:space="preserve"> og gaupe</w:t>
      </w:r>
      <w:r w:rsidRPr="7FD89EF3">
        <w:t>).</w:t>
      </w:r>
    </w:p>
    <w:p w14:paraId="4FE139AA" w14:textId="77777777" w:rsidR="00303661" w:rsidRDefault="00246CA3" w:rsidP="00E61AB9">
      <w:pPr>
        <w:pStyle w:val="Listebombe"/>
      </w:pPr>
      <w:r w:rsidRPr="00F36883">
        <w:t>Vedlegg IV: Forbudte fangstmetoder (feller, gift, etc.).</w:t>
      </w:r>
    </w:p>
    <w:p w14:paraId="2E5266FF" w14:textId="77777777" w:rsidR="00303661" w:rsidRDefault="00246CA3" w:rsidP="00E61AB9">
      <w:r w:rsidRPr="00F36883">
        <w:t xml:space="preserve">Bernkonvensjonen er ikke direkte inkorporert i norsk lov, men er gjennomført gjennom </w:t>
      </w:r>
      <w:r>
        <w:t>bestemmelsene i n</w:t>
      </w:r>
      <w:r w:rsidRPr="00F36883">
        <w:t>aturmangfoldloven</w:t>
      </w:r>
      <w:r>
        <w:t xml:space="preserve"> og v</w:t>
      </w:r>
      <w:r w:rsidRPr="00F36883">
        <w:t>iltloven.</w:t>
      </w:r>
    </w:p>
    <w:p w14:paraId="43309593" w14:textId="0E6E08C0" w:rsidR="00E61AB9" w:rsidRDefault="00E61AB9" w:rsidP="00E61AB9">
      <w:pPr>
        <w:pStyle w:val="Overskrift3"/>
      </w:pPr>
      <w:bookmarkStart w:id="41" w:name="_Toc223433104"/>
      <w:r>
        <w:t>Oversikt over forpliktelser og styringsorganer</w:t>
      </w:r>
      <w:bookmarkEnd w:id="41"/>
    </w:p>
    <w:p w14:paraId="5DBE8EFE" w14:textId="77777777" w:rsidR="00303661" w:rsidRDefault="00E61AB9" w:rsidP="00E61AB9">
      <w:r w:rsidRPr="00F36883">
        <w:t xml:space="preserve">Artikkel 2 inneholder en generell plikt til å holde ville planter og dyr på et nivå som samsvarer med økologiske, vitenskapelige og kulturelle krav, mens det også skal tas hensyn til økonomiske og </w:t>
      </w:r>
      <w:proofErr w:type="spellStart"/>
      <w:r w:rsidRPr="00F36883">
        <w:t>rekreasjonsmessige</w:t>
      </w:r>
      <w:proofErr w:type="spellEnd"/>
      <w:r w:rsidRPr="00F36883">
        <w:t xml:space="preserve"> krav og behovene til underarter, og varianter og typer som lokalt er utsatt for risiko. Det er grunn til å merke seg forrangen til de økologiske, vitenskapelige og kulturelle krav ved forvaltningen.</w:t>
      </w:r>
    </w:p>
    <w:p w14:paraId="4954CC76" w14:textId="2AADDFFA" w:rsidR="00303661" w:rsidRDefault="00E61AB9" w:rsidP="00E61AB9">
      <w:r w:rsidRPr="00F36883">
        <w:t xml:space="preserve">Artikkel 3 fastsetter også generelle plikter. I </w:t>
      </w:r>
      <w:r>
        <w:t>punkt</w:t>
      </w:r>
      <w:r w:rsidRPr="00F36883">
        <w:t xml:space="preserve"> 1 stilles det krav om at partene skal iverksette tiltak for </w:t>
      </w:r>
      <w:r>
        <w:t>å</w:t>
      </w:r>
      <w:r w:rsidRPr="00F36883">
        <w:t xml:space="preserve"> fremme en nasjonal politikk for bevaring av ville planter og dyr, særlig for arter som er truet eller sårbare, og for truede leveområder. I </w:t>
      </w:r>
      <w:r>
        <w:t>punkt</w:t>
      </w:r>
      <w:r w:rsidRPr="00F36883">
        <w:t xml:space="preserve"> 2 kreves det at partene i sin planleggings- og utviklingspolitikk og ved tiltak mot forurensning skal ta hensyn til bevaringen av vill flora og fauna. Her stilles det krav til sektorer utenfor miljø- og naturvern, men kravene er mindre omfattende ved at det skal tas </w:t>
      </w:r>
      <w:r w:rsidR="00CD439F">
        <w:t>«</w:t>
      </w:r>
      <w:r w:rsidRPr="00F36883">
        <w:t>hensyn til</w:t>
      </w:r>
      <w:r w:rsidR="00CD439F">
        <w:t>»</w:t>
      </w:r>
      <w:r w:rsidRPr="00F36883">
        <w:t xml:space="preserve"> bevaringsbehovene. </w:t>
      </w:r>
      <w:r>
        <w:t>Punkt</w:t>
      </w:r>
      <w:r w:rsidRPr="00F36883">
        <w:t xml:space="preserve"> 3 krever at partene fremmer utdanning og opplysning om behovet for </w:t>
      </w:r>
      <w:r>
        <w:t>å</w:t>
      </w:r>
      <w:r w:rsidRPr="00F36883">
        <w:t xml:space="preserve"> verne ville dyr og planter og deres leveområder.</w:t>
      </w:r>
    </w:p>
    <w:p w14:paraId="613D72CD" w14:textId="3D629674" w:rsidR="00303661" w:rsidRDefault="00E61AB9" w:rsidP="00E61AB9">
      <w:r w:rsidRPr="00F36883">
        <w:t xml:space="preserve">Artikkel 4 gjelder beskyttelse av leveområder. </w:t>
      </w:r>
      <w:r>
        <w:t>Punkt</w:t>
      </w:r>
      <w:r w:rsidRPr="00F36883">
        <w:t xml:space="preserve"> 1 inneholder en generell plikt til å sikre bevaringen av leveområder til ville dyr og planter og bevaringen av truede leveområder gjennom </w:t>
      </w:r>
      <w:r w:rsidR="00CD439F">
        <w:t>«</w:t>
      </w:r>
      <w:r w:rsidRPr="00F36883">
        <w:t>hensiktsmessige og nødvendige</w:t>
      </w:r>
      <w:r w:rsidR="00CD439F">
        <w:t>»</w:t>
      </w:r>
      <w:r w:rsidRPr="00F36883">
        <w:t xml:space="preserve"> lovgivningsmessige og administrative tiltak. Bevaringsplikten gjelder spesielt for leveområdene til artene i Vedleggene </w:t>
      </w:r>
      <w:r>
        <w:t>II</w:t>
      </w:r>
      <w:r w:rsidRPr="00F36883">
        <w:t xml:space="preserve"> og </w:t>
      </w:r>
      <w:r>
        <w:t>III</w:t>
      </w:r>
      <w:r w:rsidRPr="00F36883">
        <w:t>.</w:t>
      </w:r>
      <w:r w:rsidR="00303661">
        <w:t xml:space="preserve"> </w:t>
      </w:r>
      <w:r w:rsidRPr="00F36883">
        <w:t xml:space="preserve">I </w:t>
      </w:r>
      <w:r>
        <w:t>punkt</w:t>
      </w:r>
      <w:r w:rsidRPr="00F36883">
        <w:t xml:space="preserve"> 2 kreves det igjen at det skal tas hensyn til bevaring av leveområder i planleggings- og utviklingspolitikken. I </w:t>
      </w:r>
      <w:r>
        <w:t>punkt</w:t>
      </w:r>
      <w:r w:rsidRPr="00F36883">
        <w:t xml:space="preserve"> 3 sies det at det skal tas spesielt hensyn til trekkende arter i Vedlegg II og </w:t>
      </w:r>
      <w:r>
        <w:t>III</w:t>
      </w:r>
      <w:r w:rsidRPr="00F36883">
        <w:t xml:space="preserve">, mens </w:t>
      </w:r>
      <w:r>
        <w:t>punkt</w:t>
      </w:r>
      <w:r w:rsidRPr="00F36883">
        <w:t xml:space="preserve"> 4 pålegger partene </w:t>
      </w:r>
      <w:r>
        <w:t>å</w:t>
      </w:r>
      <w:r w:rsidRPr="00F36883">
        <w:t xml:space="preserve"> koordinere sin politikk i grenseområder mellom landene.</w:t>
      </w:r>
    </w:p>
    <w:p w14:paraId="38FDF856" w14:textId="7E3AC1AA" w:rsidR="00303661" w:rsidRDefault="00E61AB9" w:rsidP="00E61AB9">
      <w:r w:rsidRPr="00F36883">
        <w:t xml:space="preserve">Artikkel 5 krever at partene fastsetter nødvendige og egnede lovgivningsmessige og administrative tiltak for spesielt å sikre bevaringen av de plantene som er listet i Vedlegg I. Det skal forbys plukking, samling, avkutting eller </w:t>
      </w:r>
      <w:r>
        <w:t>å</w:t>
      </w:r>
      <w:r w:rsidRPr="00F36883">
        <w:t xml:space="preserve"> ta opp slike planter med rot. Videre skal partene forby besittelse og salg av slike arter, men her er forpliktelsen kvalifisert ved at forbud bare skal fastsettes der dette er </w:t>
      </w:r>
      <w:r w:rsidR="00CD439F">
        <w:t>«</w:t>
      </w:r>
      <w:r w:rsidRPr="00F36883">
        <w:t>hensiktsmessig</w:t>
      </w:r>
      <w:r w:rsidR="00CD439F">
        <w:t>»</w:t>
      </w:r>
      <w:r w:rsidRPr="00F36883">
        <w:t>.</w:t>
      </w:r>
    </w:p>
    <w:p w14:paraId="0998FF1A" w14:textId="0DF0D547" w:rsidR="00303661" w:rsidRDefault="00E61AB9" w:rsidP="00E61AB9">
      <w:r w:rsidRPr="7FD89EF3">
        <w:t xml:space="preserve">Artikkel 6 er en av de sentrale bestemmelsene for rovviltforvaltningen. Her gis en plikt til å fastsette </w:t>
      </w:r>
      <w:r w:rsidR="00CD439F">
        <w:t>«</w:t>
      </w:r>
      <w:r w:rsidRPr="7FD89EF3">
        <w:t>nødvendige og egnede</w:t>
      </w:r>
      <w:r w:rsidR="00CD439F">
        <w:t>»</w:t>
      </w:r>
      <w:r w:rsidRPr="7FD89EF3">
        <w:t xml:space="preserve"> lovgivningsmessige og administrative tiltak for å sikre bevaring av de dyrearter som er listet i Vedlegg II (strengt beskyttede dyrearter). Dette vedlegget omfatter bl.a. bjørn, jerv og kongeørn. Ulv var tidligere omfattet av Vedlegg II, men etter et forslag fra EU om å flytte ulv til Vedlegg III (beskyttede dyrearter) </w:t>
      </w:r>
      <w:r w:rsidRPr="7FD89EF3">
        <w:lastRenderedPageBreak/>
        <w:t xml:space="preserve">vedtok </w:t>
      </w:r>
      <w:r>
        <w:t>k</w:t>
      </w:r>
      <w:r w:rsidRPr="7FD89EF3">
        <w:t>onvensjonens Permanent</w:t>
      </w:r>
      <w:r>
        <w:t>e</w:t>
      </w:r>
      <w:r w:rsidRPr="7FD89EF3">
        <w:t xml:space="preserve"> Komite at ulv blir listet i dette vedlegget. Listing av ulv i Vedlegg III trådte i kraft 7. mars 2025.</w:t>
      </w:r>
    </w:p>
    <w:p w14:paraId="0321DA7E" w14:textId="022CBE9B" w:rsidR="00E61AB9" w:rsidRDefault="00E61AB9" w:rsidP="00E61AB9">
      <w:r w:rsidRPr="00F36883">
        <w:t>Det er fastsatt visse minstekrav til hva som skal forbys for arter som er listet i Vedlegg II. Dette omfatter forbud mot forsettlig fangst og mot ødeleggelse av områder brukt til ynglesteder eller hvilesteder, forstyrrelse av dyrene, og besittelse av og innenlandsk handel med disse dyreartene hvor slikt forbud ville bidra til effektiviteten til denne artikkelen.</w:t>
      </w:r>
    </w:p>
    <w:p w14:paraId="2666E72D" w14:textId="77777777" w:rsidR="00303661" w:rsidRDefault="00E61AB9" w:rsidP="00E61AB9">
      <w:r w:rsidRPr="00F36883">
        <w:t xml:space="preserve">Artikkel 7 krever at partene fastsetter de nødvendige og egnede lovgivningsmessige og administrative tiltak for </w:t>
      </w:r>
      <w:r>
        <w:t>å</w:t>
      </w:r>
      <w:r w:rsidRPr="00F36883">
        <w:t xml:space="preserve"> sikre bevaringen av de dyrearter som er listet i Vedlegg III. Blant disse er ulv. Utnyttelsen av disse artene skal reguleres for ikke </w:t>
      </w:r>
      <w:r>
        <w:t>å</w:t>
      </w:r>
      <w:r w:rsidRPr="00F36883">
        <w:t xml:space="preserve"> sette bestandene i fare. Det er altså en rettslig plikt til å unngå at bestanden er satt i fare. Også her er det fastsatt visse minstereguleringer, bl.a. om fredningstider eller andre regler om utnyttelsen.</w:t>
      </w:r>
    </w:p>
    <w:p w14:paraId="4F6F58C2" w14:textId="77777777" w:rsidR="00303661" w:rsidRDefault="00E61AB9" w:rsidP="00E61AB9">
      <w:r w:rsidRPr="00F36883">
        <w:t xml:space="preserve">Artikkel 8 fastsetter forbud mot visse fangstmetoder som ikke diskriminerer eller som kan medføre lokal utryddelse av eller alvorlig forstyrrelse av arter listet i Vedlegg III (eller dersom fangst tillates etter artikkel 9 også Vedlegg </w:t>
      </w:r>
      <w:r>
        <w:t>II</w:t>
      </w:r>
      <w:r w:rsidRPr="00F36883">
        <w:t>). Dette gjelder spesielt fangstmetoder listet i Vedlegg IV.</w:t>
      </w:r>
    </w:p>
    <w:p w14:paraId="6F520B7B" w14:textId="77777777" w:rsidR="00303661" w:rsidRDefault="00E61AB9" w:rsidP="00E61AB9">
      <w:r w:rsidRPr="00F36883">
        <w:t xml:space="preserve">Artikkel 9 er en viktig bestemmelse for forvaltningen av rovvilt ved at den gir partene adgang til å gjøre unntak fra forpliktelsene i artiklene 4, 5, 6, 7 og 8 i visse tilfeller og </w:t>
      </w:r>
      <w:r>
        <w:t>fastsetter</w:t>
      </w:r>
      <w:r w:rsidRPr="00F36883">
        <w:t xml:space="preserve"> krav for </w:t>
      </w:r>
      <w:r>
        <w:t xml:space="preserve">bruk av </w:t>
      </w:r>
      <w:r w:rsidRPr="00F36883">
        <w:t xml:space="preserve">unntakene. Dette innebærer for det første at statene fremdeles er underlagt de alminnelige forpliktelsene i artiklene 2 og 3. Men </w:t>
      </w:r>
      <w:r>
        <w:t>u</w:t>
      </w:r>
      <w:r w:rsidRPr="00F36883">
        <w:t xml:space="preserve">nntakene kan bare iverksettes dersom det ikke finnes annen tilfredsstillende løsning og dersom unntaket ikke ville true overlevelsen til vedkommende art, og videre må unntaket være gjort for </w:t>
      </w:r>
      <w:r>
        <w:t>å</w:t>
      </w:r>
      <w:r w:rsidRPr="00F36883">
        <w:t xml:space="preserve"> fremme visse formål:</w:t>
      </w:r>
    </w:p>
    <w:p w14:paraId="4AF69790" w14:textId="77777777" w:rsidR="00303661" w:rsidRPr="00CD439F" w:rsidRDefault="00E61AB9" w:rsidP="00AE2DF8">
      <w:pPr>
        <w:pStyle w:val="blokksit"/>
        <w:ind w:left="708"/>
      </w:pPr>
      <w:r w:rsidRPr="00CD439F">
        <w:t>(a) Beskytte flora og fauna;</w:t>
      </w:r>
    </w:p>
    <w:p w14:paraId="48040620" w14:textId="398F5682" w:rsidR="00E61AB9" w:rsidRPr="00CD439F" w:rsidRDefault="00E61AB9" w:rsidP="00AE2DF8">
      <w:pPr>
        <w:pStyle w:val="blokksit"/>
        <w:ind w:left="708"/>
      </w:pPr>
      <w:r w:rsidRPr="00CD439F">
        <w:t>(b) Forhindre alvorlig skade på avlinger, husdyr, skog, fiskerier, vann og andre former for eiendom;</w:t>
      </w:r>
    </w:p>
    <w:p w14:paraId="233163AA" w14:textId="228954B1" w:rsidR="00303661" w:rsidRPr="00CD439F" w:rsidRDefault="00E61AB9" w:rsidP="00AE2DF8">
      <w:pPr>
        <w:pStyle w:val="blokksit"/>
        <w:ind w:left="708"/>
      </w:pPr>
      <w:r w:rsidRPr="00CD439F">
        <w:t>(c) Beskytte folkehelsen og offentlig sikkerhet, luftsikkerhet eller andre overordnede offentlige interesser (</w:t>
      </w:r>
      <w:r w:rsidR="00CD439F">
        <w:t>«</w:t>
      </w:r>
      <w:r w:rsidRPr="00CD439F">
        <w:t xml:space="preserve">overriding </w:t>
      </w:r>
      <w:proofErr w:type="spellStart"/>
      <w:r w:rsidRPr="00CD439F">
        <w:t>public</w:t>
      </w:r>
      <w:proofErr w:type="spellEnd"/>
      <w:r w:rsidRPr="00CD439F">
        <w:t xml:space="preserve"> </w:t>
      </w:r>
      <w:proofErr w:type="spellStart"/>
      <w:r w:rsidRPr="00CD439F">
        <w:t>interests</w:t>
      </w:r>
      <w:proofErr w:type="spellEnd"/>
      <w:r w:rsidR="00CD439F">
        <w:t>»</w:t>
      </w:r>
      <w:r w:rsidRPr="00CD439F">
        <w:t>);</w:t>
      </w:r>
    </w:p>
    <w:p w14:paraId="0F624DF6" w14:textId="71213D16" w:rsidR="00E61AB9" w:rsidRPr="00CD439F" w:rsidRDefault="00E61AB9" w:rsidP="00AE2DF8">
      <w:pPr>
        <w:pStyle w:val="blokksit"/>
        <w:ind w:left="708"/>
      </w:pPr>
      <w:r w:rsidRPr="00CD439F">
        <w:t>(d) Forsknings- og utdanningsformål, gjenopprettelse av bestandene, gjeninnføring og for nødvendig avl;</w:t>
      </w:r>
    </w:p>
    <w:p w14:paraId="49559B4D" w14:textId="37F93818" w:rsidR="007E66B0" w:rsidRDefault="00E61AB9" w:rsidP="00AE2DF8">
      <w:pPr>
        <w:pStyle w:val="blokksit"/>
        <w:ind w:left="708"/>
      </w:pPr>
      <w:r w:rsidRPr="00CD439F">
        <w:t>(e) Tillate, under strengt overvåkede forhold, på et selektivt grunnlag og i begrenset grad, fangst, forvaring eller annen fornuftig utnyttelse av visse ville dyr og planter i et begrenset antall.</w:t>
      </w:r>
    </w:p>
    <w:p w14:paraId="4C3FD47A" w14:textId="6634BFB5" w:rsidR="00E61AB9" w:rsidRDefault="00E61AB9" w:rsidP="00E61AB9">
      <w:pPr>
        <w:rPr>
          <w:rFonts w:cs="Times New Roman"/>
        </w:rPr>
      </w:pPr>
      <w:r w:rsidRPr="6908AAFB">
        <w:t xml:space="preserve">Alle unntak brukt i henhold til artikkel 9 må toårlig rapporteres til Bernkonvensjonens sekretariat. </w:t>
      </w:r>
      <w:r w:rsidRPr="6908AAFB">
        <w:rPr>
          <w:rFonts w:cs="Times New Roman"/>
        </w:rPr>
        <w:t xml:space="preserve">I henhold til artikkel 9 </w:t>
      </w:r>
      <w:r w:rsidR="00EC01F1">
        <w:rPr>
          <w:rFonts w:cs="Times New Roman"/>
        </w:rPr>
        <w:t>nr.</w:t>
      </w:r>
      <w:r w:rsidRPr="6908AAFB">
        <w:rPr>
          <w:rFonts w:cs="Times New Roman"/>
        </w:rPr>
        <w:t xml:space="preserve"> 2 skal rapportene angi:</w:t>
      </w:r>
    </w:p>
    <w:p w14:paraId="6543A9BD" w14:textId="77777777" w:rsidR="00400FEE" w:rsidRPr="00CD439F" w:rsidRDefault="00E61AB9" w:rsidP="00AE2DF8">
      <w:pPr>
        <w:pStyle w:val="blokksit"/>
        <w:ind w:left="708"/>
      </w:pPr>
      <w:r w:rsidRPr="00CD439F">
        <w:lastRenderedPageBreak/>
        <w:t>a) hvilke bestander som er eller har vært omfattet av unntakene, og, der det er praktisk mulig, antall individer som er berørt;</w:t>
      </w:r>
    </w:p>
    <w:p w14:paraId="0278D62A" w14:textId="77777777" w:rsidR="00400FEE" w:rsidRPr="00CD439F" w:rsidRDefault="00E61AB9" w:rsidP="00AE2DF8">
      <w:pPr>
        <w:pStyle w:val="blokksit"/>
        <w:ind w:left="708"/>
      </w:pPr>
      <w:r w:rsidRPr="00CD439F">
        <w:t>b) hvilke midler som er tillatt for felling eller fangst;</w:t>
      </w:r>
    </w:p>
    <w:p w14:paraId="7CC7BD5A" w14:textId="77777777" w:rsidR="00400FEE" w:rsidRPr="00CD439F" w:rsidRDefault="00E61AB9" w:rsidP="00AE2DF8">
      <w:pPr>
        <w:pStyle w:val="blokksit"/>
        <w:ind w:left="708"/>
      </w:pPr>
      <w:r w:rsidRPr="00CD439F">
        <w:t>c) risikoforholdene og omstendighetene knyttet til tid og sted under hvilke slike unntak er gitt;</w:t>
      </w:r>
    </w:p>
    <w:p w14:paraId="725DAF7D" w14:textId="77777777" w:rsidR="00400FEE" w:rsidRPr="00CD439F" w:rsidRDefault="00E61AB9" w:rsidP="00AE2DF8">
      <w:pPr>
        <w:pStyle w:val="blokksit"/>
        <w:ind w:left="708"/>
      </w:pPr>
      <w:r w:rsidRPr="00CD439F">
        <w:t>d) hvilken myndighet som er bemyndiget til å fastslå at disse vilkårene er oppfylt, og til å treffe beslutninger om hvilke midler som kan brukes, deres begrensninger og hvilke personer som er instruert til å gjennomføre dem;</w:t>
      </w:r>
    </w:p>
    <w:p w14:paraId="4AF1421B" w14:textId="564D6662" w:rsidR="00E61AB9" w:rsidRPr="00CD439F" w:rsidRDefault="00E61AB9" w:rsidP="00AE2DF8">
      <w:pPr>
        <w:pStyle w:val="blokksit"/>
        <w:ind w:left="708"/>
      </w:pPr>
      <w:r w:rsidRPr="00CD439F">
        <w:t>e) hvilke kontrolltiltak som inngår.</w:t>
      </w:r>
    </w:p>
    <w:p w14:paraId="19239097" w14:textId="77777777" w:rsidR="00303661" w:rsidRDefault="009E6E01" w:rsidP="009E6E01">
      <w:r w:rsidRPr="00F36883">
        <w:t>Artikkel 10 fastsetter en plikt for partene til å samordne sine tiltak for trekkende arter i Vedlegg II og</w:t>
      </w:r>
      <w:r>
        <w:t xml:space="preserve"> III</w:t>
      </w:r>
      <w:r w:rsidRPr="00F36883">
        <w:t>.</w:t>
      </w:r>
    </w:p>
    <w:p w14:paraId="25638E61" w14:textId="77777777" w:rsidR="00303661" w:rsidRDefault="009E6E01" w:rsidP="009E6E01">
      <w:r w:rsidRPr="00F36883">
        <w:t>Artikkel 11 fastsetter en samarbeidsplikt og en plikt til å koordinere forskning innenfor de områder konvensjonen dekker.</w:t>
      </w:r>
    </w:p>
    <w:p w14:paraId="4D48B8E4" w14:textId="1648F8AC" w:rsidR="00303661" w:rsidRDefault="009E6E01" w:rsidP="009E6E01">
      <w:r w:rsidRPr="00F36883">
        <w:t xml:space="preserve">Artiklene 13 til 15 inneholder bestemmelser om konvensjonens samarbeidsorganer. Opprettelsen av disse organene innebærer at Bernkonvensjonen er en </w:t>
      </w:r>
      <w:r w:rsidR="00CD439F">
        <w:t>«</w:t>
      </w:r>
      <w:r w:rsidRPr="00F36883">
        <w:t>levende</w:t>
      </w:r>
      <w:r w:rsidR="00CD439F">
        <w:t>»</w:t>
      </w:r>
      <w:r w:rsidRPr="00F36883">
        <w:t xml:space="preserve"> konvensjon med en form for internasjonal forvaltning. Artikkel 13 oppretter Den Permanente Komit</w:t>
      </w:r>
      <w:r>
        <w:t>é</w:t>
      </w:r>
      <w:r w:rsidRPr="00F36883">
        <w:t xml:space="preserve">, hvor alle partene er representert. Den skal etter artikkel 14 bl.a. gi anbefalinger til partene om tiltak </w:t>
      </w:r>
      <w:r w:rsidR="00CD439F">
        <w:t>«</w:t>
      </w:r>
      <w:r w:rsidRPr="00F36883">
        <w:t>som skal treffes for denne Konvensjons målsettinger</w:t>
      </w:r>
      <w:r w:rsidR="00CD439F">
        <w:t>»</w:t>
      </w:r>
      <w:r w:rsidRPr="00F36883">
        <w:t xml:space="preserve">. Komiteen kan ikke fastsette nye forpliktelser for partene, men i den grad den gir anbefalinger om tolkningen av konvensjonen er det grunn til </w:t>
      </w:r>
      <w:r>
        <w:t>å</w:t>
      </w:r>
      <w:r w:rsidRPr="00F36883">
        <w:t xml:space="preserve"> tillegge dem stor vekt. Dette gjelder særlig i tilfeller hvor konvensjonen inneholder en rettslig forpliktelse og inneholder et mandat til Komite</w:t>
      </w:r>
      <w:r>
        <w:t>en</w:t>
      </w:r>
      <w:r w:rsidRPr="00F36883">
        <w:t xml:space="preserve"> til å spesifisere</w:t>
      </w:r>
      <w:r>
        <w:t xml:space="preserve"> eller </w:t>
      </w:r>
      <w:r w:rsidRPr="00F36883">
        <w:t>gi nærmere veiledning om forpliktelsen. Det gjelder videre når beslutningene vedtatt av Komite</w:t>
      </w:r>
      <w:r>
        <w:t>en</w:t>
      </w:r>
      <w:r w:rsidRPr="00F36883">
        <w:t xml:space="preserve"> kan ansees som </w:t>
      </w:r>
      <w:r>
        <w:t xml:space="preserve">en </w:t>
      </w:r>
      <w:r w:rsidRPr="00F36883">
        <w:t xml:space="preserve">enighet </w:t>
      </w:r>
      <w:r>
        <w:t>mellom statene</w:t>
      </w:r>
      <w:r w:rsidRPr="00F36883">
        <w:t xml:space="preserve"> om innholdet i konvensjonen og </w:t>
      </w:r>
      <w:r>
        <w:t xml:space="preserve">dermed </w:t>
      </w:r>
      <w:r w:rsidRPr="00F36883">
        <w:t xml:space="preserve">etablerer en </w:t>
      </w:r>
      <w:r w:rsidR="00CD439F">
        <w:t>«</w:t>
      </w:r>
      <w:r w:rsidRPr="00F36883">
        <w:t>etterfølgende avtale</w:t>
      </w:r>
      <w:r w:rsidR="00CD439F">
        <w:t>»</w:t>
      </w:r>
      <w:r w:rsidRPr="00F36883">
        <w:t xml:space="preserve"> jf. Wienkonvensjon om traktatrett</w:t>
      </w:r>
      <w:r>
        <w:t>en</w:t>
      </w:r>
      <w:r w:rsidRPr="00F36883">
        <w:t>, art. 31</w:t>
      </w:r>
      <w:r>
        <w:t xml:space="preserve"> </w:t>
      </w:r>
      <w:r w:rsidRPr="00F36883">
        <w:t>(3)</w:t>
      </w:r>
      <w:r>
        <w:t xml:space="preserve"> (a) eller som </w:t>
      </w:r>
      <w:r w:rsidR="00CD439F">
        <w:t>«</w:t>
      </w:r>
      <w:r>
        <w:t>etterfølgende praksis</w:t>
      </w:r>
      <w:r w:rsidR="00CD439F">
        <w:t>»</w:t>
      </w:r>
      <w:r>
        <w:t xml:space="preserve"> (b)</w:t>
      </w:r>
      <w:r w:rsidRPr="00F36883">
        <w:t>.</w:t>
      </w:r>
      <w:r w:rsidR="00CD439F" w:rsidRPr="00CD439F">
        <w:rPr>
          <w:rStyle w:val="Fotnotereferanse"/>
        </w:rPr>
        <w:footnoteReference w:id="138"/>
      </w:r>
      <w:r w:rsidRPr="00F36883">
        <w:t xml:space="preserve"> Artikkel 15 bestemmer at Komiteen etter hvert møte skal oversende rapport om sitt arbeid og om hvordan konvensjonen virker til Ministerkomiteen i Europarådet.</w:t>
      </w:r>
    </w:p>
    <w:p w14:paraId="1D8F491A" w14:textId="45053AFB" w:rsidR="00303661" w:rsidRDefault="009E6E01" w:rsidP="009E6E01">
      <w:r w:rsidRPr="02645A7F">
        <w:rPr>
          <w:rFonts w:cs="Times New Roman"/>
          <w:color w:val="000000" w:themeColor="text1"/>
        </w:rPr>
        <w:t>Komiteens praksis bidrar til å klargjøre hvilken vekt artsvernet skal ha, og hvor strenge krav som stilles til statenes vurderinger før felling kan tillates.</w:t>
      </w:r>
      <w:r>
        <w:rPr>
          <w:rFonts w:cs="Times New Roman"/>
          <w:color w:val="000000" w:themeColor="text1"/>
        </w:rPr>
        <w:t xml:space="preserve"> </w:t>
      </w:r>
      <w:r w:rsidRPr="00F36883">
        <w:t xml:space="preserve">Gjennomføringen av Bernkonvensjonen er veiledet av Europarådets grunnleggende verdier. Disse verdiene gjenspeiles i </w:t>
      </w:r>
      <w:proofErr w:type="spellStart"/>
      <w:r w:rsidRPr="00CD439F">
        <w:rPr>
          <w:rStyle w:val="kursiv"/>
        </w:rPr>
        <w:t>Vision</w:t>
      </w:r>
      <w:proofErr w:type="spellEnd"/>
      <w:r w:rsidRPr="00CD439F">
        <w:rPr>
          <w:rStyle w:val="kursiv"/>
        </w:rPr>
        <w:t xml:space="preserve"> for </w:t>
      </w:r>
      <w:proofErr w:type="spellStart"/>
      <w:r w:rsidRPr="00CD439F">
        <w:rPr>
          <w:rStyle w:val="kursiv"/>
        </w:rPr>
        <w:t>the</w:t>
      </w:r>
      <w:proofErr w:type="spellEnd"/>
      <w:r w:rsidRPr="00CD439F">
        <w:rPr>
          <w:rStyle w:val="kursiv"/>
        </w:rPr>
        <w:t xml:space="preserve"> Convention for </w:t>
      </w:r>
      <w:proofErr w:type="spellStart"/>
      <w:r w:rsidRPr="00CD439F">
        <w:rPr>
          <w:rStyle w:val="kursiv"/>
        </w:rPr>
        <w:t>the</w:t>
      </w:r>
      <w:proofErr w:type="spellEnd"/>
      <w:r w:rsidRPr="00CD439F">
        <w:rPr>
          <w:rStyle w:val="kursiv"/>
        </w:rPr>
        <w:t xml:space="preserve"> </w:t>
      </w:r>
      <w:proofErr w:type="spellStart"/>
      <w:r w:rsidRPr="00CD439F">
        <w:rPr>
          <w:rStyle w:val="kursiv"/>
        </w:rPr>
        <w:t>Period</w:t>
      </w:r>
      <w:proofErr w:type="spellEnd"/>
      <w:r w:rsidRPr="00CD439F">
        <w:rPr>
          <w:rStyle w:val="kursiv"/>
        </w:rPr>
        <w:t xml:space="preserve"> to 2030</w:t>
      </w:r>
      <w:r w:rsidRPr="00F36883">
        <w:t xml:space="preserve">, vedtatt av Den Permanente </w:t>
      </w:r>
      <w:r w:rsidRPr="00F36883">
        <w:lastRenderedPageBreak/>
        <w:t>Komite i 2021.</w:t>
      </w:r>
      <w:r w:rsidR="00CD439F" w:rsidRPr="00CD439F">
        <w:rPr>
          <w:rStyle w:val="Fotnotereferanse"/>
        </w:rPr>
        <w:footnoteReference w:id="139"/>
      </w:r>
      <w:r w:rsidRPr="00F36883">
        <w:t xml:space="preserve"> I tillegg ble en strategiplan (</w:t>
      </w:r>
      <w:r w:rsidRPr="00CD439F">
        <w:rPr>
          <w:rStyle w:val="kursiv"/>
        </w:rPr>
        <w:t xml:space="preserve">Strategic Plan for </w:t>
      </w:r>
      <w:proofErr w:type="spellStart"/>
      <w:r w:rsidRPr="00CD439F">
        <w:rPr>
          <w:rStyle w:val="kursiv"/>
        </w:rPr>
        <w:t>the</w:t>
      </w:r>
      <w:proofErr w:type="spellEnd"/>
      <w:r w:rsidRPr="00CD439F">
        <w:rPr>
          <w:rStyle w:val="kursiv"/>
        </w:rPr>
        <w:t xml:space="preserve"> Bern Convention for </w:t>
      </w:r>
      <w:proofErr w:type="spellStart"/>
      <w:r w:rsidRPr="00CD439F">
        <w:rPr>
          <w:rStyle w:val="kursiv"/>
        </w:rPr>
        <w:t>the</w:t>
      </w:r>
      <w:proofErr w:type="spellEnd"/>
      <w:r w:rsidRPr="00CD439F">
        <w:rPr>
          <w:rStyle w:val="kursiv"/>
        </w:rPr>
        <w:t xml:space="preserve"> </w:t>
      </w:r>
      <w:proofErr w:type="spellStart"/>
      <w:r w:rsidRPr="00CD439F">
        <w:rPr>
          <w:rStyle w:val="kursiv"/>
        </w:rPr>
        <w:t>period</w:t>
      </w:r>
      <w:proofErr w:type="spellEnd"/>
      <w:r w:rsidRPr="00CD439F">
        <w:rPr>
          <w:rStyle w:val="kursiv"/>
        </w:rPr>
        <w:t xml:space="preserve"> to 2030</w:t>
      </w:r>
      <w:r w:rsidRPr="00F36883">
        <w:t>) vedtatt i 2023 for perioden til 2030.</w:t>
      </w:r>
      <w:r w:rsidR="00CD439F" w:rsidRPr="00CD439F">
        <w:rPr>
          <w:rStyle w:val="Fotnotereferanse"/>
        </w:rPr>
        <w:footnoteReference w:id="140"/>
      </w:r>
      <w:r w:rsidRPr="00F36883">
        <w:t xml:space="preserve"> Planen setter opp et rammeverk for gjennomføringen av konvensjonen og inneholder </w:t>
      </w:r>
      <w:r>
        <w:t>fire</w:t>
      </w:r>
      <w:r w:rsidRPr="00F36883">
        <w:t xml:space="preserve"> hovedmålsetninger (</w:t>
      </w:r>
      <w:r w:rsidR="00CD439F">
        <w:t>«</w:t>
      </w:r>
      <w:r w:rsidRPr="00F36883">
        <w:t>goals</w:t>
      </w:r>
      <w:r w:rsidR="00CD439F">
        <w:t>»</w:t>
      </w:r>
      <w:r w:rsidRPr="00F36883">
        <w:t>) og 11 målsettinger (</w:t>
      </w:r>
      <w:r w:rsidR="00CD439F">
        <w:t>«</w:t>
      </w:r>
      <w:r w:rsidRPr="00F36883">
        <w:t>targets</w:t>
      </w:r>
      <w:r w:rsidR="00CD439F">
        <w:t>»</w:t>
      </w:r>
      <w:r w:rsidRPr="00F36883">
        <w:t>). Strategiplanen ble utviklet i samsvar med tilsvarende strategidokumenter som Kunming-Montreal Globalt Rammeverk for Biologisk Mangfold</w:t>
      </w:r>
      <w:r w:rsidR="00CD439F" w:rsidRPr="00CD439F">
        <w:rPr>
          <w:rStyle w:val="Fotnotereferanse"/>
        </w:rPr>
        <w:footnoteReference w:id="141"/>
      </w:r>
      <w:r w:rsidRPr="00F36883">
        <w:t xml:space="preserve"> (eller i Norge omtalt som </w:t>
      </w:r>
      <w:r w:rsidR="00CD439F">
        <w:t>«</w:t>
      </w:r>
      <w:r w:rsidRPr="00F36883">
        <w:t>naturavtalen</w:t>
      </w:r>
      <w:r w:rsidR="00CD439F">
        <w:t>»</w:t>
      </w:r>
      <w:r w:rsidRPr="00F36883">
        <w:t xml:space="preserve">), FNs </w:t>
      </w:r>
      <w:proofErr w:type="spellStart"/>
      <w:r>
        <w:t>b</w:t>
      </w:r>
      <w:r w:rsidRPr="00F36883">
        <w:t>ærekraftsmål</w:t>
      </w:r>
      <w:proofErr w:type="spellEnd"/>
      <w:r w:rsidR="00CD439F" w:rsidRPr="00CD439F">
        <w:rPr>
          <w:rStyle w:val="Fotnotereferanse"/>
        </w:rPr>
        <w:footnoteReference w:id="142"/>
      </w:r>
      <w:r w:rsidRPr="00F36883">
        <w:t>, og generelle tiltak for å skape synergi mellom multilaterale miljø</w:t>
      </w:r>
      <w:r>
        <w:t>konvensjoner om biologisk mangfold</w:t>
      </w:r>
      <w:r w:rsidRPr="00F36883">
        <w:t>.</w:t>
      </w:r>
    </w:p>
    <w:p w14:paraId="587AD3D0" w14:textId="79E9E8A7" w:rsidR="009E6E01" w:rsidRPr="00693A45" w:rsidRDefault="009E6E01" w:rsidP="009E6E01">
      <w:pPr>
        <w:rPr>
          <w:lang w:val="en-US"/>
        </w:rPr>
      </w:pPr>
      <w:proofErr w:type="spellStart"/>
      <w:r w:rsidRPr="00693A45">
        <w:rPr>
          <w:lang w:val="en-US"/>
        </w:rPr>
        <w:t>Særlig</w:t>
      </w:r>
      <w:proofErr w:type="spellEnd"/>
      <w:r w:rsidRPr="00693A45">
        <w:rPr>
          <w:lang w:val="en-US"/>
        </w:rPr>
        <w:t xml:space="preserve"> er </w:t>
      </w:r>
      <w:proofErr w:type="spellStart"/>
      <w:r w:rsidRPr="00693A45">
        <w:rPr>
          <w:lang w:val="en-US"/>
        </w:rPr>
        <w:t>mål</w:t>
      </w:r>
      <w:proofErr w:type="spellEnd"/>
      <w:r w:rsidRPr="00693A45">
        <w:rPr>
          <w:lang w:val="en-US"/>
        </w:rPr>
        <w:t xml:space="preserve"> 2 relevant for </w:t>
      </w:r>
      <w:proofErr w:type="spellStart"/>
      <w:r w:rsidRPr="00693A45">
        <w:rPr>
          <w:lang w:val="en-US"/>
        </w:rPr>
        <w:t>forvaltning</w:t>
      </w:r>
      <w:proofErr w:type="spellEnd"/>
      <w:r w:rsidRPr="00693A45">
        <w:rPr>
          <w:lang w:val="en-US"/>
        </w:rPr>
        <w:t xml:space="preserve"> av </w:t>
      </w:r>
      <w:proofErr w:type="spellStart"/>
      <w:r w:rsidRPr="00693A45">
        <w:rPr>
          <w:lang w:val="en-US"/>
        </w:rPr>
        <w:t>rovdyr</w:t>
      </w:r>
      <w:proofErr w:type="spellEnd"/>
      <w:r w:rsidRPr="00693A45">
        <w:rPr>
          <w:lang w:val="en-US"/>
        </w:rPr>
        <w:t>:</w:t>
      </w:r>
    </w:p>
    <w:p w14:paraId="60CD031F" w14:textId="4E77CBA7" w:rsidR="00303661" w:rsidRPr="00CD439F" w:rsidRDefault="00CD439F" w:rsidP="00393223">
      <w:pPr>
        <w:pStyle w:val="blokksit"/>
        <w:ind w:left="757"/>
        <w:rPr>
          <w:lang w:val="en-US"/>
        </w:rPr>
      </w:pPr>
      <w:r>
        <w:rPr>
          <w:lang w:val="en-US"/>
        </w:rPr>
        <w:t>«</w:t>
      </w:r>
      <w:r w:rsidR="009E6E01" w:rsidRPr="00CD439F">
        <w:rPr>
          <w:lang w:val="en-US"/>
        </w:rPr>
        <w:t>The conservation status of threatened species is improved, abundance of native species has increased, and human induced extinctions have been halted.</w:t>
      </w:r>
    </w:p>
    <w:p w14:paraId="26A744C0" w14:textId="77777777" w:rsidR="00303661" w:rsidRPr="00CD439F" w:rsidRDefault="009E6E01" w:rsidP="00393223">
      <w:pPr>
        <w:pStyle w:val="blokksit"/>
        <w:ind w:left="757"/>
        <w:rPr>
          <w:lang w:val="en-US"/>
        </w:rPr>
      </w:pPr>
      <w:r w:rsidRPr="00CD439F">
        <w:rPr>
          <w:lang w:val="en-US"/>
        </w:rPr>
        <w:t>Target 2.1: The species listed in the Appendices to the Bern Convention and in Appendix 1 to Resolution No. 6 (1998) are at or are recovering towards a satisfactory conservation status.</w:t>
      </w:r>
    </w:p>
    <w:p w14:paraId="337C27F8" w14:textId="175B238F" w:rsidR="009E6E01" w:rsidRPr="00CD439F" w:rsidRDefault="009E6E01" w:rsidP="00393223">
      <w:pPr>
        <w:pStyle w:val="blokksit"/>
        <w:ind w:left="757"/>
        <w:rPr>
          <w:lang w:val="en-US"/>
        </w:rPr>
      </w:pPr>
      <w:r w:rsidRPr="00CD439F">
        <w:rPr>
          <w:lang w:val="en-US"/>
        </w:rPr>
        <w:t>Target 2.2: Anthropogenic causes of actual or potential negative effects on the conservation status of species of wild flora and fauna are reduced as far as possible to levels that are not detrimental to the conservation and recovery of those species, through targeted measures enacted in legislation, policy and/or management.</w:t>
      </w:r>
      <w:r w:rsidR="00CD439F">
        <w:rPr>
          <w:lang w:val="en-US"/>
        </w:rPr>
        <w:t>»</w:t>
      </w:r>
    </w:p>
    <w:p w14:paraId="3850A5F2" w14:textId="77777777" w:rsidR="00303661" w:rsidRDefault="009E6E01" w:rsidP="009E6E01">
      <w:r w:rsidRPr="00693A45">
        <w:rPr>
          <w:lang w:val="en-US"/>
        </w:rPr>
        <w:t xml:space="preserve">Det </w:t>
      </w:r>
      <w:proofErr w:type="spellStart"/>
      <w:r w:rsidRPr="00693A45">
        <w:rPr>
          <w:lang w:val="en-US"/>
        </w:rPr>
        <w:t>fastsettes</w:t>
      </w:r>
      <w:proofErr w:type="spellEnd"/>
      <w:r w:rsidRPr="00693A45">
        <w:rPr>
          <w:lang w:val="en-US"/>
        </w:rPr>
        <w:t xml:space="preserve"> </w:t>
      </w:r>
      <w:proofErr w:type="spellStart"/>
      <w:r w:rsidRPr="00693A45">
        <w:rPr>
          <w:lang w:val="en-US"/>
        </w:rPr>
        <w:t>i</w:t>
      </w:r>
      <w:proofErr w:type="spellEnd"/>
      <w:r w:rsidRPr="00693A45">
        <w:rPr>
          <w:lang w:val="en-US"/>
        </w:rPr>
        <w:t xml:space="preserve"> </w:t>
      </w:r>
      <w:proofErr w:type="spellStart"/>
      <w:r w:rsidRPr="00693A45">
        <w:rPr>
          <w:lang w:val="en-US"/>
        </w:rPr>
        <w:t>konvensjonens</w:t>
      </w:r>
      <w:proofErr w:type="spellEnd"/>
      <w:r w:rsidRPr="00693A45">
        <w:rPr>
          <w:lang w:val="en-US"/>
        </w:rPr>
        <w:t xml:space="preserve"> </w:t>
      </w:r>
      <w:proofErr w:type="spellStart"/>
      <w:r w:rsidRPr="00693A45">
        <w:rPr>
          <w:lang w:val="en-US"/>
        </w:rPr>
        <w:t>artikkel</w:t>
      </w:r>
      <w:proofErr w:type="spellEnd"/>
      <w:r w:rsidRPr="00693A45">
        <w:rPr>
          <w:lang w:val="en-US"/>
        </w:rPr>
        <w:t xml:space="preserve"> 13 </w:t>
      </w:r>
      <w:proofErr w:type="spellStart"/>
      <w:r w:rsidRPr="00693A45">
        <w:rPr>
          <w:lang w:val="en-US"/>
        </w:rPr>
        <w:t>punkt</w:t>
      </w:r>
      <w:proofErr w:type="spellEnd"/>
      <w:r w:rsidRPr="00693A45">
        <w:rPr>
          <w:lang w:val="en-US"/>
        </w:rPr>
        <w:t xml:space="preserve"> 4 at Den Permanente </w:t>
      </w:r>
      <w:proofErr w:type="spellStart"/>
      <w:r w:rsidRPr="00693A45">
        <w:rPr>
          <w:lang w:val="en-US"/>
        </w:rPr>
        <w:t>Komite</w:t>
      </w:r>
      <w:proofErr w:type="spellEnd"/>
      <w:r w:rsidRPr="00693A45">
        <w:rPr>
          <w:lang w:val="en-US"/>
        </w:rPr>
        <w:t xml:space="preserve"> </w:t>
      </w:r>
      <w:proofErr w:type="spellStart"/>
      <w:r w:rsidRPr="00693A45">
        <w:rPr>
          <w:lang w:val="en-US"/>
        </w:rPr>
        <w:t>skal</w:t>
      </w:r>
      <w:proofErr w:type="spellEnd"/>
      <w:r w:rsidRPr="00693A45">
        <w:rPr>
          <w:lang w:val="en-US"/>
        </w:rPr>
        <w:t xml:space="preserve"> </w:t>
      </w:r>
      <w:proofErr w:type="spellStart"/>
      <w:r w:rsidRPr="00693A45">
        <w:rPr>
          <w:lang w:val="en-US"/>
        </w:rPr>
        <w:t>innkalles</w:t>
      </w:r>
      <w:proofErr w:type="spellEnd"/>
      <w:r w:rsidRPr="00693A45">
        <w:rPr>
          <w:lang w:val="en-US"/>
        </w:rPr>
        <w:t xml:space="preserve"> av </w:t>
      </w:r>
      <w:proofErr w:type="spellStart"/>
      <w:r w:rsidRPr="00693A45">
        <w:rPr>
          <w:lang w:val="en-US"/>
        </w:rPr>
        <w:t>generalsekretæren</w:t>
      </w:r>
      <w:proofErr w:type="spellEnd"/>
      <w:r w:rsidRPr="00693A45">
        <w:rPr>
          <w:lang w:val="en-US"/>
        </w:rPr>
        <w:t xml:space="preserve"> </w:t>
      </w:r>
      <w:proofErr w:type="spellStart"/>
      <w:r w:rsidRPr="00693A45">
        <w:rPr>
          <w:lang w:val="en-US"/>
        </w:rPr>
        <w:t>i</w:t>
      </w:r>
      <w:proofErr w:type="spellEnd"/>
      <w:r w:rsidRPr="00693A45">
        <w:rPr>
          <w:lang w:val="en-US"/>
        </w:rPr>
        <w:t xml:space="preserve"> </w:t>
      </w:r>
      <w:proofErr w:type="spellStart"/>
      <w:r w:rsidRPr="00693A45">
        <w:rPr>
          <w:lang w:val="en-US"/>
        </w:rPr>
        <w:t>Europarådet</w:t>
      </w:r>
      <w:proofErr w:type="spellEnd"/>
      <w:r w:rsidRPr="00693A45">
        <w:rPr>
          <w:lang w:val="en-US"/>
        </w:rPr>
        <w:t xml:space="preserve">. Dette </w:t>
      </w:r>
      <w:proofErr w:type="spellStart"/>
      <w:r w:rsidRPr="00693A45">
        <w:rPr>
          <w:lang w:val="en-US"/>
        </w:rPr>
        <w:t>innebærer</w:t>
      </w:r>
      <w:proofErr w:type="spellEnd"/>
      <w:r w:rsidRPr="00693A45">
        <w:rPr>
          <w:lang w:val="en-US"/>
        </w:rPr>
        <w:t xml:space="preserve"> at </w:t>
      </w:r>
      <w:proofErr w:type="spellStart"/>
      <w:r w:rsidRPr="00693A45">
        <w:rPr>
          <w:lang w:val="en-US"/>
        </w:rPr>
        <w:t>Europarådet</w:t>
      </w:r>
      <w:proofErr w:type="spellEnd"/>
      <w:r w:rsidRPr="00693A45">
        <w:rPr>
          <w:lang w:val="en-US"/>
        </w:rPr>
        <w:t xml:space="preserve"> </w:t>
      </w:r>
      <w:proofErr w:type="spellStart"/>
      <w:r w:rsidRPr="00693A45">
        <w:rPr>
          <w:lang w:val="en-US"/>
        </w:rPr>
        <w:t>fungerer</w:t>
      </w:r>
      <w:proofErr w:type="spellEnd"/>
      <w:r w:rsidRPr="00693A45">
        <w:rPr>
          <w:lang w:val="en-US"/>
        </w:rPr>
        <w:t xml:space="preserve"> </w:t>
      </w:r>
      <w:proofErr w:type="spellStart"/>
      <w:r w:rsidRPr="00693A45">
        <w:rPr>
          <w:lang w:val="en-US"/>
        </w:rPr>
        <w:t>som</w:t>
      </w:r>
      <w:proofErr w:type="spellEnd"/>
      <w:r w:rsidRPr="00693A45">
        <w:rPr>
          <w:lang w:val="en-US"/>
        </w:rPr>
        <w:t xml:space="preserve"> </w:t>
      </w:r>
      <w:proofErr w:type="spellStart"/>
      <w:r w:rsidRPr="00693A45">
        <w:rPr>
          <w:lang w:val="en-US"/>
        </w:rPr>
        <w:t>sekretariat</w:t>
      </w:r>
      <w:proofErr w:type="spellEnd"/>
      <w:r w:rsidRPr="00693A45">
        <w:rPr>
          <w:lang w:val="en-US"/>
        </w:rPr>
        <w:t xml:space="preserve"> for </w:t>
      </w:r>
      <w:proofErr w:type="spellStart"/>
      <w:r w:rsidRPr="00693A45">
        <w:rPr>
          <w:lang w:val="en-US"/>
        </w:rPr>
        <w:t>Komiteen</w:t>
      </w:r>
      <w:proofErr w:type="spellEnd"/>
      <w:r w:rsidRPr="00693A45">
        <w:rPr>
          <w:lang w:val="en-US"/>
        </w:rPr>
        <w:t xml:space="preserve">. </w:t>
      </w:r>
      <w:r w:rsidRPr="00F36883">
        <w:t xml:space="preserve">Det framgår ikke uttrykkelig av konvensjonen hvilke oppgaver sekretariatet har i denne forbindelse. Sekretariatet har bl.a. gitt uttalelser om tolkning av konvensjonen. Det er grunn til å legge vekt på slike uttalelser både i kraft av </w:t>
      </w:r>
      <w:r w:rsidRPr="00F36883">
        <w:lastRenderedPageBreak/>
        <w:t>sekretariatet som et organ for Komiteen og ved dets sakkyndighet. Men slike uttalelser bør ikke tillegges samme vekt som anbefalinger fra Komiteen.</w:t>
      </w:r>
    </w:p>
    <w:p w14:paraId="746FEAEB" w14:textId="7A054C65" w:rsidR="009E6E01" w:rsidRDefault="009E6E01" w:rsidP="009E6E01">
      <w:r w:rsidRPr="02645A7F">
        <w:t xml:space="preserve">Artikkel 18 fastsetter at Den Permanente Komite skal gjøre sitt beste for </w:t>
      </w:r>
      <w:r>
        <w:t>å</w:t>
      </w:r>
      <w:r w:rsidRPr="02645A7F">
        <w:t xml:space="preserve"> finne fram til en minnelig ordning på tvister, men det åpnes for bindende tvisteløsning ved internasjonal voldgift gjennom saksanlegg fra en part. Bernkonvensjonen er en av de få miljøkonvensjoner som aksepterer bindende tvisteløsning gjennom ensidig saksanlegg.</w:t>
      </w:r>
    </w:p>
    <w:p w14:paraId="1ECCAF2A" w14:textId="63935E93" w:rsidR="009E6E01" w:rsidRDefault="009E6E01" w:rsidP="009E6E01">
      <w:r w:rsidRPr="1755F46F">
        <w:t xml:space="preserve">Bernkonvensjonen har videre et </w:t>
      </w:r>
      <w:r w:rsidRPr="1755F46F">
        <w:rPr>
          <w:rFonts w:cs="Times New Roman"/>
        </w:rPr>
        <w:t xml:space="preserve">unikt overvåkingsverktøy basert på klager om mulige brudd på konvensjonen. I </w:t>
      </w:r>
      <w:r w:rsidR="00CD439F">
        <w:rPr>
          <w:rFonts w:cs="Times New Roman"/>
        </w:rPr>
        <w:t>«</w:t>
      </w:r>
      <w:r w:rsidRPr="1755F46F">
        <w:rPr>
          <w:rFonts w:cs="Times New Roman"/>
        </w:rPr>
        <w:t>case-file-systemet</w:t>
      </w:r>
      <w:r w:rsidR="00CD439F">
        <w:rPr>
          <w:rFonts w:cs="Times New Roman"/>
        </w:rPr>
        <w:t>»</w:t>
      </w:r>
      <w:r w:rsidRPr="1755F46F">
        <w:rPr>
          <w:rFonts w:cs="Times New Roman"/>
        </w:rPr>
        <w:t xml:space="preserve"> (eller saksmappeordningen), som ble opprettet i 1984, kan klager fremmes av frivillige organisasjoner eller privatpersoner. Klager som mottas på denne måten, behandles av sekretariatet, byrået og – når saken er særlig relevant – også av Den Permanente Komité, på grunnlag av sakens betydning og den innsendte informasjonen. Når Komiteen eller dens byrå anser at det er behov for ytterligere informasjon, kan de legge til rette for stedlige besøk av uavhengige eksperter, som rapporterer til Den Permanente Komité.</w:t>
      </w:r>
    </w:p>
    <w:p w14:paraId="1E7281D4" w14:textId="0851FEE5" w:rsidR="00303661" w:rsidRDefault="009E6E01" w:rsidP="009E6E01">
      <w:pPr>
        <w:rPr>
          <w:rFonts w:cs="Times New Roman"/>
        </w:rPr>
      </w:pPr>
      <w:r w:rsidRPr="02645A7F">
        <w:rPr>
          <w:rFonts w:cs="Times New Roman"/>
        </w:rPr>
        <w:t>Saksmappeordningen er uvanlig ved at den ikke er basert på noen bestemmelser i selve konvensjonen, men springer ut av beslutninger fattet av Komi</w:t>
      </w:r>
      <w:r>
        <w:rPr>
          <w:rFonts w:cs="Times New Roman"/>
        </w:rPr>
        <w:t>teen</w:t>
      </w:r>
      <w:r w:rsidRPr="02645A7F">
        <w:rPr>
          <w:rFonts w:cs="Times New Roman"/>
        </w:rPr>
        <w:t xml:space="preserve"> selv.</w:t>
      </w:r>
      <w:r w:rsidR="00CD439F" w:rsidRPr="00CD439F">
        <w:rPr>
          <w:rStyle w:val="Fotnotereferanse"/>
        </w:rPr>
        <w:footnoteReference w:id="143"/>
      </w:r>
      <w:r w:rsidRPr="02645A7F">
        <w:rPr>
          <w:rFonts w:cs="Times New Roman"/>
        </w:rPr>
        <w:t xml:space="preserve"> Den har vist seg å være et generelt vellykket problemløsningsinstrument. Suksessen til saksmappeordningen springer ut av det faktum at </w:t>
      </w:r>
      <w:r>
        <w:rPr>
          <w:rFonts w:cs="Times New Roman"/>
        </w:rPr>
        <w:t>K</w:t>
      </w:r>
      <w:r w:rsidRPr="02645A7F">
        <w:rPr>
          <w:rFonts w:cs="Times New Roman"/>
        </w:rPr>
        <w:t>omit</w:t>
      </w:r>
      <w:r>
        <w:rPr>
          <w:rFonts w:cs="Times New Roman"/>
        </w:rPr>
        <w:t>een</w:t>
      </w:r>
      <w:r w:rsidRPr="02645A7F">
        <w:rPr>
          <w:rFonts w:cs="Times New Roman"/>
        </w:rPr>
        <w:t xml:space="preserve"> </w:t>
      </w:r>
      <w:r>
        <w:rPr>
          <w:rFonts w:cs="Times New Roman"/>
        </w:rPr>
        <w:t>kan</w:t>
      </w:r>
      <w:r w:rsidRPr="02645A7F">
        <w:rPr>
          <w:rFonts w:cs="Times New Roman"/>
        </w:rPr>
        <w:t xml:space="preserve"> beslutte løsningen i hver enkelt sak </w:t>
      </w:r>
      <w:r>
        <w:rPr>
          <w:rFonts w:cs="Times New Roman"/>
        </w:rPr>
        <w:t>på en smidig måte</w:t>
      </w:r>
      <w:r w:rsidRPr="02645A7F">
        <w:rPr>
          <w:rFonts w:cs="Times New Roman"/>
        </w:rPr>
        <w:t xml:space="preserve">. Dette er et klart uttrykk for forpliktelsen som er nedfelt i artikkel 18 nr. 1: </w:t>
      </w:r>
      <w:r w:rsidR="00CD439F">
        <w:rPr>
          <w:rFonts w:cs="Times New Roman"/>
        </w:rPr>
        <w:t>«</w:t>
      </w:r>
      <w:r>
        <w:rPr>
          <w:rFonts w:cs="Times New Roman"/>
        </w:rPr>
        <w:t>Den S</w:t>
      </w:r>
      <w:r w:rsidRPr="02645A7F">
        <w:rPr>
          <w:rFonts w:cs="Times New Roman"/>
        </w:rPr>
        <w:t xml:space="preserve">tående </w:t>
      </w:r>
      <w:r>
        <w:rPr>
          <w:rFonts w:cs="Times New Roman"/>
        </w:rPr>
        <w:t>K</w:t>
      </w:r>
      <w:r w:rsidRPr="02645A7F">
        <w:rPr>
          <w:rFonts w:cs="Times New Roman"/>
        </w:rPr>
        <w:t>omité skal gjøre sitt ytterste for å legge til rette for en minnelig løsning av enhver vanskelighet som gjennomføringen av denne konvensjonen måtte gi opphav til</w:t>
      </w:r>
      <w:r w:rsidR="00CD439F">
        <w:rPr>
          <w:rFonts w:cs="Times New Roman"/>
        </w:rPr>
        <w:t>»</w:t>
      </w:r>
      <w:r w:rsidRPr="02645A7F">
        <w:rPr>
          <w:rFonts w:cs="Times New Roman"/>
        </w:rPr>
        <w:t>.</w:t>
      </w:r>
    </w:p>
    <w:p w14:paraId="3AF775B2" w14:textId="032E59F3" w:rsidR="009E6E01" w:rsidRDefault="009E6E01" w:rsidP="009E6E01">
      <w:r w:rsidRPr="02645A7F">
        <w:t xml:space="preserve">Den </w:t>
      </w:r>
      <w:r>
        <w:t>P</w:t>
      </w:r>
      <w:r w:rsidRPr="02645A7F">
        <w:t xml:space="preserve">ermanente Komiteens rolle i saksmappe- (klage-)systemet er </w:t>
      </w:r>
      <w:r w:rsidRPr="00A608E9">
        <w:t xml:space="preserve">derfor av tilretteleggende og politisk karakter, snarere enn rettslig. Uttalelsene er </w:t>
      </w:r>
      <w:r>
        <w:t>derfor</w:t>
      </w:r>
      <w:r w:rsidRPr="00A608E9">
        <w:t xml:space="preserve"> ikke rettslig bindende for</w:t>
      </w:r>
      <w:r w:rsidRPr="47A0B628">
        <w:t xml:space="preserve"> </w:t>
      </w:r>
      <w:r w:rsidRPr="00A608E9">
        <w:t>partene.</w:t>
      </w:r>
      <w:r w:rsidRPr="02645A7F">
        <w:t xml:space="preserve"> Systemets effektivitet bygger på samarbeid i god tro, gjensidig </w:t>
      </w:r>
      <w:r w:rsidRPr="47A0B628">
        <w:t>påvirkning</w:t>
      </w:r>
      <w:r w:rsidRPr="02645A7F">
        <w:t xml:space="preserve"> mellom partene, og</w:t>
      </w:r>
      <w:r>
        <w:t xml:space="preserve"> </w:t>
      </w:r>
      <w:r w:rsidRPr="02645A7F">
        <w:t xml:space="preserve">forpliktelsen uttrykt i konvensjonens artikkel 18 nr. 1 om å søke minnelige løsninger. Selv om </w:t>
      </w:r>
      <w:r>
        <w:t>K</w:t>
      </w:r>
      <w:r w:rsidRPr="02645A7F">
        <w:t>omit</w:t>
      </w:r>
      <w:r>
        <w:t>e</w:t>
      </w:r>
      <w:r w:rsidRPr="02645A7F">
        <w:t xml:space="preserve">ens anbefalinger har betydelig politisk og moralsk tyngde, og ofte gjennomføres i praksis, har de ikke rettskraft og kan </w:t>
      </w:r>
      <w:r w:rsidRPr="02645A7F">
        <w:lastRenderedPageBreak/>
        <w:t>ikke tvinge frem etterlevelse på samme måte som en domstolsavgjørelse.</w:t>
      </w:r>
      <w:r>
        <w:t xml:space="preserve"> Men </w:t>
      </w:r>
      <w:r w:rsidRPr="47A0B628">
        <w:rPr>
          <w:color w:val="000000" w:themeColor="text1"/>
        </w:rPr>
        <w:t>på tross av at</w:t>
      </w:r>
      <w:r w:rsidRPr="02645A7F">
        <w:rPr>
          <w:color w:val="000000" w:themeColor="text1"/>
        </w:rPr>
        <w:t xml:space="preserve"> </w:t>
      </w:r>
      <w:r>
        <w:rPr>
          <w:color w:val="000000" w:themeColor="text1"/>
        </w:rPr>
        <w:t>K</w:t>
      </w:r>
      <w:r w:rsidRPr="02645A7F">
        <w:rPr>
          <w:color w:val="000000" w:themeColor="text1"/>
        </w:rPr>
        <w:t xml:space="preserve">omiteens vedtak, anbefalinger og resolusjoner ikke er formelt rettslig bindende, bør </w:t>
      </w:r>
      <w:r>
        <w:rPr>
          <w:color w:val="000000" w:themeColor="text1"/>
        </w:rPr>
        <w:t xml:space="preserve">dens </w:t>
      </w:r>
      <w:r w:rsidRPr="02645A7F">
        <w:rPr>
          <w:color w:val="000000" w:themeColor="text1"/>
        </w:rPr>
        <w:t>vedtak og anbefalinger tillegges betydelig vekt i fortolkningen av konvensjonen.</w:t>
      </w:r>
      <w:r>
        <w:rPr>
          <w:color w:val="000000" w:themeColor="text1"/>
        </w:rPr>
        <w:t xml:space="preserve"> </w:t>
      </w:r>
      <w:r w:rsidRPr="02645A7F">
        <w:t>Det er for tiden en åpen sak mot Norge</w:t>
      </w:r>
      <w:r>
        <w:t xml:space="preserve"> om felling av ulv</w:t>
      </w:r>
      <w:r w:rsidRPr="02645A7F">
        <w:t>, som ble anlagt i 2022.</w:t>
      </w:r>
      <w:r w:rsidR="00CD439F" w:rsidRPr="00CD439F">
        <w:rPr>
          <w:rStyle w:val="Fotnotereferanse"/>
        </w:rPr>
        <w:footnoteReference w:id="144"/>
      </w:r>
      <w:r>
        <w:t xml:space="preserve"> Vi kommer tilbake til denne saken i pkt. 4.2.7.</w:t>
      </w:r>
    </w:p>
    <w:p w14:paraId="1012C0A6" w14:textId="06A2EDE0" w:rsidR="009E6E01" w:rsidRDefault="009E6E01" w:rsidP="009E6E01">
      <w:pPr>
        <w:pStyle w:val="Overskrift3"/>
      </w:pPr>
      <w:bookmarkStart w:id="42" w:name="_Toc223433105"/>
      <w:r>
        <w:t>Nærmere om forpliktelsen til å bevare og bygge opp bestandene</w:t>
      </w:r>
      <w:bookmarkEnd w:id="42"/>
    </w:p>
    <w:p w14:paraId="0AA6A829" w14:textId="77777777" w:rsidR="009E6E01" w:rsidRDefault="009E6E01" w:rsidP="009E6E01">
      <w:r w:rsidRPr="00F36883">
        <w:t>Artikkel 2 er en grunnleggende og overordnet bestemmelse i konvensjonen:</w:t>
      </w:r>
    </w:p>
    <w:p w14:paraId="27A3BD80" w14:textId="632E5780" w:rsidR="009E6E01" w:rsidRPr="00CD439F" w:rsidRDefault="00CD439F" w:rsidP="00393223">
      <w:pPr>
        <w:pStyle w:val="blokksit"/>
        <w:ind w:left="757"/>
      </w:pPr>
      <w:r>
        <w:t>«</w:t>
      </w:r>
      <w:r w:rsidR="009E6E01" w:rsidRPr="00CD439F">
        <w:t xml:space="preserve">Partene skal treffe nødvendige tiltak for å opprettholde bestanden av ville planter og dyr på, eller tilpasse den til, et nivå som særlig samsvarer med økologiske, vitenskapelige og kulturelle krav, samtidig som det tas hensyn til økonomiske og </w:t>
      </w:r>
      <w:proofErr w:type="spellStart"/>
      <w:r w:rsidR="009E6E01" w:rsidRPr="00CD439F">
        <w:t>rekreasjonsmessige</w:t>
      </w:r>
      <w:proofErr w:type="spellEnd"/>
      <w:r w:rsidR="009E6E01" w:rsidRPr="00CD439F">
        <w:t xml:space="preserve"> behov og behovene til underarter, varieteter eller former som er lokalt truet.</w:t>
      </w:r>
      <w:r>
        <w:t>»</w:t>
      </w:r>
    </w:p>
    <w:p w14:paraId="458EC52F" w14:textId="77777777" w:rsidR="00303661" w:rsidRDefault="009E6E01" w:rsidP="009E6E01">
      <w:r w:rsidRPr="02645A7F">
        <w:t>Ifølge art</w:t>
      </w:r>
      <w:r>
        <w:t>ikkel</w:t>
      </w:r>
      <w:r w:rsidRPr="02645A7F">
        <w:t xml:space="preserve"> 2 har Norge en generell, positiv plikt til å holde bestanden</w:t>
      </w:r>
      <w:r>
        <w:t>e av</w:t>
      </w:r>
      <w:r w:rsidRPr="02645A7F">
        <w:t xml:space="preserve"> ville planter og dyr på et nivå som samsvarer med økologiske, vitenskapelige og kulturelle krav, mens det også skal tas hensyn til økonomiske og </w:t>
      </w:r>
      <w:proofErr w:type="spellStart"/>
      <w:r w:rsidRPr="02645A7F">
        <w:t>rekreasjonsmessige</w:t>
      </w:r>
      <w:proofErr w:type="spellEnd"/>
      <w:r w:rsidRPr="02645A7F">
        <w:t xml:space="preserve"> krav og behovene til underarter, og varianter og typer som lokalt er utsatt for risiko. Dette omfatter i utgangspunktet gaupe, jerv, ulv, bjørn og kongeørn. Det er viktig å fremheve forrangen til de økologiske, vitenskapelige og kulturelle krav overfor andre, særlig økonomiske, krav og behov.</w:t>
      </w:r>
    </w:p>
    <w:p w14:paraId="7CAAF927" w14:textId="73B8D947" w:rsidR="009E6E01" w:rsidRDefault="00CD439F" w:rsidP="009E6E01">
      <w:r>
        <w:t>«</w:t>
      </w:r>
      <w:r w:rsidR="009E6E01" w:rsidRPr="02645A7F">
        <w:t>Kulturelle krav</w:t>
      </w:r>
      <w:r>
        <w:t>»</w:t>
      </w:r>
      <w:r w:rsidR="009E6E01" w:rsidRPr="02645A7F">
        <w:t xml:space="preserve"> kan</w:t>
      </w:r>
      <w:r w:rsidR="009E6E01">
        <w:t>, som nevnt ovenfor,</w:t>
      </w:r>
      <w:r w:rsidR="009E6E01" w:rsidRPr="02645A7F">
        <w:t xml:space="preserve"> være urfolks, for eksempel samisk, bruk av natur, historiske verdier, kulturelt eller tradisjonelt syn på ville dyr eller planter. For urfolk kan ville dyr og planter være viktige for videreføringen av tradisjoner og levesett. For enkelte urfolk er rovdyr hellige eller viktige i tradisjoner og kultur.</w:t>
      </w:r>
      <w:r w:rsidR="009E6E01">
        <w:t xml:space="preserve"> I samisk sammenheng viser Ole Henrik Magga og Mikkel Nils Sara til at i den tradisjonelle veidekulturen var alt vilt hellig. Visse seremonier og strenge regler hadde dels til hensikt at bestandene skulle bevares og dels at hvert enkelt dyr skulle respekteres. I reindriften </w:t>
      </w:r>
      <w:r w:rsidR="009E6E01">
        <w:lastRenderedPageBreak/>
        <w:t xml:space="preserve">betraktes selv ikke rovdyr som jakter på rein som </w:t>
      </w:r>
      <w:r>
        <w:t>«</w:t>
      </w:r>
      <w:r w:rsidR="009E6E01">
        <w:t>skadedyr</w:t>
      </w:r>
      <w:r>
        <w:t>»</w:t>
      </w:r>
      <w:r w:rsidR="009E6E01">
        <w:t>. De har sin rettmessige plass, uavhengig av nytten de måtte ha for menneskene.</w:t>
      </w:r>
      <w:r w:rsidRPr="00CD439F">
        <w:rPr>
          <w:rStyle w:val="Fotnotereferanse"/>
        </w:rPr>
        <w:footnoteReference w:id="145"/>
      </w:r>
    </w:p>
    <w:p w14:paraId="3DCB7297" w14:textId="7C061CBF" w:rsidR="009E6E01" w:rsidRDefault="009E6E01" w:rsidP="009E6E01">
      <w:r>
        <w:rPr>
          <w:rFonts w:cs="Times New Roman"/>
          <w:color w:val="000000" w:themeColor="text1"/>
        </w:rPr>
        <w:t>De k</w:t>
      </w:r>
      <w:r w:rsidRPr="02645A7F">
        <w:rPr>
          <w:rFonts w:cs="Times New Roman"/>
          <w:color w:val="000000" w:themeColor="text1"/>
        </w:rPr>
        <w:t>ulturelle krav</w:t>
      </w:r>
      <w:r>
        <w:rPr>
          <w:rFonts w:cs="Times New Roman"/>
          <w:color w:val="000000" w:themeColor="text1"/>
        </w:rPr>
        <w:t>ene i</w:t>
      </w:r>
      <w:r w:rsidRPr="02645A7F">
        <w:rPr>
          <w:rFonts w:cs="Times New Roman"/>
          <w:color w:val="000000" w:themeColor="text1"/>
        </w:rPr>
        <w:t xml:space="preserve"> artikkel 2 inkluderer imidlertid ikke krav som er knyttet til å holde bestanden lav for å beskytte samisk tamreindrift. Det følger av Bernkonvensjonens overordnede formål</w:t>
      </w:r>
      <w:r>
        <w:rPr>
          <w:rFonts w:cs="Times New Roman"/>
          <w:color w:val="000000" w:themeColor="text1"/>
        </w:rPr>
        <w:t>,</w:t>
      </w:r>
      <w:r w:rsidRPr="02645A7F">
        <w:rPr>
          <w:rFonts w:cs="Times New Roman"/>
          <w:color w:val="000000" w:themeColor="text1"/>
        </w:rPr>
        <w:t xml:space="preserve"> som er bevaring av ville arter og deres leveområder. </w:t>
      </w:r>
      <w:r w:rsidRPr="007C12D3">
        <w:rPr>
          <w:rFonts w:cs="Times New Roman"/>
          <w:color w:val="000000" w:themeColor="text1"/>
        </w:rPr>
        <w:t xml:space="preserve">Dette innebærer at artikkel 2 ikke kan tolkes slik at den svekker hovedformålet, og at </w:t>
      </w:r>
      <w:r w:rsidR="00CD439F">
        <w:rPr>
          <w:rFonts w:cs="Times New Roman"/>
          <w:color w:val="000000" w:themeColor="text1"/>
        </w:rPr>
        <w:t>«</w:t>
      </w:r>
      <w:r w:rsidRPr="007C12D3">
        <w:rPr>
          <w:rFonts w:cs="Times New Roman"/>
          <w:color w:val="000000" w:themeColor="text1"/>
        </w:rPr>
        <w:t>kulturelle krav</w:t>
      </w:r>
      <w:r w:rsidR="00CD439F">
        <w:rPr>
          <w:rFonts w:cs="Times New Roman"/>
          <w:color w:val="000000" w:themeColor="text1"/>
        </w:rPr>
        <w:t>»</w:t>
      </w:r>
      <w:r w:rsidRPr="007C12D3">
        <w:rPr>
          <w:rFonts w:cs="Times New Roman"/>
          <w:color w:val="000000" w:themeColor="text1"/>
        </w:rPr>
        <w:t xml:space="preserve"> ikke kan overstyre kravet om levedyktige bestander.</w:t>
      </w:r>
      <w:r w:rsidRPr="02645A7F">
        <w:rPr>
          <w:rFonts w:cs="Times New Roman"/>
          <w:color w:val="000000" w:themeColor="text1"/>
        </w:rPr>
        <w:t xml:space="preserve"> Denne forståelsen støttes av konvensjonens system (strengt vern i art</w:t>
      </w:r>
      <w:r>
        <w:rPr>
          <w:rFonts w:cs="Times New Roman"/>
          <w:color w:val="000000" w:themeColor="text1"/>
        </w:rPr>
        <w:t>iklene</w:t>
      </w:r>
      <w:r w:rsidRPr="02645A7F">
        <w:rPr>
          <w:rFonts w:cs="Times New Roman"/>
          <w:color w:val="000000" w:themeColor="text1"/>
        </w:rPr>
        <w:t xml:space="preserve"> 6–8), den snevre unntaksadgangen i art</w:t>
      </w:r>
      <w:r>
        <w:rPr>
          <w:rFonts w:cs="Times New Roman"/>
          <w:color w:val="000000" w:themeColor="text1"/>
        </w:rPr>
        <w:t>ikkel</w:t>
      </w:r>
      <w:r w:rsidRPr="02645A7F">
        <w:rPr>
          <w:rFonts w:cs="Times New Roman"/>
          <w:color w:val="000000" w:themeColor="text1"/>
        </w:rPr>
        <w:t xml:space="preserve"> 9, og praksis</w:t>
      </w:r>
      <w:r>
        <w:rPr>
          <w:rFonts w:cs="Times New Roman"/>
          <w:color w:val="000000" w:themeColor="text1"/>
        </w:rPr>
        <w:t>en</w:t>
      </w:r>
      <w:r w:rsidRPr="02645A7F">
        <w:rPr>
          <w:rFonts w:cs="Times New Roman"/>
          <w:color w:val="000000" w:themeColor="text1"/>
        </w:rPr>
        <w:t xml:space="preserve"> fra Den permanente komiteen. Komiteen har presisert at kulturelle hensyn </w:t>
      </w:r>
      <w:r w:rsidRPr="000D6EF2">
        <w:rPr>
          <w:rFonts w:cs="Times New Roman"/>
          <w:color w:val="000000" w:themeColor="text1"/>
        </w:rPr>
        <w:t xml:space="preserve">ikke er et selvstendig </w:t>
      </w:r>
      <w:proofErr w:type="spellStart"/>
      <w:r w:rsidRPr="000D6EF2">
        <w:rPr>
          <w:rFonts w:cs="Times New Roman"/>
          <w:color w:val="000000" w:themeColor="text1"/>
        </w:rPr>
        <w:t>unntaksgrunnlag</w:t>
      </w:r>
      <w:proofErr w:type="spellEnd"/>
      <w:r w:rsidR="00CD439F" w:rsidRPr="00CD439F">
        <w:rPr>
          <w:rStyle w:val="Fotnotereferanse"/>
        </w:rPr>
        <w:footnoteReference w:id="146"/>
      </w:r>
      <w:r w:rsidR="00CD439F" w:rsidRPr="00CD439F">
        <w:rPr>
          <w:rStyle w:val="skrift-hevet"/>
        </w:rPr>
        <w:t xml:space="preserve"> </w:t>
      </w:r>
      <w:r w:rsidRPr="02645A7F">
        <w:rPr>
          <w:rFonts w:cs="Times New Roman"/>
          <w:color w:val="000000" w:themeColor="text1"/>
        </w:rPr>
        <w:t xml:space="preserve">og at slike hensyn kun kan vurderes </w:t>
      </w:r>
      <w:r w:rsidRPr="000D6EF2">
        <w:rPr>
          <w:rFonts w:cs="Times New Roman"/>
          <w:color w:val="000000" w:themeColor="text1"/>
        </w:rPr>
        <w:t xml:space="preserve">innenfor rammen av artikkel </w:t>
      </w:r>
      <w:r w:rsidRPr="02645A7F">
        <w:rPr>
          <w:rFonts w:cs="Times New Roman"/>
          <w:color w:val="000000" w:themeColor="text1"/>
        </w:rPr>
        <w:t xml:space="preserve">9, men også da bare dersom vilkårene er oppfylt. </w:t>
      </w:r>
      <w:r w:rsidRPr="47A0B628">
        <w:rPr>
          <w:rFonts w:cs="Times New Roman"/>
          <w:color w:val="000000" w:themeColor="text1"/>
        </w:rPr>
        <w:t>M</w:t>
      </w:r>
      <w:r w:rsidRPr="02645A7F">
        <w:rPr>
          <w:rFonts w:cs="Times New Roman"/>
          <w:color w:val="000000" w:themeColor="text1"/>
        </w:rPr>
        <w:t>ed andre ord, k</w:t>
      </w:r>
      <w:r w:rsidRPr="000D6EF2">
        <w:rPr>
          <w:rFonts w:cs="Times New Roman"/>
          <w:color w:val="000000" w:themeColor="text1"/>
        </w:rPr>
        <w:t>ulturelle hensyn som ikke faller inn under artikkel 9, kan ikke i seg selv begrunne felling.</w:t>
      </w:r>
    </w:p>
    <w:p w14:paraId="12D5057E" w14:textId="64DF54F6" w:rsidR="009E6E01" w:rsidRDefault="009E6E01" w:rsidP="009E6E01">
      <w:r w:rsidRPr="4DA77A36">
        <w:rPr>
          <w:rFonts w:cs="Times New Roman"/>
          <w:color w:val="000000" w:themeColor="text1"/>
        </w:rPr>
        <w:t xml:space="preserve">Det følger videre av ordlyden </w:t>
      </w:r>
      <w:r>
        <w:rPr>
          <w:rFonts w:cs="Times New Roman"/>
          <w:color w:val="000000" w:themeColor="text1"/>
        </w:rPr>
        <w:t>i</w:t>
      </w:r>
      <w:r w:rsidRPr="4DA77A36">
        <w:rPr>
          <w:rFonts w:cs="Times New Roman"/>
          <w:color w:val="000000" w:themeColor="text1"/>
        </w:rPr>
        <w:t xml:space="preserve"> artikkel 2 som lister opp </w:t>
      </w:r>
      <w:r w:rsidRPr="4DA77A36">
        <w:t>økologiske, vitenskapelige og kulturelle krav – som</w:t>
      </w:r>
      <w:r w:rsidRPr="4DA77A36">
        <w:rPr>
          <w:rFonts w:cs="Times New Roman"/>
          <w:color w:val="000000" w:themeColor="text1"/>
        </w:rPr>
        <w:t xml:space="preserve"> krav som skal fremme verneformål</w:t>
      </w:r>
      <w:r>
        <w:rPr>
          <w:rFonts w:cs="Times New Roman"/>
          <w:color w:val="000000" w:themeColor="text1"/>
        </w:rPr>
        <w:t>, ikke det motsatte</w:t>
      </w:r>
      <w:r w:rsidRPr="4DA77A36">
        <w:rPr>
          <w:rFonts w:cs="Times New Roman"/>
          <w:color w:val="000000" w:themeColor="text1"/>
        </w:rPr>
        <w:t>. Krav som kan gå imot verneformål er dem som</w:t>
      </w:r>
      <w:r>
        <w:rPr>
          <w:rFonts w:cs="Times New Roman"/>
          <w:color w:val="000000" w:themeColor="text1"/>
        </w:rPr>
        <w:t xml:space="preserve"> det </w:t>
      </w:r>
      <w:r w:rsidR="00CD439F">
        <w:rPr>
          <w:rFonts w:cs="Times New Roman"/>
          <w:color w:val="000000" w:themeColor="text1"/>
        </w:rPr>
        <w:t>«</w:t>
      </w:r>
      <w:r w:rsidRPr="4DA77A36">
        <w:rPr>
          <w:rFonts w:cs="Times New Roman"/>
          <w:color w:val="000000" w:themeColor="text1"/>
        </w:rPr>
        <w:t xml:space="preserve">samtidig som </w:t>
      </w:r>
      <w:r>
        <w:rPr>
          <w:rFonts w:cs="Times New Roman"/>
          <w:color w:val="000000" w:themeColor="text1"/>
        </w:rPr>
        <w:t>[skal]</w:t>
      </w:r>
      <w:r w:rsidRPr="4DA77A36">
        <w:rPr>
          <w:rFonts w:cs="Times New Roman"/>
          <w:color w:val="000000" w:themeColor="text1"/>
        </w:rPr>
        <w:t xml:space="preserve"> tas hensyn til</w:t>
      </w:r>
      <w:r w:rsidR="00CD439F">
        <w:rPr>
          <w:rFonts w:cs="Times New Roman"/>
          <w:color w:val="000000" w:themeColor="text1"/>
        </w:rPr>
        <w:t>»</w:t>
      </w:r>
      <w:r w:rsidRPr="4DA77A36">
        <w:rPr>
          <w:rFonts w:cs="Times New Roman"/>
          <w:color w:val="000000" w:themeColor="text1"/>
        </w:rPr>
        <w:t xml:space="preserve">. </w:t>
      </w:r>
      <w:r w:rsidR="00CD439F">
        <w:rPr>
          <w:rFonts w:cs="Times New Roman"/>
          <w:color w:val="000000" w:themeColor="text1"/>
        </w:rPr>
        <w:t>«</w:t>
      </w:r>
      <w:r w:rsidRPr="4DA77A36">
        <w:rPr>
          <w:rFonts w:cs="Times New Roman"/>
          <w:color w:val="000000" w:themeColor="text1"/>
        </w:rPr>
        <w:t>Kulturelle krav</w:t>
      </w:r>
      <w:r w:rsidR="00CD439F">
        <w:rPr>
          <w:rFonts w:cs="Times New Roman"/>
          <w:color w:val="000000" w:themeColor="text1"/>
        </w:rPr>
        <w:t>»</w:t>
      </w:r>
      <w:r w:rsidRPr="4DA77A36">
        <w:rPr>
          <w:rFonts w:cs="Times New Roman"/>
          <w:color w:val="000000" w:themeColor="text1"/>
        </w:rPr>
        <w:t xml:space="preserve"> bør altså tolkes snevert og underordnet verneformålet. Begrepet gir rom for å ta hensyn til tradisjonelle, sosiale og kulturelle forhold, men kan ikke brukes til å legitimere en forvaltning som truer artens levedyktige bestander eller uthuler det strenge vernet.</w:t>
      </w:r>
    </w:p>
    <w:p w14:paraId="66974EFC" w14:textId="6278D75C" w:rsidR="00303661" w:rsidRDefault="009E6E01" w:rsidP="009E6E01">
      <w:r>
        <w:t xml:space="preserve">Det må videre spørres om Bernkonvensjonen </w:t>
      </w:r>
      <w:r w:rsidRPr="02645A7F">
        <w:t xml:space="preserve">stiller et konkret </w:t>
      </w:r>
      <w:r w:rsidRPr="00145B72">
        <w:t>bestandsmål</w:t>
      </w:r>
      <w:r w:rsidRPr="00CD439F">
        <w:rPr>
          <w:rStyle w:val="halvfet"/>
        </w:rPr>
        <w:t xml:space="preserve"> </w:t>
      </w:r>
      <w:r w:rsidRPr="02645A7F">
        <w:t>for ville dyr og planter.</w:t>
      </w:r>
      <w:r>
        <w:t xml:space="preserve"> </w:t>
      </w:r>
      <w:r w:rsidRPr="00F36883">
        <w:t xml:space="preserve">Når man ser på ordlyden i den generelle bestemmelsen i </w:t>
      </w:r>
      <w:r>
        <w:t>artikkel</w:t>
      </w:r>
      <w:r w:rsidRPr="00F36883">
        <w:t xml:space="preserve"> 2, er det riktig å si at den ikke foreskriver et absolutt, kvantitativt minimumsnivå (eller maksimumsnivå) for bestander av ville arter med noen grad av presisjon. Imidlertid er det ikke slik at artikkel 2 ikke foreskriver noe mål i det hele tatt. Et slikt syn vill</w:t>
      </w:r>
      <w:r>
        <w:t>e</w:t>
      </w:r>
      <w:r w:rsidRPr="00F36883">
        <w:t xml:space="preserve"> gå imot konvensjonens </w:t>
      </w:r>
      <w:r>
        <w:t>formål</w:t>
      </w:r>
      <w:r w:rsidRPr="00F36883">
        <w:t>. Ved å kreve at partene skal opprettholde eller oppnå et bestandsnivå som blant annet samsvarer med økologiske krav setter art</w:t>
      </w:r>
      <w:r>
        <w:t>ikkel</w:t>
      </w:r>
      <w:r w:rsidRPr="00F36883">
        <w:t xml:space="preserve"> 2 et kvalitativt minimumsmål</w:t>
      </w:r>
      <w:r>
        <w:t>.</w:t>
      </w:r>
      <w:r w:rsidR="00CD439F" w:rsidRPr="00CD439F">
        <w:rPr>
          <w:rStyle w:val="Fotnotereferanse"/>
        </w:rPr>
        <w:footnoteReference w:id="147"/>
      </w:r>
      <w:r w:rsidRPr="00F36883">
        <w:t xml:space="preserve"> </w:t>
      </w:r>
      <w:r>
        <w:t>A</w:t>
      </w:r>
      <w:r w:rsidRPr="00F36883">
        <w:t xml:space="preserve">rtikkel 2 </w:t>
      </w:r>
      <w:r>
        <w:t>innebærer</w:t>
      </w:r>
      <w:r w:rsidRPr="00F36883">
        <w:t xml:space="preserve"> at hensynet til naturvern </w:t>
      </w:r>
      <w:r>
        <w:t>skal</w:t>
      </w:r>
      <w:r w:rsidRPr="00F36883">
        <w:t xml:space="preserve"> veie </w:t>
      </w:r>
      <w:r w:rsidRPr="00F36883">
        <w:lastRenderedPageBreak/>
        <w:t xml:space="preserve">tyngre enn økonomiske og </w:t>
      </w:r>
      <w:proofErr w:type="spellStart"/>
      <w:r w:rsidRPr="00F36883">
        <w:t>rekreasjonsmessige</w:t>
      </w:r>
      <w:proofErr w:type="spellEnd"/>
      <w:r w:rsidRPr="00F36883">
        <w:t xml:space="preserve"> interesser ved konflikt.</w:t>
      </w:r>
      <w:r w:rsidR="00CD439F" w:rsidRPr="00CD439F">
        <w:rPr>
          <w:rStyle w:val="Fotnotereferanse"/>
        </w:rPr>
        <w:footnoteReference w:id="148"/>
      </w:r>
      <w:r w:rsidRPr="00F36883">
        <w:t xml:space="preserve"> Dette er også i tråd med konvensjonens mål, som </w:t>
      </w:r>
      <w:r>
        <w:t>gjelder</w:t>
      </w:r>
      <w:r w:rsidRPr="00F36883">
        <w:t xml:space="preserve"> vern av ville planter og dyr og deres leveområder.</w:t>
      </w:r>
    </w:p>
    <w:p w14:paraId="2507BDB9" w14:textId="05C35CCE" w:rsidR="00B611BB" w:rsidRDefault="009E6E01" w:rsidP="009E6E01">
      <w:r w:rsidRPr="00F36883">
        <w:t xml:space="preserve">Hva et bestandsnivå som samsvarer med økologiske (og vitenskapelige og kulturelle) krav konkret innebærer, er ikke definert. Gitt konvensjonens formål </w:t>
      </w:r>
      <w:r>
        <w:t>har det vært hevdet at</w:t>
      </w:r>
      <w:r w:rsidRPr="00F36883">
        <w:t xml:space="preserve"> dette nivået imidlertid </w:t>
      </w:r>
      <w:r w:rsidR="00CD439F">
        <w:t>«</w:t>
      </w:r>
      <w:r w:rsidRPr="00F36883">
        <w:t>trygt</w:t>
      </w:r>
      <w:r>
        <w:t xml:space="preserve"> [kan]</w:t>
      </w:r>
      <w:r w:rsidRPr="00F36883">
        <w:t xml:space="preserve"> antas å ligge betydelig over det hvor en art er i fare for å bli utryddet.</w:t>
      </w:r>
      <w:r w:rsidR="00CD439F">
        <w:t>»</w:t>
      </w:r>
      <w:r w:rsidR="00CD439F" w:rsidRPr="00CD439F">
        <w:rPr>
          <w:rStyle w:val="Fotnotereferanse"/>
        </w:rPr>
        <w:footnoteReference w:id="149"/>
      </w:r>
      <w:r w:rsidRPr="00F36883">
        <w:t xml:space="preserve"> Indirekte støtte for denne forståelsen følger også av artikkel 7 i konvensjonen, som inneholder forpliktelser knyttet til </w:t>
      </w:r>
      <w:r w:rsidR="00CD439F">
        <w:t>«</w:t>
      </w:r>
      <w:r w:rsidRPr="00F36883">
        <w:t>beskyttede</w:t>
      </w:r>
      <w:r w:rsidR="00CD439F">
        <w:t>»</w:t>
      </w:r>
      <w:r w:rsidRPr="00F36883">
        <w:t xml:space="preserve"> (i motsetning til </w:t>
      </w:r>
      <w:r w:rsidR="00CD439F">
        <w:t>«</w:t>
      </w:r>
      <w:r w:rsidRPr="00F36883">
        <w:t>strengt beskyttede</w:t>
      </w:r>
      <w:r w:rsidR="00CD439F">
        <w:t>»</w:t>
      </w:r>
      <w:r w:rsidRPr="00F36883">
        <w:t xml:space="preserve">) dyr listet i vedlegg III. Utnyttelsen av slike arter skal reguleres </w:t>
      </w:r>
      <w:r w:rsidR="00CD439F">
        <w:t>«</w:t>
      </w:r>
      <w:r w:rsidRPr="00F36883">
        <w:t>for å holde bestandene utenfor fare, tatt i betraktning kravene i artikkel 2</w:t>
      </w:r>
      <w:r w:rsidR="00CD439F">
        <w:t>»</w:t>
      </w:r>
      <w:r>
        <w:t>,</w:t>
      </w:r>
      <w:r w:rsidRPr="00F36883">
        <w:t xml:space="preserve"> og utnyttelse må forbys når dette er nødvendig </w:t>
      </w:r>
      <w:r w:rsidR="00CD439F">
        <w:t>«</w:t>
      </w:r>
      <w:r w:rsidRPr="00F36883">
        <w:t>for å gjenopprette tilfredsstillende bestandsnivåer.</w:t>
      </w:r>
      <w:r w:rsidR="00CD439F">
        <w:t>»</w:t>
      </w:r>
      <w:r w:rsidRPr="00F36883">
        <w:t xml:space="preserve"> Videre har nivået som kreves i artikkel 2 blitt beskrevet som en </w:t>
      </w:r>
      <w:r w:rsidR="00CD439F">
        <w:t>«</w:t>
      </w:r>
      <w:r w:rsidRPr="00F36883">
        <w:t>gunstig</w:t>
      </w:r>
      <w:r w:rsidR="00B611BB">
        <w:t xml:space="preserve"> </w:t>
      </w:r>
      <w:r w:rsidRPr="00F36883">
        <w:t>bevaringsstatus</w:t>
      </w:r>
      <w:r w:rsidR="00CD439F">
        <w:t>»</w:t>
      </w:r>
      <w:r w:rsidRPr="00F36883">
        <w:t xml:space="preserve"> og en </w:t>
      </w:r>
      <w:r w:rsidR="00CD439F">
        <w:t>«</w:t>
      </w:r>
      <w:r w:rsidRPr="00F36883">
        <w:t>tilfredsstillende bevaringsstatus</w:t>
      </w:r>
      <w:r w:rsidR="00CD439F">
        <w:t>»</w:t>
      </w:r>
      <w:r w:rsidRPr="00F36883">
        <w:t xml:space="preserve"> av Den </w:t>
      </w:r>
      <w:r>
        <w:t>p</w:t>
      </w:r>
      <w:r w:rsidRPr="00F36883">
        <w:t xml:space="preserve">ermanente </w:t>
      </w:r>
      <w:r>
        <w:t>k</w:t>
      </w:r>
      <w:r w:rsidRPr="00F36883">
        <w:t>omiteen</w:t>
      </w:r>
      <w:r>
        <w:t>.</w:t>
      </w:r>
      <w:r w:rsidR="00CD439F" w:rsidRPr="00CD439F">
        <w:rPr>
          <w:rStyle w:val="Fotnotereferanse"/>
        </w:rPr>
        <w:footnoteReference w:id="150"/>
      </w:r>
    </w:p>
    <w:p w14:paraId="77C9799C" w14:textId="7CEDB1F6" w:rsidR="00303661" w:rsidRDefault="009E6E01" w:rsidP="009E6E01">
      <w:r w:rsidRPr="00F36883">
        <w:t>Det er viktig å fremheve at artikkel 2 er formulert som en innsatsforpliktelse (</w:t>
      </w:r>
      <w:r w:rsidR="00CD439F">
        <w:t>«</w:t>
      </w:r>
      <w:r w:rsidRPr="00F36883">
        <w:t>skal treffe nødvendige tiltak for å opprettholde</w:t>
      </w:r>
      <w:r w:rsidR="00CD439F">
        <w:t>»</w:t>
      </w:r>
      <w:r w:rsidRPr="00F36883">
        <w:t xml:space="preserve">) snarere enn en resultatforpliktelse (som, for eksempel, hvis ordlyden hadde vært </w:t>
      </w:r>
      <w:r w:rsidR="00CD439F">
        <w:t>«</w:t>
      </w:r>
      <w:r w:rsidRPr="00F36883">
        <w:t>skal opprettholde</w:t>
      </w:r>
      <w:r w:rsidR="00CD439F">
        <w:t>»</w:t>
      </w:r>
      <w:r w:rsidRPr="00F36883">
        <w:t xml:space="preserve">). Partene må dermed gjøre alt som trengs for å sikre at bestander av ville arter ikke faller, eller forblir, under det foreskrevne minimumsnivået. Avhengig av omstendighetene kan dette for bestander som i dag ligger under nivået innebære passiv tillatelse til naturlig ekspansjon eller iverksetting av aktive restaureringstiltak. Når det gjelder det første, har Den </w:t>
      </w:r>
      <w:r>
        <w:t>p</w:t>
      </w:r>
      <w:r w:rsidRPr="00F36883">
        <w:t xml:space="preserve">ermanente </w:t>
      </w:r>
      <w:r>
        <w:t>k</w:t>
      </w:r>
      <w:r w:rsidRPr="00F36883">
        <w:t xml:space="preserve">omiteen gjort det klart at </w:t>
      </w:r>
      <w:r w:rsidR="00CD439F">
        <w:t>«</w:t>
      </w:r>
      <w:r w:rsidRPr="00F36883">
        <w:t>den naturlige ekspansjonen av bestander av store rovdyr i Europa skal hilses velkommen</w:t>
      </w:r>
      <w:r w:rsidR="00CD439F">
        <w:t>»</w:t>
      </w:r>
      <w:r w:rsidRPr="00F36883">
        <w:t>.</w:t>
      </w:r>
      <w:r w:rsidR="00CD439F" w:rsidRPr="00CD439F">
        <w:rPr>
          <w:rStyle w:val="Fotnotereferanse"/>
        </w:rPr>
        <w:footnoteReference w:id="151"/>
      </w:r>
      <w:r w:rsidRPr="00F36883">
        <w:t xml:space="preserve"> Når det gjelder restaureringstiltak, har komiteen bekreftet at </w:t>
      </w:r>
      <w:r w:rsidR="00CD439F">
        <w:t>«</w:t>
      </w:r>
      <w:r w:rsidRPr="00F36883">
        <w:t>i mange tilfeller kan ville arter som har en ugunstig bevaringsstatus (særlig de som er oppført i vedlegg II til konvensjonen) kreve spesielle vernetiltak for å oppnå et bestandsnivå som samsvarer med deres økologiske krav, slik det fremgår av artikkel 2 i konvensjonen.</w:t>
      </w:r>
      <w:r w:rsidR="00CD439F">
        <w:t>»</w:t>
      </w:r>
      <w:r w:rsidR="00CD439F" w:rsidRPr="00CD439F">
        <w:rPr>
          <w:rStyle w:val="Fotnotereferanse"/>
        </w:rPr>
        <w:footnoteReference w:id="152"/>
      </w:r>
    </w:p>
    <w:p w14:paraId="6FD9C7BE" w14:textId="32CC9BEF" w:rsidR="002D0F89" w:rsidRDefault="009E6E01" w:rsidP="009E6E01">
      <w:pPr>
        <w:rPr>
          <w:rFonts w:cs="Times New Roman"/>
        </w:rPr>
      </w:pPr>
      <w:r w:rsidRPr="00F36883">
        <w:t>Kravene som følger av artikkel 2 bør ikke tas lett på. De kan ansees som å etablere en aktsomhetsnorm (</w:t>
      </w:r>
      <w:r w:rsidR="00CD439F">
        <w:t>«</w:t>
      </w:r>
      <w:r w:rsidRPr="00F36883">
        <w:t>due diligence</w:t>
      </w:r>
      <w:r w:rsidR="00CD439F">
        <w:t>»</w:t>
      </w:r>
      <w:r w:rsidRPr="00F36883">
        <w:t xml:space="preserve">) som ligger til grunn av innsatsforpliktelsen under </w:t>
      </w:r>
      <w:r>
        <w:lastRenderedPageBreak/>
        <w:t>artikkel</w:t>
      </w:r>
      <w:r w:rsidRPr="00F36883">
        <w:t xml:space="preserve"> 2. En slik due diligence forpliktelse kan være like krevende som en resultatforpliktelse.</w:t>
      </w:r>
      <w:r w:rsidR="00CD439F" w:rsidRPr="00CD439F">
        <w:rPr>
          <w:rStyle w:val="Fotnotereferanse"/>
        </w:rPr>
        <w:footnoteReference w:id="153"/>
      </w:r>
      <w:r w:rsidRPr="00F36883">
        <w:t xml:space="preserve"> Det innebærer at en </w:t>
      </w:r>
      <w:r w:rsidRPr="00170EB1">
        <w:rPr>
          <w:rFonts w:cs="Times New Roman"/>
        </w:rPr>
        <w:t>medlemsstat må gjøre så godt den kan til å handle i samsvar med forpliktelsene og iverksette alle nødvendige tiltak. Dette innebærer at de økologiske kravene for hver enkel rovdyrbestand må utredes og at bestandsmålene må baseres på best mulig vitenskapelig grunnlag. I tilfellet hvor det er vitenskapelig usikkerhet, mens det eksisterer en risiko for at bestanden ikke kan opprettholdes eller tilpasses nivået som art</w:t>
      </w:r>
      <w:r>
        <w:rPr>
          <w:rFonts w:cs="Times New Roman"/>
        </w:rPr>
        <w:t>ikkel</w:t>
      </w:r>
      <w:r w:rsidRPr="00170EB1">
        <w:rPr>
          <w:rFonts w:cs="Times New Roman"/>
        </w:rPr>
        <w:t xml:space="preserve"> 2 krever, bør tiltakene baseres på føre</w:t>
      </w:r>
      <w:r>
        <w:rPr>
          <w:rFonts w:cs="Times New Roman"/>
        </w:rPr>
        <w:t>-</w:t>
      </w:r>
      <w:r w:rsidRPr="00170EB1">
        <w:rPr>
          <w:rFonts w:cs="Times New Roman"/>
        </w:rPr>
        <w:t>var-prinsippet.</w:t>
      </w:r>
      <w:r w:rsidR="00CD439F" w:rsidRPr="00CD439F">
        <w:rPr>
          <w:rStyle w:val="Fotnotereferanse"/>
        </w:rPr>
        <w:footnoteReference w:id="154"/>
      </w:r>
    </w:p>
    <w:p w14:paraId="45FEE64C" w14:textId="074B53C8" w:rsidR="00B611BB" w:rsidRDefault="00B611BB" w:rsidP="00B611BB">
      <w:pPr>
        <w:pStyle w:val="Overskrift3"/>
      </w:pPr>
      <w:bookmarkStart w:id="43" w:name="_Toc223433106"/>
      <w:r>
        <w:t>Delte bestander</w:t>
      </w:r>
      <w:bookmarkEnd w:id="43"/>
    </w:p>
    <w:p w14:paraId="6CE8982C" w14:textId="27F8CDF0" w:rsidR="00B611BB" w:rsidRDefault="00B611BB" w:rsidP="00B611BB">
      <w:r>
        <w:t xml:space="preserve">Den </w:t>
      </w:r>
      <w:r w:rsidRPr="00F36883">
        <w:t>rettslige forpliktelsen til å opprettholde bestanden gjelder i utgangspunktet på en stats eget territorium</w:t>
      </w:r>
      <w:r>
        <w:t>, men statene har en samarbeidsplikt for delte bestander</w:t>
      </w:r>
      <w:r w:rsidRPr="00F36883">
        <w:t>. For eksempel, deles den</w:t>
      </w:r>
      <w:r w:rsidR="00303661">
        <w:t xml:space="preserve"> </w:t>
      </w:r>
      <w:r w:rsidRPr="00F36883">
        <w:t>skandinaviske ulvebestanden</w:t>
      </w:r>
      <w:r w:rsidR="00303661">
        <w:t xml:space="preserve"> </w:t>
      </w:r>
      <w:r w:rsidRPr="00F36883">
        <w:t>mellom Sverige og Norge, på samme måte som de fleste av de øvrige europeiske ulvebestandene deles mellom to eller flere land.</w:t>
      </w:r>
      <w:r w:rsidR="00CD439F" w:rsidRPr="00CD439F">
        <w:rPr>
          <w:rStyle w:val="Fotnotereferanse"/>
        </w:rPr>
        <w:footnoteReference w:id="155"/>
      </w:r>
      <w:r w:rsidRPr="00F36883">
        <w:t xml:space="preserve"> For slike bestander er mellomstatlig koordinering av forvaltning</w:t>
      </w:r>
      <w:r>
        <w:t>en</w:t>
      </w:r>
      <w:r w:rsidRPr="00F36883">
        <w:t xml:space="preserve"> – tilpasset nivået til den grenseoverskridende bestanden – en viktig forutsetning for bevaringen av store rovdyr og andre grenseoverskridende dyrebestander.</w:t>
      </w:r>
      <w:r w:rsidR="00CD439F" w:rsidRPr="00CD439F">
        <w:rPr>
          <w:rStyle w:val="Fotnotereferanse"/>
        </w:rPr>
        <w:footnoteReference w:id="156"/>
      </w:r>
      <w:r w:rsidRPr="00F36883">
        <w:t xml:space="preserve"> Den </w:t>
      </w:r>
      <w:r>
        <w:t>p</w:t>
      </w:r>
      <w:r w:rsidRPr="00F36883">
        <w:t xml:space="preserve">ermanente </w:t>
      </w:r>
      <w:r>
        <w:lastRenderedPageBreak/>
        <w:t>k</w:t>
      </w:r>
      <w:r w:rsidRPr="00F36883">
        <w:t xml:space="preserve">omiteen har gjentatte ganger oppfordret parter som deler en stor rovdyrbestand, inkludert den skandinaviske ulvebestanden, til å vedta og gjennomføre en harmonisert politikk på bestandsnivå. Siden 2000 har Komiteen anbefalt Norge og Sverige å </w:t>
      </w:r>
      <w:r w:rsidR="00CD439F">
        <w:t>«</w:t>
      </w:r>
      <w:r w:rsidRPr="00F36883">
        <w:t xml:space="preserve">fortsette sin nåværende politikk med sikte på å opprettholde, </w:t>
      </w:r>
      <w:r w:rsidR="00303661">
        <w:t>…</w:t>
      </w:r>
      <w:r w:rsidRPr="00F36883">
        <w:t xml:space="preserve"> en levedyktig ulvebestand som deles mellom de to statene, samtidig som konflikt med sauehold og tradisjonell reindrift minimeres.</w:t>
      </w:r>
      <w:r w:rsidR="00CD439F">
        <w:t>»</w:t>
      </w:r>
      <w:r w:rsidR="00CD439F" w:rsidRPr="00CD439F">
        <w:rPr>
          <w:rStyle w:val="Fotnotereferanse"/>
        </w:rPr>
        <w:footnoteReference w:id="157"/>
      </w:r>
    </w:p>
    <w:p w14:paraId="4564BF08" w14:textId="3BE575E5" w:rsidR="00B611BB" w:rsidRDefault="00B611BB" w:rsidP="00B611BB">
      <w:r>
        <w:t xml:space="preserve">Plikten til å samarbeide om delte bestander framgår også av en </w:t>
      </w:r>
      <w:r w:rsidRPr="00F36883">
        <w:t>juridisk analyse bestilt av Den Permanente Komiteen i 2005:</w:t>
      </w:r>
    </w:p>
    <w:p w14:paraId="0EA156D9" w14:textId="5390D4A1" w:rsidR="00B611BB" w:rsidRPr="00CD439F" w:rsidRDefault="00CD439F" w:rsidP="00393223">
      <w:pPr>
        <w:pStyle w:val="blokksit"/>
        <w:ind w:left="757"/>
        <w:rPr>
          <w:lang w:val="en-US"/>
        </w:rPr>
      </w:pPr>
      <w:r w:rsidRPr="009264D9">
        <w:rPr>
          <w:lang w:val="en-US"/>
        </w:rPr>
        <w:t>«</w:t>
      </w:r>
      <w:r w:rsidR="00B611BB" w:rsidRPr="009264D9">
        <w:rPr>
          <w:lang w:val="en-US"/>
        </w:rPr>
        <w:t xml:space="preserve">From a legal point of view, the matter is clear. </w:t>
      </w:r>
      <w:r w:rsidR="00B611BB" w:rsidRPr="00CD439F">
        <w:rPr>
          <w:lang w:val="en-US"/>
        </w:rPr>
        <w:t>Consistent with State sovereignty, each Party has sole responsibility for developing and implementing the measures for species and habitats on national territory that it has accepted under the Convention, including decision-making on possible derogations. These national responsibilities are underpinned by general obligations for international cooperation under the Convention and customary international law. They cannot be delegated because a species or habitat is thriving beyond national boundaries (where the Party concerned has no legal or management powers). For wolves, this means that even if the portion of a population found across an international boundary is secure, this does not justify a derogation if the population on national territory is not viable or where other satisfactory solutions can be found. This approach is supported by all Convention policy documents addressing wolves, which combine recommendations for sub-regional cooperation with individual country-specific actions adapted to national circumstances.</w:t>
      </w:r>
      <w:r>
        <w:rPr>
          <w:lang w:val="en-US"/>
        </w:rPr>
        <w:t>»</w:t>
      </w:r>
      <w:r w:rsidRPr="00CD439F">
        <w:rPr>
          <w:rStyle w:val="Fotnotereferanse"/>
        </w:rPr>
        <w:footnoteReference w:id="158"/>
      </w:r>
    </w:p>
    <w:p w14:paraId="51C702C1" w14:textId="660B6510" w:rsidR="00B611BB" w:rsidRDefault="00B611BB" w:rsidP="00B611BB">
      <w:pPr>
        <w:pStyle w:val="Overskrift3"/>
      </w:pPr>
      <w:bookmarkStart w:id="44" w:name="_Toc223433107"/>
      <w:r w:rsidRPr="00B611BB">
        <w:t>Vedkommende bestand</w:t>
      </w:r>
      <w:bookmarkEnd w:id="44"/>
    </w:p>
    <w:p w14:paraId="2F4A8D57" w14:textId="2C59F7F5" w:rsidR="00303661" w:rsidRDefault="00B611BB" w:rsidP="00B611BB">
      <w:r w:rsidRPr="47A0B628">
        <w:t xml:space="preserve">Bernkonvensjonen skiller mellom </w:t>
      </w:r>
      <w:r w:rsidR="00CD439F">
        <w:t>«</w:t>
      </w:r>
      <w:r w:rsidRPr="47A0B628">
        <w:t>art</w:t>
      </w:r>
      <w:r w:rsidR="00CD439F">
        <w:t>»</w:t>
      </w:r>
      <w:r w:rsidRPr="47A0B628">
        <w:t xml:space="preserve"> og </w:t>
      </w:r>
      <w:r w:rsidR="00CD439F">
        <w:t>«</w:t>
      </w:r>
      <w:r w:rsidRPr="47A0B628">
        <w:t>bestand</w:t>
      </w:r>
      <w:r w:rsidR="00CD439F">
        <w:t>»</w:t>
      </w:r>
      <w:r w:rsidRPr="47A0B628">
        <w:t xml:space="preserve">. Artikkel 6 fastsetter et forbud mot fangst av de </w:t>
      </w:r>
      <w:r w:rsidR="00CD439F">
        <w:t>«</w:t>
      </w:r>
      <w:r w:rsidRPr="47A0B628">
        <w:t>arter</w:t>
      </w:r>
      <w:r w:rsidR="00CD439F">
        <w:t>»</w:t>
      </w:r>
      <w:r w:rsidRPr="47A0B628">
        <w:t xml:space="preserve"> som er oppført i Vedlegg II, noe som altså omfatter artene bjørn, jerv og kongeørn. Så lenge disse artene står på dette vedlegget er all felling av disse artene i utgangspunktet forbudt. Forpliktelsene etter artikkel 7 omfatter også arten</w:t>
      </w:r>
      <w:r w:rsidR="00EA716D">
        <w:t>e</w:t>
      </w:r>
      <w:r w:rsidRPr="47A0B628">
        <w:t xml:space="preserve"> ulv </w:t>
      </w:r>
      <w:r w:rsidR="00EA716D">
        <w:t xml:space="preserve">og gaupe </w:t>
      </w:r>
      <w:r w:rsidRPr="47A0B628">
        <w:t>som er oppført i Vedlegg III.</w:t>
      </w:r>
    </w:p>
    <w:p w14:paraId="358D2101" w14:textId="136D9A6F" w:rsidR="00B611BB" w:rsidRDefault="00B611BB" w:rsidP="00B611BB">
      <w:r w:rsidRPr="00F36883">
        <w:lastRenderedPageBreak/>
        <w:t xml:space="preserve">Artikkel 9 viser imidlertid til vedkommende </w:t>
      </w:r>
      <w:r w:rsidR="00CD439F">
        <w:t>«</w:t>
      </w:r>
      <w:r w:rsidRPr="00F36883">
        <w:t>bestands</w:t>
      </w:r>
      <w:r w:rsidR="00CD439F">
        <w:t>»</w:t>
      </w:r>
      <w:r w:rsidRPr="00F36883">
        <w:t xml:space="preserve"> overlevelse.</w:t>
      </w:r>
      <w:r w:rsidRPr="02645A7F">
        <w:t xml:space="preserve"> </w:t>
      </w:r>
      <w:r w:rsidRPr="00F36883">
        <w:t xml:space="preserve">Den Permanente Komiteen har </w:t>
      </w:r>
      <w:r w:rsidRPr="02645A7F">
        <w:rPr>
          <w:rFonts w:cs="Times New Roman"/>
          <w:color w:val="000000" w:themeColor="text1"/>
        </w:rPr>
        <w:t xml:space="preserve">fremhevet at </w:t>
      </w:r>
      <w:r w:rsidRPr="000D6EF2">
        <w:rPr>
          <w:rFonts w:cs="Times New Roman"/>
          <w:color w:val="000000" w:themeColor="text1"/>
        </w:rPr>
        <w:t>bevaringsstatus på bestandsni</w:t>
      </w:r>
      <w:r w:rsidRPr="02645A7F">
        <w:rPr>
          <w:rFonts w:cs="Times New Roman"/>
          <w:color w:val="000000" w:themeColor="text1"/>
        </w:rPr>
        <w:t>vå er det sentrale vurderingstema</w:t>
      </w:r>
      <w:r>
        <w:rPr>
          <w:rFonts w:cs="Times New Roman"/>
          <w:color w:val="000000" w:themeColor="text1"/>
        </w:rPr>
        <w:t>.</w:t>
      </w:r>
      <w:r w:rsidR="00CD439F" w:rsidRPr="00CD439F">
        <w:rPr>
          <w:rStyle w:val="Fotnotereferanse"/>
        </w:rPr>
        <w:footnoteReference w:id="159"/>
      </w:r>
      <w:r w:rsidRPr="02645A7F">
        <w:t xml:space="preserve"> Ko</w:t>
      </w:r>
      <w:r w:rsidRPr="02645A7F">
        <w:rPr>
          <w:rFonts w:cs="Times New Roman"/>
          <w:color w:val="000000" w:themeColor="text1"/>
        </w:rPr>
        <w:t xml:space="preserve">miteen legger til grunn at formålet med konvensjonen er å opprettholde arter i en gunstig bevaringsstatus, at vurderingen skal skje på bestandsnivå, ofte på </w:t>
      </w:r>
      <w:r w:rsidRPr="000D6EF2">
        <w:rPr>
          <w:rFonts w:cs="Times New Roman"/>
          <w:color w:val="000000" w:themeColor="text1"/>
        </w:rPr>
        <w:t>transnasjonalt nivå</w:t>
      </w:r>
      <w:r w:rsidRPr="02645A7F">
        <w:rPr>
          <w:rFonts w:cs="Times New Roman"/>
          <w:color w:val="000000" w:themeColor="text1"/>
        </w:rPr>
        <w:t>, og at felling ikke</w:t>
      </w:r>
      <w:r>
        <w:rPr>
          <w:rFonts w:cs="Times New Roman"/>
          <w:color w:val="000000" w:themeColor="text1"/>
        </w:rPr>
        <w:t xml:space="preserve"> kan</w:t>
      </w:r>
      <w:r w:rsidRPr="02645A7F">
        <w:rPr>
          <w:rFonts w:cs="Times New Roman"/>
          <w:color w:val="000000" w:themeColor="text1"/>
        </w:rPr>
        <w:t xml:space="preserve"> aksepteres dersom den svekker bestandens langsiktige overlevelse.</w:t>
      </w:r>
    </w:p>
    <w:p w14:paraId="286AFFE4" w14:textId="04233CA3" w:rsidR="00B611BB" w:rsidRDefault="00B611BB" w:rsidP="00B611BB">
      <w:r w:rsidRPr="02645A7F">
        <w:rPr>
          <w:rFonts w:cs="Times New Roman"/>
          <w:color w:val="000000" w:themeColor="text1"/>
        </w:rPr>
        <w:t xml:space="preserve">Ifølge </w:t>
      </w:r>
      <w:r>
        <w:rPr>
          <w:rFonts w:cs="Times New Roman"/>
          <w:color w:val="000000" w:themeColor="text1"/>
        </w:rPr>
        <w:t>K</w:t>
      </w:r>
      <w:r w:rsidRPr="02645A7F">
        <w:rPr>
          <w:rFonts w:cs="Times New Roman"/>
          <w:color w:val="000000" w:themeColor="text1"/>
        </w:rPr>
        <w:t xml:space="preserve">omiteen må det foreligge en betydelig </w:t>
      </w:r>
      <w:r w:rsidR="00CD439F">
        <w:rPr>
          <w:rFonts w:cs="Times New Roman"/>
          <w:color w:val="000000" w:themeColor="text1"/>
        </w:rPr>
        <w:t>«</w:t>
      </w:r>
      <w:r w:rsidRPr="02645A7F">
        <w:rPr>
          <w:rFonts w:cs="Times New Roman"/>
          <w:color w:val="000000" w:themeColor="text1"/>
        </w:rPr>
        <w:t>sikkerhetsmargin</w:t>
      </w:r>
      <w:r w:rsidR="00CD439F">
        <w:rPr>
          <w:rFonts w:cs="Times New Roman"/>
          <w:color w:val="000000" w:themeColor="text1"/>
        </w:rPr>
        <w:t>»</w:t>
      </w:r>
      <w:r w:rsidRPr="02645A7F">
        <w:rPr>
          <w:rFonts w:cs="Times New Roman"/>
          <w:color w:val="000000" w:themeColor="text1"/>
        </w:rPr>
        <w:t xml:space="preserve"> for at felling ikke truer artens bevaringsstatus. Ordet brukes ikke alltid eksplisitt, men ligger i at Komiteen krever at statene har </w:t>
      </w:r>
      <w:r w:rsidRPr="000D6EF2">
        <w:rPr>
          <w:rFonts w:cs="Times New Roman"/>
          <w:color w:val="000000" w:themeColor="text1"/>
        </w:rPr>
        <w:t>robuste, vitenskapelig baserte vurderinger</w:t>
      </w:r>
      <w:r w:rsidRPr="02645A7F">
        <w:rPr>
          <w:rFonts w:cs="Times New Roman"/>
          <w:color w:val="000000" w:themeColor="text1"/>
        </w:rPr>
        <w:t>, og at felling ikke skjer nær nedre bestandsgrenser.</w:t>
      </w:r>
      <w:r w:rsidR="00CD439F" w:rsidRPr="00CD439F">
        <w:rPr>
          <w:rStyle w:val="Fotnotereferanse"/>
        </w:rPr>
        <w:footnoteReference w:id="160"/>
      </w:r>
      <w:r w:rsidRPr="02645A7F">
        <w:rPr>
          <w:rFonts w:cs="Times New Roman"/>
          <w:color w:val="000000" w:themeColor="text1"/>
        </w:rPr>
        <w:t xml:space="preserve"> Komiteen har i flere saker understreket at vurderingen ikke </w:t>
      </w:r>
      <w:r>
        <w:rPr>
          <w:rFonts w:cs="Times New Roman"/>
          <w:color w:val="000000" w:themeColor="text1"/>
        </w:rPr>
        <w:t xml:space="preserve">kan </w:t>
      </w:r>
      <w:r w:rsidRPr="02645A7F">
        <w:rPr>
          <w:rFonts w:cs="Times New Roman"/>
          <w:color w:val="000000" w:themeColor="text1"/>
        </w:rPr>
        <w:t>være optimistisk, og at bestandsusikkerhet, ulovlig felling og kumulative effekter må tas i betraktning.</w:t>
      </w:r>
    </w:p>
    <w:p w14:paraId="535E9670" w14:textId="00C58892" w:rsidR="002D0F89" w:rsidRDefault="00B611BB" w:rsidP="00B611BB">
      <w:r w:rsidRPr="02645A7F">
        <w:t xml:space="preserve">Komiteen har </w:t>
      </w:r>
      <w:r w:rsidRPr="00F36883">
        <w:t xml:space="preserve">definert bestand som den </w:t>
      </w:r>
      <w:r w:rsidR="00CD439F">
        <w:t>«</w:t>
      </w:r>
      <w:r w:rsidRPr="00F36883">
        <w:t>relevante forvaltningsenheten</w:t>
      </w:r>
      <w:r w:rsidR="00CD439F">
        <w:t>»</w:t>
      </w:r>
      <w:r w:rsidRPr="00F36883">
        <w:t xml:space="preserve"> (</w:t>
      </w:r>
      <w:r w:rsidR="00CD439F">
        <w:t>«</w:t>
      </w:r>
      <w:proofErr w:type="spellStart"/>
      <w:r w:rsidRPr="00F36883">
        <w:t>the</w:t>
      </w:r>
      <w:proofErr w:type="spellEnd"/>
      <w:r w:rsidRPr="00F36883">
        <w:t xml:space="preserve"> relevant management unit</w:t>
      </w:r>
      <w:r w:rsidR="00CD439F">
        <w:t>»</w:t>
      </w:r>
      <w:r>
        <w:t>).</w:t>
      </w:r>
      <w:r w:rsidRPr="00F36883">
        <w:t xml:space="preserve"> Dette er den biologiske og geografiske gruppen av individene av samme art. Gruppen defineres ut fra geografisk utbred</w:t>
      </w:r>
      <w:r>
        <w:t>else</w:t>
      </w:r>
      <w:r w:rsidRPr="00F36883">
        <w:t>, genetisk materiale (sikrer den genetiske flyten mot innavl), demografi (</w:t>
      </w:r>
      <w:r>
        <w:t>om g</w:t>
      </w:r>
      <w:r w:rsidRPr="00F36883">
        <w:t xml:space="preserve">ruppen </w:t>
      </w:r>
      <w:r>
        <w:t xml:space="preserve">er </w:t>
      </w:r>
      <w:r w:rsidRPr="00F36883">
        <w:t xml:space="preserve">stor nok for langvarig overlevelse) og </w:t>
      </w:r>
      <w:r w:rsidR="00CD439F">
        <w:t>«</w:t>
      </w:r>
      <w:proofErr w:type="spellStart"/>
      <w:r w:rsidRPr="00F36883">
        <w:t>connectivity</w:t>
      </w:r>
      <w:proofErr w:type="spellEnd"/>
      <w:r w:rsidR="00CD439F">
        <w:t>»</w:t>
      </w:r>
      <w:r w:rsidRPr="4DA77A36">
        <w:t>.</w:t>
      </w:r>
    </w:p>
    <w:p w14:paraId="27694F27" w14:textId="77777777" w:rsidR="00303661" w:rsidRDefault="00B611BB" w:rsidP="00B611BB">
      <w:r w:rsidRPr="00F36883">
        <w:t>Bestand har blitt definert slik:</w:t>
      </w:r>
    </w:p>
    <w:p w14:paraId="152B36C9" w14:textId="163636D0" w:rsidR="00755B8D" w:rsidRPr="00CD439F" w:rsidRDefault="00CD439F" w:rsidP="00393223">
      <w:pPr>
        <w:pStyle w:val="blokksit"/>
        <w:ind w:left="757"/>
      </w:pPr>
      <w:r>
        <w:t>«</w:t>
      </w:r>
      <w:r w:rsidR="00755B8D" w:rsidRPr="00CD439F">
        <w:t>Artsfrender med innbyrdes kontakt innenfor et avgrenset område. Det er antatt at disse individene har større økologisk og reproduktiv kontakt innbyrdes enn med artsfrender i andre populasjoner.</w:t>
      </w:r>
      <w:r>
        <w:t>»</w:t>
      </w:r>
      <w:r w:rsidRPr="00CD439F">
        <w:rPr>
          <w:rStyle w:val="Fotnotereferanse"/>
        </w:rPr>
        <w:footnoteReference w:id="161"/>
      </w:r>
    </w:p>
    <w:p w14:paraId="553DDDD3" w14:textId="63598A8E" w:rsidR="00303661" w:rsidRDefault="00755B8D" w:rsidP="00755B8D">
      <w:pPr>
        <w:rPr>
          <w:rStyle w:val="Merknadsreferanse"/>
        </w:rPr>
      </w:pPr>
      <w:r w:rsidRPr="00F36883">
        <w:t xml:space="preserve">Begrepet </w:t>
      </w:r>
      <w:r w:rsidR="00CD439F">
        <w:t>«</w:t>
      </w:r>
      <w:r w:rsidRPr="00F36883">
        <w:t>bestand</w:t>
      </w:r>
      <w:r w:rsidR="00CD439F">
        <w:t>»</w:t>
      </w:r>
      <w:r w:rsidRPr="00F36883">
        <w:t xml:space="preserve"> er definert i naturmangfoldloven </w:t>
      </w:r>
      <w:r w:rsidR="00CD439F">
        <w:t>§ </w:t>
      </w:r>
      <w:r w:rsidR="00CD439F" w:rsidRPr="00F36883">
        <w:t>3</w:t>
      </w:r>
      <w:r w:rsidRPr="00F36883">
        <w:t xml:space="preserve"> bokstav b som </w:t>
      </w:r>
      <w:r w:rsidR="00CD439F">
        <w:t>«</w:t>
      </w:r>
      <w:r w:rsidRPr="00F36883">
        <w:t>en gruppe individer av samme art som lever innenfor et avgrenset område til samme tid</w:t>
      </w:r>
      <w:r w:rsidR="00CD439F">
        <w:t>»</w:t>
      </w:r>
      <w:r w:rsidRPr="00F36883">
        <w:t xml:space="preserve">. Begrepet </w:t>
      </w:r>
      <w:r w:rsidR="00CD439F">
        <w:t>«</w:t>
      </w:r>
      <w:r w:rsidRPr="00F36883">
        <w:t>art</w:t>
      </w:r>
      <w:r w:rsidR="00CD439F">
        <w:t>»</w:t>
      </w:r>
      <w:r w:rsidRPr="00F36883">
        <w:t xml:space="preserve"> er i bokstav a definert som </w:t>
      </w:r>
      <w:r w:rsidR="00CD439F">
        <w:t>«</w:t>
      </w:r>
      <w:r w:rsidRPr="00F36883">
        <w:t>etter biologiske kriterier bestemte grupper av levende organismer</w:t>
      </w:r>
      <w:r w:rsidR="00CD439F">
        <w:t>»</w:t>
      </w:r>
      <w:r w:rsidRPr="00F36883">
        <w:t xml:space="preserve">. Høyesterett vurderte </w:t>
      </w:r>
      <w:r>
        <w:t xml:space="preserve">i </w:t>
      </w:r>
      <w:r w:rsidRPr="00CD439F">
        <w:rPr>
          <w:rStyle w:val="kursiv"/>
        </w:rPr>
        <w:t>Ulvefelling I</w:t>
      </w:r>
      <w:r>
        <w:t xml:space="preserve"> </w:t>
      </w:r>
      <w:proofErr w:type="spellStart"/>
      <w:r w:rsidRPr="00F36883">
        <w:t>at</w:t>
      </w:r>
      <w:proofErr w:type="spellEnd"/>
      <w:r w:rsidRPr="00F36883">
        <w:t xml:space="preserve"> samlet peker dette mot et biologisk bestandsbegrep.</w:t>
      </w:r>
      <w:r w:rsidR="00CD439F" w:rsidRPr="00CD439F">
        <w:rPr>
          <w:rStyle w:val="Fotnotereferanse"/>
        </w:rPr>
        <w:footnoteReference w:id="162"/>
      </w:r>
    </w:p>
    <w:p w14:paraId="09EC2D0D" w14:textId="7E18C793" w:rsidR="00755B8D" w:rsidRDefault="00755B8D" w:rsidP="00755B8D">
      <w:r w:rsidRPr="1755F46F">
        <w:t>Bestandene av kongeørn, bjørn, jerv, gaupe og ulv er</w:t>
      </w:r>
      <w:r w:rsidRPr="1755F46F">
        <w:rPr>
          <w:rFonts w:cs="Times New Roman"/>
        </w:rPr>
        <w:t xml:space="preserve"> grenseoverskridende bestander. I rapportering etter Bernkonvensjonen artikkel 9 skal vurderingen av om et unntak </w:t>
      </w:r>
      <w:r w:rsidR="00CD439F">
        <w:rPr>
          <w:rFonts w:cs="Times New Roman"/>
        </w:rPr>
        <w:t>«</w:t>
      </w:r>
      <w:r w:rsidRPr="1755F46F">
        <w:rPr>
          <w:rFonts w:cs="Times New Roman"/>
        </w:rPr>
        <w:t>ikke er til skade for bestandens overlevelse</w:t>
      </w:r>
      <w:r w:rsidR="00CD439F">
        <w:rPr>
          <w:rFonts w:cs="Times New Roman"/>
        </w:rPr>
        <w:t>»</w:t>
      </w:r>
      <w:r w:rsidRPr="1755F46F">
        <w:rPr>
          <w:rFonts w:cs="Times New Roman"/>
        </w:rPr>
        <w:t xml:space="preserve"> skje på bestandsnivå, ikke på nasjonalt nivå </w:t>
      </w:r>
      <w:r w:rsidRPr="1755F46F">
        <w:rPr>
          <w:rFonts w:cs="Times New Roman"/>
        </w:rPr>
        <w:lastRenderedPageBreak/>
        <w:t>alene. For arter med grenseoverskridende utbredelse innebærer dette at bestanden må forstås som en felles bestand som deles med andre kontraherende parter.</w:t>
      </w:r>
    </w:p>
    <w:p w14:paraId="5147BDF7" w14:textId="77777777" w:rsidR="00755B8D" w:rsidRDefault="00755B8D" w:rsidP="00755B8D">
      <w:r w:rsidRPr="6908AAFB">
        <w:rPr>
          <w:rFonts w:cs="Times New Roman"/>
        </w:rPr>
        <w:t>For bjørn, ulv, jerv, gaupe og kongeørn er de forekommende individene i Norge del av felles norsk-svenske (skandinaviske) bestander, med regelmessig utveksling av individer over riksgrensen. Bestandene er derfor biologisk og økologisk sammenhengende, og kan ikke anses som utelukkende norske bestander i Bernkonvensjonens forstand.</w:t>
      </w:r>
    </w:p>
    <w:p w14:paraId="539E63DD" w14:textId="1FE9B673" w:rsidR="00755B8D" w:rsidRDefault="00755B8D" w:rsidP="00755B8D">
      <w:r w:rsidRPr="6908AAFB">
        <w:rPr>
          <w:rFonts w:cs="Times New Roman"/>
        </w:rPr>
        <w:t>Selv om Norge fastsetter nasjonale bestandsmål og treffer forvaltningsvedtak innenfor eget territorium, fritar ikke dette staten fra å ta hensyn til at artene inngår i felles bestander, når unntak fra vernebestemmelsene rapporteres og begrunnes etter artikkel</w:t>
      </w:r>
      <w:r w:rsidR="002D0F89">
        <w:rPr>
          <w:rFonts w:cs="Times New Roman"/>
        </w:rPr>
        <w:t> </w:t>
      </w:r>
      <w:r w:rsidRPr="6908AAFB">
        <w:rPr>
          <w:rFonts w:cs="Times New Roman"/>
        </w:rPr>
        <w:t>9</w:t>
      </w:r>
      <w:r>
        <w:t>.</w:t>
      </w:r>
    </w:p>
    <w:p w14:paraId="68BA6A98" w14:textId="6BE66E45" w:rsidR="00755B8D" w:rsidRDefault="00755B8D" w:rsidP="00755B8D">
      <w:pPr>
        <w:pStyle w:val="Overskrift3"/>
      </w:pPr>
      <w:bookmarkStart w:id="45" w:name="_Toc223433108"/>
      <w:r>
        <w:t>Nærmere om habitatvern</w:t>
      </w:r>
      <w:bookmarkEnd w:id="45"/>
    </w:p>
    <w:p w14:paraId="230A0470" w14:textId="586853E9" w:rsidR="00755B8D" w:rsidRDefault="00755B8D" w:rsidP="00755B8D">
      <w:r w:rsidRPr="00F36883">
        <w:t xml:space="preserve">Bernkonvensjonen </w:t>
      </w:r>
      <w:r>
        <w:t>fastsetter at</w:t>
      </w:r>
      <w:r w:rsidRPr="00F36883">
        <w:t xml:space="preserve"> partene </w:t>
      </w:r>
      <w:r>
        <w:t xml:space="preserve">har </w:t>
      </w:r>
      <w:r w:rsidRPr="00F36883">
        <w:t>en generell plikt til å verne habitater (</w:t>
      </w:r>
      <w:r>
        <w:t>a</w:t>
      </w:r>
      <w:r w:rsidRPr="00F36883">
        <w:t xml:space="preserve">rtikkel 4(1)) ved å </w:t>
      </w:r>
      <w:r w:rsidR="00CD439F">
        <w:t>«</w:t>
      </w:r>
      <w:r w:rsidRPr="00F36883">
        <w:t>treffe egnede og nødvendige lovgivningsmessige og administrative tiltak for å sikre vern av leveområder for de ville flora- og faunaartene</w:t>
      </w:r>
      <w:r w:rsidR="00CD439F">
        <w:t>»</w:t>
      </w:r>
      <w:r w:rsidRPr="00F36883">
        <w:t>.</w:t>
      </w:r>
    </w:p>
    <w:p w14:paraId="14004BD9" w14:textId="36B5378D" w:rsidR="00303661" w:rsidRDefault="00755B8D" w:rsidP="00755B8D">
      <w:r w:rsidRPr="75356CD1">
        <w:t xml:space="preserve">Staten må identifisere viktige habitater, særlig for truede arter, sikre at disse ikke forringes, og gjennomføre effektive tiltak (lovgivning, forvaltning, arealplanlegging). For vern av truede habitater skal Partene </w:t>
      </w:r>
      <w:r w:rsidR="00CD439F">
        <w:t>«</w:t>
      </w:r>
      <w:r w:rsidRPr="75356CD1">
        <w:t>spesielt legge vekt på (</w:t>
      </w:r>
      <w:r w:rsidR="00303661">
        <w:t>…</w:t>
      </w:r>
      <w:r w:rsidRPr="75356CD1">
        <w:t>) å verne truede og sårbare habitattyper</w:t>
      </w:r>
      <w:r w:rsidR="00CD439F">
        <w:t>»</w:t>
      </w:r>
      <w:r w:rsidRPr="75356CD1">
        <w:t xml:space="preserve"> (</w:t>
      </w:r>
      <w:r>
        <w:t>a</w:t>
      </w:r>
      <w:r w:rsidRPr="75356CD1">
        <w:t>rtikkel 4(2)). Dette gjelder spesielt habitater til arter på</w:t>
      </w:r>
      <w:r w:rsidR="00303661">
        <w:t xml:space="preserve"> </w:t>
      </w:r>
      <w:r>
        <w:t>Vedlegg</w:t>
      </w:r>
      <w:r w:rsidRPr="75356CD1">
        <w:t xml:space="preserve"> I (truede planter) og habitater til arter på</w:t>
      </w:r>
      <w:r w:rsidR="00303661">
        <w:t xml:space="preserve"> </w:t>
      </w:r>
      <w:r>
        <w:t>Vedlegg</w:t>
      </w:r>
      <w:r w:rsidRPr="75356CD1">
        <w:t xml:space="preserve"> II (truede dyr). Staten kan derfor ikke kun beskytte individene av en art – den må beskytte selve områdene de trenger for å overleve og reprodusere. Videre oppretter </w:t>
      </w:r>
      <w:r>
        <w:t>k</w:t>
      </w:r>
      <w:r w:rsidRPr="75356CD1">
        <w:t>onvensjonen en plikt til å hindre ødeleggelse av habitater (</w:t>
      </w:r>
      <w:r>
        <w:t>a</w:t>
      </w:r>
      <w:r w:rsidRPr="75356CD1">
        <w:t>rtikkel 6 og 7 – indirekte).</w:t>
      </w:r>
    </w:p>
    <w:p w14:paraId="27FF6BB5" w14:textId="39BEA105" w:rsidR="00755B8D" w:rsidRDefault="00755B8D" w:rsidP="00755B8D">
      <w:r w:rsidRPr="75356CD1">
        <w:t xml:space="preserve">For arter på </w:t>
      </w:r>
      <w:r>
        <w:t>Vedlegg</w:t>
      </w:r>
      <w:r w:rsidRPr="75356CD1">
        <w:t xml:space="preserve"> II</w:t>
      </w:r>
      <w:r w:rsidR="00303661">
        <w:t xml:space="preserve"> </w:t>
      </w:r>
      <w:r w:rsidRPr="75356CD1">
        <w:t xml:space="preserve">(strengt beskyttede arter) og </w:t>
      </w:r>
      <w:r>
        <w:t>Vedlegg</w:t>
      </w:r>
      <w:r w:rsidRPr="75356CD1">
        <w:t xml:space="preserve"> III</w:t>
      </w:r>
      <w:r w:rsidR="00303661">
        <w:t xml:space="preserve"> </w:t>
      </w:r>
      <w:r w:rsidRPr="75356CD1">
        <w:t xml:space="preserve">(beskyttede arter) krever konvensjonen at staten forhindrer ødeleggelse av yngle- og hvileområder, </w:t>
      </w:r>
      <w:proofErr w:type="spellStart"/>
      <w:r w:rsidRPr="75356CD1">
        <w:t>forstyrrelse</w:t>
      </w:r>
      <w:proofErr w:type="spellEnd"/>
      <w:r w:rsidRPr="75356CD1">
        <w:t xml:space="preserve"> som gjør habitater ubrukelige og tiltak som reduserer bestandens overlevelsesevne. Dette omfatter derfor leveområdene både for u</w:t>
      </w:r>
      <w:r w:rsidRPr="00A26104">
        <w:t>lv, bjørn, gaupe, jerv og truede fuglearter som kongeørn.</w:t>
      </w:r>
    </w:p>
    <w:p w14:paraId="14D11C72" w14:textId="77777777" w:rsidR="00303661" w:rsidRDefault="00755B8D" w:rsidP="00755B8D">
      <w:r w:rsidRPr="75356CD1">
        <w:t>Det er videre en plikt til å integrere habitater i arealforvaltning (</w:t>
      </w:r>
      <w:r>
        <w:t>a</w:t>
      </w:r>
      <w:r w:rsidRPr="75356CD1">
        <w:t>rtikkel 3(2)). Staten må ta hensyn til naturvern i planlegging og utviklingspolitikk. Dette betyr at habitatvern må inkluderes i arealplaner. Videre må utbygging vurderes i lys av habitatpåvirkning og miljøhensyn skal vurderes før vedtak fattes.</w:t>
      </w:r>
    </w:p>
    <w:p w14:paraId="50BB4B9A" w14:textId="4059FE7C" w:rsidR="00755B8D" w:rsidRDefault="00755B8D" w:rsidP="00755B8D">
      <w:r w:rsidRPr="647A0C51">
        <w:t>Som en del av gjennomføringen av habitatvern</w:t>
      </w:r>
      <w:r>
        <w:t>,</w:t>
      </w:r>
      <w:r w:rsidRPr="647A0C51">
        <w:t xml:space="preserve"> bør statene legge</w:t>
      </w:r>
      <w:r>
        <w:t xml:space="preserve"> </w:t>
      </w:r>
      <w:r w:rsidRPr="647A0C51">
        <w:t xml:space="preserve">særlig vekt på </w:t>
      </w:r>
      <w:r w:rsidR="00CD439F">
        <w:t>«</w:t>
      </w:r>
      <w:r w:rsidRPr="647A0C51">
        <w:t xml:space="preserve">Areas </w:t>
      </w:r>
      <w:proofErr w:type="spellStart"/>
      <w:r w:rsidRPr="647A0C51">
        <w:t>of</w:t>
      </w:r>
      <w:proofErr w:type="spellEnd"/>
      <w:r w:rsidRPr="647A0C51">
        <w:t xml:space="preserve"> Special Conservation </w:t>
      </w:r>
      <w:proofErr w:type="spellStart"/>
      <w:r w:rsidRPr="647A0C51">
        <w:t>Interest</w:t>
      </w:r>
      <w:proofErr w:type="spellEnd"/>
      <w:r w:rsidR="00CD439F">
        <w:t>»</w:t>
      </w:r>
      <w:r w:rsidRPr="647A0C51">
        <w:t xml:space="preserve"> (ASCI) i </w:t>
      </w:r>
      <w:proofErr w:type="spellStart"/>
      <w:r w:rsidRPr="647A0C51">
        <w:t>Emerald</w:t>
      </w:r>
      <w:proofErr w:type="spellEnd"/>
      <w:r w:rsidRPr="647A0C51">
        <w:t>-nettverket. Bernkonvensjonen har etablert</w:t>
      </w:r>
      <w:r>
        <w:t xml:space="preserve"> dette nettverket</w:t>
      </w:r>
      <w:r w:rsidRPr="647A0C51">
        <w:t xml:space="preserve"> hvor partene skal identifisere viktige habitater for truede arter, </w:t>
      </w:r>
      <w:r w:rsidRPr="647A0C51">
        <w:lastRenderedPageBreak/>
        <w:t>melde disse som</w:t>
      </w:r>
      <w:r w:rsidR="00303661">
        <w:t xml:space="preserve"> </w:t>
      </w:r>
      <w:r w:rsidRPr="647A0C51">
        <w:t xml:space="preserve">ASCI-områder og beskytte dem mot degradering. Norge har meldt inn en rekke </w:t>
      </w:r>
      <w:proofErr w:type="spellStart"/>
      <w:r w:rsidRPr="647A0C51">
        <w:t>Emerald</w:t>
      </w:r>
      <w:proofErr w:type="spellEnd"/>
      <w:r w:rsidRPr="647A0C51">
        <w:t>-områder.</w:t>
      </w:r>
    </w:p>
    <w:p w14:paraId="6479A48C" w14:textId="6046290B" w:rsidR="00755B8D" w:rsidRDefault="00755B8D" w:rsidP="00755B8D">
      <w:r w:rsidRPr="00F36883">
        <w:t>Dersom habitater ikke er i god nok tilstand til å sikre artens gunstige bevaringsstatus, kan ikke staten gjøre unntak etter Bernkonvensjonen</w:t>
      </w:r>
      <w:r>
        <w:t xml:space="preserve"> artikkel 9</w:t>
      </w:r>
      <w:r w:rsidRPr="00F36883">
        <w:t>, som å lovlig åpne for jakt, tillate skadefelling eller gi andre unntak.</w:t>
      </w:r>
      <w:r>
        <w:t xml:space="preserve"> </w:t>
      </w:r>
      <w:r w:rsidRPr="00F36883">
        <w:t xml:space="preserve">Med andre ord </w:t>
      </w:r>
      <w:r>
        <w:t xml:space="preserve">er </w:t>
      </w:r>
      <w:r w:rsidRPr="00F36883">
        <w:t>også habitatvern et</w:t>
      </w:r>
      <w:r w:rsidR="00303661">
        <w:t xml:space="preserve"> </w:t>
      </w:r>
      <w:r w:rsidRPr="00F83855">
        <w:t>vilkår</w:t>
      </w:r>
      <w:r w:rsidR="00303661">
        <w:t xml:space="preserve"> </w:t>
      </w:r>
      <w:r w:rsidRPr="00F36883">
        <w:t>for å bruke unntaksreglene.</w:t>
      </w:r>
    </w:p>
    <w:p w14:paraId="02A455B8" w14:textId="3B8F4D9E" w:rsidR="00201533" w:rsidRDefault="00201533" w:rsidP="00201533">
      <w:pPr>
        <w:pStyle w:val="Overskrift3"/>
      </w:pPr>
      <w:bookmarkStart w:id="46" w:name="_Toc223433109"/>
      <w:r>
        <w:t>Unntak fra pliktene</w:t>
      </w:r>
      <w:bookmarkEnd w:id="46"/>
    </w:p>
    <w:p w14:paraId="629C9A0B" w14:textId="4FDDBA9A" w:rsidR="00201533" w:rsidRDefault="00201533" w:rsidP="00201533">
      <w:pPr>
        <w:pStyle w:val="Overskrift4"/>
      </w:pPr>
      <w:r>
        <w:t>Innledning</w:t>
      </w:r>
    </w:p>
    <w:p w14:paraId="7C307845" w14:textId="671ED124" w:rsidR="00201533" w:rsidRDefault="00201533" w:rsidP="00201533">
      <w:r w:rsidRPr="00F36883">
        <w:t xml:space="preserve">Mens artikkel 6 fastsetter det generelle forbudet mot å felle </w:t>
      </w:r>
      <w:r>
        <w:t xml:space="preserve">bjørn, </w:t>
      </w:r>
      <w:r w:rsidRPr="00F36883">
        <w:t>jerv</w:t>
      </w:r>
      <w:r>
        <w:t>, kongeørn</w:t>
      </w:r>
      <w:r w:rsidRPr="00F36883">
        <w:t xml:space="preserve"> og andre arter som er listet i </w:t>
      </w:r>
      <w:r>
        <w:t>Vedlegg</w:t>
      </w:r>
      <w:r w:rsidRPr="00F36883">
        <w:t xml:space="preserve"> II, og artikkel 7 fastsetter strenge forvaltningskrav for ulv</w:t>
      </w:r>
      <w:r w:rsidR="00463B19">
        <w:t>, gaupe</w:t>
      </w:r>
      <w:r w:rsidRPr="00F36883">
        <w:t xml:space="preserve"> og andre arter som er listet i </w:t>
      </w:r>
      <w:r>
        <w:t>Vedlegg</w:t>
      </w:r>
      <w:r w:rsidRPr="00F36883">
        <w:t xml:space="preserve"> III</w:t>
      </w:r>
      <w:r>
        <w:t>,</w:t>
      </w:r>
      <w:r w:rsidRPr="00F36883">
        <w:t xml:space="preserve"> gir artikkel 9 en unntakshjemmel</w:t>
      </w:r>
      <w:r>
        <w:t xml:space="preserve"> for fangst eller felling av beskyttede arter.</w:t>
      </w:r>
    </w:p>
    <w:p w14:paraId="178EADFA" w14:textId="77777777" w:rsidR="00201533" w:rsidRPr="00F36883" w:rsidRDefault="00201533" w:rsidP="00201533">
      <w:r w:rsidRPr="00F36883">
        <w:t xml:space="preserve">Artikkel 9 fastsetter </w:t>
      </w:r>
      <w:r>
        <w:t xml:space="preserve">tre </w:t>
      </w:r>
      <w:r w:rsidRPr="00F36883">
        <w:t xml:space="preserve">generelle vilkår </w:t>
      </w:r>
      <w:r>
        <w:t xml:space="preserve">som alle </w:t>
      </w:r>
      <w:r w:rsidRPr="00F36883">
        <w:t xml:space="preserve">må være oppfylt </w:t>
      </w:r>
      <w:r>
        <w:t xml:space="preserve">for </w:t>
      </w:r>
      <w:r w:rsidRPr="00F36883">
        <w:t>å gjøre unntak fra vernereglene i konvensjonen, nemlig at fellingen:</w:t>
      </w:r>
    </w:p>
    <w:p w14:paraId="57B51AD3" w14:textId="1B424A8D" w:rsidR="00201533" w:rsidRPr="00F36883" w:rsidRDefault="007B7151" w:rsidP="007B7151">
      <w:pPr>
        <w:pStyle w:val="opplisting"/>
        <w:ind w:left="397"/>
      </w:pPr>
      <w:r w:rsidRPr="00F36883">
        <w:rPr>
          <w:rFonts w:eastAsiaTheme="minorHAnsi" w:cs="Open Sans"/>
        </w:rPr>
        <w:t>1)</w:t>
      </w:r>
      <w:r w:rsidRPr="00F36883">
        <w:rPr>
          <w:rFonts w:eastAsiaTheme="minorHAnsi" w:cs="Open Sans"/>
        </w:rPr>
        <w:tab/>
      </w:r>
      <w:r w:rsidR="00201533">
        <w:t>f</w:t>
      </w:r>
      <w:r w:rsidR="00201533" w:rsidRPr="00F36883">
        <w:t>aller under e</w:t>
      </w:r>
      <w:r w:rsidR="00201533">
        <w:t>t av de listede formålene;</w:t>
      </w:r>
    </w:p>
    <w:p w14:paraId="024E952E" w14:textId="77777777" w:rsidR="00303661" w:rsidRDefault="007B7151" w:rsidP="007B7151">
      <w:pPr>
        <w:pStyle w:val="opplisting"/>
        <w:ind w:left="397"/>
      </w:pPr>
      <w:r w:rsidRPr="00F36883">
        <w:rPr>
          <w:rFonts w:eastAsiaTheme="minorHAnsi" w:cs="Open Sans"/>
        </w:rPr>
        <w:t>2)</w:t>
      </w:r>
      <w:r w:rsidRPr="00F36883">
        <w:rPr>
          <w:rFonts w:eastAsiaTheme="minorHAnsi" w:cs="Open Sans"/>
        </w:rPr>
        <w:tab/>
      </w:r>
      <w:r w:rsidR="00201533">
        <w:t>i</w:t>
      </w:r>
      <w:r w:rsidR="00201533" w:rsidRPr="00F36883">
        <w:t>kke er skadelig for bestandens overlevelse</w:t>
      </w:r>
      <w:r w:rsidR="00201533">
        <w:t>;</w:t>
      </w:r>
      <w:r w:rsidR="00201533" w:rsidRPr="00F36883">
        <w:t xml:space="preserve"> og at det</w:t>
      </w:r>
    </w:p>
    <w:p w14:paraId="0A752138" w14:textId="353D0DFE" w:rsidR="00201533" w:rsidRPr="00F36883" w:rsidRDefault="007B7151" w:rsidP="007B7151">
      <w:pPr>
        <w:pStyle w:val="opplisting"/>
        <w:ind w:left="397"/>
      </w:pPr>
      <w:r w:rsidRPr="00F36883">
        <w:rPr>
          <w:rFonts w:eastAsiaTheme="minorHAnsi" w:cs="Open Sans"/>
        </w:rPr>
        <w:t>3)</w:t>
      </w:r>
      <w:r w:rsidRPr="00F36883">
        <w:rPr>
          <w:rFonts w:eastAsiaTheme="minorHAnsi" w:cs="Open Sans"/>
        </w:rPr>
        <w:tab/>
      </w:r>
      <w:r w:rsidR="00201533">
        <w:t>i</w:t>
      </w:r>
      <w:r w:rsidR="00201533" w:rsidRPr="00F36883">
        <w:t>kke finnes annen tilfredsstillende løsning</w:t>
      </w:r>
      <w:r w:rsidR="00201533">
        <w:t>.</w:t>
      </w:r>
    </w:p>
    <w:p w14:paraId="18AE1D1F" w14:textId="407A2C69" w:rsidR="00201533" w:rsidRPr="00CD439F" w:rsidRDefault="00201533" w:rsidP="00201533">
      <w:pPr>
        <w:rPr>
          <w:rStyle w:val="kursiv"/>
        </w:rPr>
      </w:pPr>
      <w:r w:rsidRPr="02645A7F">
        <w:rPr>
          <w:rFonts w:cs="Times New Roman"/>
          <w:color w:val="000000" w:themeColor="text1"/>
        </w:rPr>
        <w:t>Den Permanente Komiteen</w:t>
      </w:r>
      <w:r>
        <w:rPr>
          <w:rFonts w:cs="Times New Roman"/>
          <w:color w:val="000000" w:themeColor="text1"/>
        </w:rPr>
        <w:t xml:space="preserve"> har</w:t>
      </w:r>
      <w:r w:rsidRPr="02645A7F">
        <w:rPr>
          <w:rFonts w:cs="Times New Roman"/>
          <w:color w:val="000000" w:themeColor="text1"/>
        </w:rPr>
        <w:t xml:space="preserve"> understrek</w:t>
      </w:r>
      <w:r>
        <w:rPr>
          <w:rFonts w:cs="Times New Roman"/>
          <w:color w:val="000000" w:themeColor="text1"/>
        </w:rPr>
        <w:t>et</w:t>
      </w:r>
      <w:r w:rsidRPr="02645A7F">
        <w:rPr>
          <w:rFonts w:cs="Times New Roman"/>
          <w:color w:val="000000" w:themeColor="text1"/>
        </w:rPr>
        <w:t xml:space="preserve"> at art</w:t>
      </w:r>
      <w:r>
        <w:rPr>
          <w:rFonts w:cs="Times New Roman"/>
          <w:color w:val="000000" w:themeColor="text1"/>
        </w:rPr>
        <w:t>ikkel</w:t>
      </w:r>
      <w:r w:rsidRPr="02645A7F">
        <w:rPr>
          <w:rFonts w:cs="Times New Roman"/>
          <w:color w:val="000000" w:themeColor="text1"/>
        </w:rPr>
        <w:t xml:space="preserve"> 9 er et unntak og må tolkes strengt og restriktivt</w:t>
      </w:r>
      <w:r w:rsidR="00CD439F" w:rsidRPr="00CD439F">
        <w:rPr>
          <w:rStyle w:val="Fotnotereferanse"/>
        </w:rPr>
        <w:footnoteReference w:id="163"/>
      </w:r>
      <w:r w:rsidR="00CD439F" w:rsidRPr="00CD439F">
        <w:rPr>
          <w:rStyle w:val="skrift-hevet"/>
        </w:rPr>
        <w:t xml:space="preserve"> </w:t>
      </w:r>
      <w:r w:rsidRPr="02645A7F">
        <w:rPr>
          <w:rFonts w:cs="Times New Roman"/>
          <w:color w:val="000000" w:themeColor="text1"/>
        </w:rPr>
        <w:t xml:space="preserve">og </w:t>
      </w:r>
      <w:r>
        <w:rPr>
          <w:rFonts w:cs="Times New Roman"/>
          <w:color w:val="000000" w:themeColor="text1"/>
        </w:rPr>
        <w:t xml:space="preserve">har </w:t>
      </w:r>
      <w:r w:rsidRPr="02645A7F">
        <w:rPr>
          <w:rFonts w:cs="Times New Roman"/>
          <w:color w:val="000000" w:themeColor="text1"/>
        </w:rPr>
        <w:t xml:space="preserve">presisert at </w:t>
      </w:r>
      <w:r>
        <w:rPr>
          <w:rFonts w:cs="Times New Roman"/>
          <w:color w:val="000000" w:themeColor="text1"/>
        </w:rPr>
        <w:t>unntakene bare</w:t>
      </w:r>
      <w:r w:rsidRPr="02645A7F">
        <w:rPr>
          <w:rFonts w:cs="Times New Roman"/>
          <w:color w:val="000000" w:themeColor="text1"/>
        </w:rPr>
        <w:t xml:space="preserve"> kan benyttes når vilkårene er </w:t>
      </w:r>
      <w:r w:rsidRPr="00CB204A">
        <w:rPr>
          <w:rFonts w:cs="Times New Roman"/>
          <w:color w:val="000000" w:themeColor="text1"/>
        </w:rPr>
        <w:t>strengt oppfylt</w:t>
      </w:r>
      <w:r w:rsidRPr="00CD439F">
        <w:rPr>
          <w:rStyle w:val="kursiv"/>
        </w:rPr>
        <w:t>.</w:t>
      </w:r>
      <w:r w:rsidR="00CD439F" w:rsidRPr="00CD439F">
        <w:rPr>
          <w:rStyle w:val="Fotnotereferanse"/>
        </w:rPr>
        <w:footnoteReference w:id="164"/>
      </w:r>
    </w:p>
    <w:p w14:paraId="52FA3967" w14:textId="600AC82C" w:rsidR="00201533" w:rsidRPr="00CD439F" w:rsidRDefault="00201533" w:rsidP="00201533">
      <w:pPr>
        <w:rPr>
          <w:rStyle w:val="kursiv"/>
        </w:rPr>
      </w:pPr>
      <w:r>
        <w:t>I det følgende går vi gjennom de to viktigste unntaksformålene, nemlig:</w:t>
      </w:r>
    </w:p>
    <w:p w14:paraId="64790EE4" w14:textId="77777777" w:rsidR="00201533" w:rsidRDefault="00201533" w:rsidP="00DF2BA4">
      <w:pPr>
        <w:pStyle w:val="Listeavsnitt"/>
        <w:numPr>
          <w:ilvl w:val="0"/>
          <w:numId w:val="28"/>
        </w:numPr>
        <w:tabs>
          <w:tab w:val="clear" w:pos="397"/>
        </w:tabs>
        <w:spacing w:line="240" w:lineRule="auto"/>
        <w:contextualSpacing/>
      </w:pPr>
      <w:r>
        <w:t>f</w:t>
      </w:r>
      <w:r w:rsidRPr="005F3A15">
        <w:t>orhindre alvorlig skade på avlinger, husdyr, skog, fiskerier, vann og andre former for eiendom</w:t>
      </w:r>
      <w:r>
        <w:t>; og</w:t>
      </w:r>
    </w:p>
    <w:p w14:paraId="17BD01CF" w14:textId="02CC0554" w:rsidR="00201533" w:rsidRDefault="00201533" w:rsidP="00DF2BA4">
      <w:pPr>
        <w:pStyle w:val="Listeavsnitt"/>
        <w:numPr>
          <w:ilvl w:val="0"/>
          <w:numId w:val="28"/>
        </w:numPr>
        <w:tabs>
          <w:tab w:val="clear" w:pos="397"/>
        </w:tabs>
        <w:spacing w:line="240" w:lineRule="auto"/>
        <w:contextualSpacing/>
      </w:pPr>
      <w:r>
        <w:t>b</w:t>
      </w:r>
      <w:r w:rsidRPr="00F47083">
        <w:t>eskyttelse av offentlig helse og sikkerhet, luftsikkerhet og andre offentlige interesser av vesentlig betydning [</w:t>
      </w:r>
      <w:r w:rsidR="00CD439F">
        <w:t>«</w:t>
      </w:r>
      <w:proofErr w:type="spellStart"/>
      <w:r w:rsidRPr="00F47083">
        <w:t>overrriding</w:t>
      </w:r>
      <w:proofErr w:type="spellEnd"/>
      <w:r w:rsidRPr="00F47083">
        <w:t xml:space="preserve"> </w:t>
      </w:r>
      <w:proofErr w:type="spellStart"/>
      <w:r w:rsidRPr="00F47083">
        <w:t>public</w:t>
      </w:r>
      <w:proofErr w:type="spellEnd"/>
      <w:r w:rsidRPr="00F47083">
        <w:t xml:space="preserve"> </w:t>
      </w:r>
      <w:proofErr w:type="spellStart"/>
      <w:r w:rsidRPr="00F47083">
        <w:t>interests</w:t>
      </w:r>
      <w:proofErr w:type="spellEnd"/>
      <w:r w:rsidR="00CD439F">
        <w:t>»</w:t>
      </w:r>
      <w:r w:rsidRPr="00F47083">
        <w:t>]</w:t>
      </w:r>
      <w:r>
        <w:t>.</w:t>
      </w:r>
    </w:p>
    <w:p w14:paraId="57C14FE7" w14:textId="25AA77A7" w:rsidR="00201533" w:rsidRDefault="00201533" w:rsidP="00201533">
      <w:r>
        <w:t>Deretter behandles kravene om at uttaket i</w:t>
      </w:r>
      <w:r w:rsidRPr="00F36883">
        <w:t xml:space="preserve">kke </w:t>
      </w:r>
      <w:r>
        <w:t>må være</w:t>
      </w:r>
      <w:r w:rsidRPr="00F36883">
        <w:t xml:space="preserve"> skadelig for bestandens overlevelse og at det </w:t>
      </w:r>
      <w:r>
        <w:t>i</w:t>
      </w:r>
      <w:r w:rsidRPr="00F36883">
        <w:t>kke finnes annen tilfredsstillende løsning</w:t>
      </w:r>
      <w:r>
        <w:t>.</w:t>
      </w:r>
    </w:p>
    <w:p w14:paraId="4108F2BF" w14:textId="7CDACF8E" w:rsidR="005719D3" w:rsidRDefault="005719D3" w:rsidP="005719D3">
      <w:pPr>
        <w:pStyle w:val="Overskrift4"/>
      </w:pPr>
      <w:r>
        <w:lastRenderedPageBreak/>
        <w:t>Formålene med uttak av rovvilt</w:t>
      </w:r>
    </w:p>
    <w:p w14:paraId="0E7843C6" w14:textId="0B7AC4B5" w:rsidR="005719D3" w:rsidRDefault="000E6514" w:rsidP="000E6514">
      <w:pPr>
        <w:pStyle w:val="Overskrift5"/>
      </w:pPr>
      <w:r>
        <w:t>Forhindre alvorlig skade på avlinger, husdyr, skog, fiskerier, vann og andre former for eiendom</w:t>
      </w:r>
    </w:p>
    <w:p w14:paraId="0583B9B2" w14:textId="77777777" w:rsidR="000E6514" w:rsidRDefault="000E6514" w:rsidP="000E6514">
      <w:r w:rsidRPr="00F36883">
        <w:t xml:space="preserve">Artikkel 9 </w:t>
      </w:r>
      <w:r>
        <w:t>tillater</w:t>
      </w:r>
      <w:r w:rsidRPr="00F36883">
        <w:t xml:space="preserve"> at unntak</w:t>
      </w:r>
      <w:r>
        <w:t xml:space="preserve"> fra felling</w:t>
      </w:r>
      <w:r w:rsidRPr="00F36883">
        <w:t xml:space="preserve"> </w:t>
      </w:r>
      <w:r>
        <w:t>kan</w:t>
      </w:r>
      <w:r w:rsidRPr="00F36883">
        <w:t xml:space="preserve"> gjøres for å avverge alvorlig skade på eiendom, inkludert husdyr. Dette omfatter også tamrein. Etter ordlyden i artikkel 9 kreves det imidlertid ikke at skade allerede har skjedd før felling foretas. Det er altså tilstrekkelig at fellingen skjer preventivt, for å avverge en fare som truer.</w:t>
      </w:r>
    </w:p>
    <w:p w14:paraId="587917FB" w14:textId="79DD1DD5" w:rsidR="00303661" w:rsidRDefault="000E6514" w:rsidP="000E6514">
      <w:r w:rsidRPr="00F36883">
        <w:t xml:space="preserve">I begrepet </w:t>
      </w:r>
      <w:r w:rsidR="00CD439F">
        <w:t>«</w:t>
      </w:r>
      <w:r w:rsidRPr="00F36883">
        <w:t>avverge</w:t>
      </w:r>
      <w:r w:rsidR="00CD439F">
        <w:t>»</w:t>
      </w:r>
      <w:r w:rsidRPr="00F36883">
        <w:t xml:space="preserve"> ligger at fellingen kan skje som et forebyggende tiltak.</w:t>
      </w:r>
      <w:r w:rsidR="00CD439F" w:rsidRPr="00CD439F">
        <w:rPr>
          <w:rStyle w:val="Fotnotereferanse"/>
        </w:rPr>
        <w:footnoteReference w:id="165"/>
      </w:r>
      <w:r w:rsidRPr="00F36883">
        <w:t xml:space="preserve"> I </w:t>
      </w:r>
      <w:r w:rsidRPr="00CD439F">
        <w:rPr>
          <w:rStyle w:val="kursiv"/>
        </w:rPr>
        <w:t>Ulvefelling I</w:t>
      </w:r>
      <w:r>
        <w:t xml:space="preserve"> (2021)</w:t>
      </w:r>
      <w:r w:rsidRPr="00F36883">
        <w:t xml:space="preserve"> konkluderte Høyesterett med at i lys av formuleringen i Bernkonvensjonen artikkel 9 nr. 1 andre strekpunkt – </w:t>
      </w:r>
      <w:r w:rsidR="00CD439F">
        <w:t>«</w:t>
      </w:r>
      <w:proofErr w:type="spellStart"/>
      <w:r w:rsidRPr="00F36883">
        <w:t>prevent</w:t>
      </w:r>
      <w:proofErr w:type="spellEnd"/>
      <w:r w:rsidRPr="00F36883">
        <w:t xml:space="preserve"> </w:t>
      </w:r>
      <w:proofErr w:type="spellStart"/>
      <w:r w:rsidRPr="00F36883">
        <w:t>serious</w:t>
      </w:r>
      <w:proofErr w:type="spellEnd"/>
      <w:r w:rsidRPr="00F36883">
        <w:t xml:space="preserve"> </w:t>
      </w:r>
      <w:proofErr w:type="spellStart"/>
      <w:r w:rsidRPr="00F36883">
        <w:t>damage</w:t>
      </w:r>
      <w:proofErr w:type="spellEnd"/>
      <w:r w:rsidR="00CD439F">
        <w:t>»</w:t>
      </w:r>
      <w:r w:rsidRPr="00F36883">
        <w:t xml:space="preserve"> – må det stilles visse minstekrav til skadens alvorlighet og omfang.</w:t>
      </w:r>
      <w:r w:rsidR="00CD439F" w:rsidRPr="00CD439F">
        <w:rPr>
          <w:rStyle w:val="Fotnotereferanse"/>
        </w:rPr>
        <w:footnoteReference w:id="166"/>
      </w:r>
      <w:r w:rsidRPr="00F36883">
        <w:t xml:space="preserve"> Det er etter ordlyden ikke noe krav om at det må foretas en individuell vurdering av om det enkelte rovdyr eller den enkelte familie innebærer en fare for alvorlig skade.</w:t>
      </w:r>
    </w:p>
    <w:p w14:paraId="268FCAA2" w14:textId="061464AF" w:rsidR="000E6514" w:rsidRDefault="000E6514" w:rsidP="000E6514">
      <w:r w:rsidRPr="00F36883">
        <w:t>Opprettelse av forvaltningssoner hvor etablering av revirmarkerende par og familiegrupper ikke aksepteres utenfor området kan være et hensiktsmessig tiltak s</w:t>
      </w:r>
      <w:r>
        <w:t>å</w:t>
      </w:r>
      <w:r w:rsidRPr="00F36883">
        <w:t xml:space="preserve"> lenge bestanden er over et minimumsniv</w:t>
      </w:r>
      <w:r>
        <w:t>å</w:t>
      </w:r>
      <w:r w:rsidRPr="00F36883">
        <w:t xml:space="preserve">. Naturmangfoldloven </w:t>
      </w:r>
      <w:r w:rsidR="00CD439F">
        <w:t>§ </w:t>
      </w:r>
      <w:r w:rsidR="00CD439F" w:rsidRPr="00F36883">
        <w:t>1</w:t>
      </w:r>
      <w:r w:rsidRPr="00F36883">
        <w:t>8 første ledd bokstav b bygger derfor på at etableringen av forvaltningssoner i seg selv</w:t>
      </w:r>
      <w:r w:rsidRPr="00CD439F">
        <w:rPr>
          <w:rStyle w:val="kursiv"/>
        </w:rPr>
        <w:t xml:space="preserve"> </w:t>
      </w:r>
      <w:r w:rsidRPr="00F36883">
        <w:t>utgjør en interesseavveining før vedtak treffes. En konsekvens av å følge en differensiert forvaltningsstrategi vil være at skadene i hovedsak vil oppstå utenfor sonen. Derved vil terskelen for skadefelling i realiteten bli lavere utenfor sonen enn innenfor.</w:t>
      </w:r>
      <w:r w:rsidR="00CD439F" w:rsidRPr="00CD439F">
        <w:rPr>
          <w:rStyle w:val="Fotnotereferanse"/>
        </w:rPr>
        <w:footnoteReference w:id="167"/>
      </w:r>
    </w:p>
    <w:p w14:paraId="031C14A7" w14:textId="484DF2E2" w:rsidR="000E6514" w:rsidRDefault="000E6514" w:rsidP="000E6514">
      <w:r w:rsidRPr="00F36883">
        <w:t xml:space="preserve">Selv om </w:t>
      </w:r>
      <w:r>
        <w:t>e</w:t>
      </w:r>
      <w:r w:rsidRPr="00F36883">
        <w:t xml:space="preserve">n slik forvaltningsstrategi i utgangspunktet </w:t>
      </w:r>
      <w:r>
        <w:t xml:space="preserve">er </w:t>
      </w:r>
      <w:r w:rsidRPr="00F36883">
        <w:t xml:space="preserve">akseptert av Den Permanente Komite i </w:t>
      </w:r>
      <w:proofErr w:type="spellStart"/>
      <w:r w:rsidRPr="00F36883">
        <w:t>Recommendation</w:t>
      </w:r>
      <w:proofErr w:type="spellEnd"/>
      <w:r w:rsidRPr="00F36883">
        <w:t xml:space="preserve"> No. 82 (2000), har komiteen i det siste stilt spørsmål ved praktikabiliteten. I beiteområder som grenser til rovdyrsoner oppstår ofte konflikter p</w:t>
      </w:r>
      <w:r>
        <w:t xml:space="preserve">å </w:t>
      </w:r>
      <w:r w:rsidRPr="00F36883">
        <w:t>g</w:t>
      </w:r>
      <w:r>
        <w:t xml:space="preserve">runn </w:t>
      </w:r>
      <w:r w:rsidRPr="00F36883">
        <w:t>a</w:t>
      </w:r>
      <w:r>
        <w:t>v</w:t>
      </w:r>
      <w:r w:rsidRPr="00F36883">
        <w:t xml:space="preserve"> rovdyrtap, særlig hvor beitedyrene ikke gjetes eller andre forebyggende tiltak ikke foretas. Komiteen har derfor foreslått å gradvis bevege seg bort fra rovdyrsoner til andre tiltak som øker sameksistens (</w:t>
      </w:r>
      <w:r w:rsidR="00CD439F">
        <w:t>«</w:t>
      </w:r>
      <w:r w:rsidRPr="00F36883">
        <w:t>co-</w:t>
      </w:r>
      <w:proofErr w:type="spellStart"/>
      <w:r w:rsidRPr="00F36883">
        <w:t>existence</w:t>
      </w:r>
      <w:proofErr w:type="spellEnd"/>
      <w:r w:rsidR="00CD439F">
        <w:t>»</w:t>
      </w:r>
      <w:r w:rsidRPr="00F36883">
        <w:t>.</w:t>
      </w:r>
      <w:r w:rsidR="00303661" w:rsidRPr="00F36883">
        <w:t>)</w:t>
      </w:r>
      <w:r w:rsidR="00CD439F" w:rsidRPr="00CD439F">
        <w:rPr>
          <w:rStyle w:val="Fotnotereferanse"/>
        </w:rPr>
        <w:footnoteReference w:id="168"/>
      </w:r>
    </w:p>
    <w:p w14:paraId="4AD670DB" w14:textId="1CFBCE0A" w:rsidR="000E6514" w:rsidRDefault="000E6514" w:rsidP="000E6514">
      <w:r w:rsidRPr="00F36883">
        <w:t xml:space="preserve">Hva som skal anses som alvorlig skade er søkt presisert av Den Permanente Komite i Resolution No. 2 (1993) </w:t>
      </w:r>
      <w:proofErr w:type="spellStart"/>
      <w:r w:rsidRPr="00F36883">
        <w:t>on</w:t>
      </w:r>
      <w:proofErr w:type="spellEnd"/>
      <w:r w:rsidRPr="00F36883">
        <w:t xml:space="preserve"> </w:t>
      </w:r>
      <w:proofErr w:type="spellStart"/>
      <w:r w:rsidRPr="00F36883">
        <w:t>the</w:t>
      </w:r>
      <w:proofErr w:type="spellEnd"/>
      <w:r w:rsidRPr="00F36883">
        <w:t xml:space="preserve"> </w:t>
      </w:r>
      <w:proofErr w:type="spellStart"/>
      <w:r w:rsidRPr="00F36883">
        <w:t>scope</w:t>
      </w:r>
      <w:proofErr w:type="spellEnd"/>
      <w:r w:rsidRPr="00F36883">
        <w:t xml:space="preserve"> </w:t>
      </w:r>
      <w:proofErr w:type="spellStart"/>
      <w:r w:rsidRPr="00F36883">
        <w:t>of</w:t>
      </w:r>
      <w:proofErr w:type="spellEnd"/>
      <w:r w:rsidRPr="00F36883">
        <w:t xml:space="preserve"> </w:t>
      </w:r>
      <w:proofErr w:type="spellStart"/>
      <w:r w:rsidRPr="00F36883">
        <w:t>articles</w:t>
      </w:r>
      <w:proofErr w:type="spellEnd"/>
      <w:r w:rsidRPr="00F36883">
        <w:t xml:space="preserve"> 8 and 9 </w:t>
      </w:r>
      <w:proofErr w:type="spellStart"/>
      <w:r w:rsidRPr="00F36883">
        <w:t>of</w:t>
      </w:r>
      <w:proofErr w:type="spellEnd"/>
      <w:r w:rsidRPr="00F36883">
        <w:t xml:space="preserve"> </w:t>
      </w:r>
      <w:proofErr w:type="spellStart"/>
      <w:r w:rsidRPr="00F36883">
        <w:t>the</w:t>
      </w:r>
      <w:proofErr w:type="spellEnd"/>
      <w:r w:rsidRPr="00F36883">
        <w:t xml:space="preserve"> Bern Convention. Som nevnt ovenfor</w:t>
      </w:r>
      <w:r>
        <w:t>,</w:t>
      </w:r>
      <w:r w:rsidRPr="00F36883">
        <w:t xml:space="preserve"> er det grunn til å tillegge Den Permanente Komites vedtak om tolkning av konvensjonen betydelig vekt, selv om de ikke kan anses som en bindende tolkning. I </w:t>
      </w:r>
      <w:r w:rsidRPr="00F36883">
        <w:lastRenderedPageBreak/>
        <w:t>preambele</w:t>
      </w:r>
      <w:r>
        <w:t>t</w:t>
      </w:r>
      <w:r w:rsidRPr="00F36883">
        <w:t xml:space="preserve"> til dette vedtaket gis det også uttrykk for at vedtaket ikke er uttrykk for en bindende tolkning:</w:t>
      </w:r>
    </w:p>
    <w:p w14:paraId="439609AE" w14:textId="6F952E56" w:rsidR="000E6514" w:rsidRPr="00CD439F" w:rsidRDefault="00CD439F" w:rsidP="00DD2433">
      <w:pPr>
        <w:pStyle w:val="blokksit"/>
        <w:ind w:left="757"/>
        <w:rPr>
          <w:lang w:val="en-GB"/>
        </w:rPr>
      </w:pPr>
      <w:r>
        <w:rPr>
          <w:lang w:val="en-GB"/>
        </w:rPr>
        <w:t>«</w:t>
      </w:r>
      <w:r w:rsidR="000E6514" w:rsidRPr="00CD439F">
        <w:rPr>
          <w:lang w:val="en-GB"/>
        </w:rPr>
        <w:t>RECOMMENDS that the Contracting Parties bring the appended document, which contains useful information for interpreting the scope of Article 9, to the attention of all those responsible for applying and interpreting the Convention in their respective countries;</w:t>
      </w:r>
      <w:r>
        <w:rPr>
          <w:lang w:val="en-GB"/>
        </w:rPr>
        <w:t>»</w:t>
      </w:r>
    </w:p>
    <w:p w14:paraId="637B03D4" w14:textId="77777777" w:rsidR="000E6514" w:rsidRDefault="000E6514" w:rsidP="000E6514">
      <w:pPr>
        <w:rPr>
          <w:lang w:val="en-US"/>
        </w:rPr>
      </w:pPr>
      <w:r w:rsidRPr="00F36883">
        <w:rPr>
          <w:lang w:val="en-US"/>
        </w:rPr>
        <w:t xml:space="preserve">Det </w:t>
      </w:r>
      <w:proofErr w:type="spellStart"/>
      <w:r w:rsidRPr="00F36883">
        <w:rPr>
          <w:lang w:val="en-US"/>
        </w:rPr>
        <w:t>heter</w:t>
      </w:r>
      <w:proofErr w:type="spellEnd"/>
      <w:r w:rsidRPr="00F36883">
        <w:rPr>
          <w:lang w:val="en-US"/>
        </w:rPr>
        <w:t xml:space="preserve"> </w:t>
      </w:r>
      <w:proofErr w:type="spellStart"/>
      <w:r w:rsidRPr="00F36883">
        <w:rPr>
          <w:lang w:val="en-US"/>
        </w:rPr>
        <w:t>i</w:t>
      </w:r>
      <w:proofErr w:type="spellEnd"/>
      <w:r w:rsidRPr="00F36883">
        <w:rPr>
          <w:lang w:val="en-US"/>
        </w:rPr>
        <w:t xml:space="preserve"> Resolution No. 2:</w:t>
      </w:r>
    </w:p>
    <w:p w14:paraId="0D18EC80" w14:textId="65F18C3C" w:rsidR="000E6514" w:rsidRPr="00CD439F" w:rsidRDefault="00CD439F" w:rsidP="00DD2433">
      <w:pPr>
        <w:pStyle w:val="blokksit"/>
        <w:ind w:left="757"/>
        <w:rPr>
          <w:lang w:val="en-GB"/>
        </w:rPr>
      </w:pPr>
      <w:r>
        <w:rPr>
          <w:lang w:val="en-GB"/>
        </w:rPr>
        <w:t>«</w:t>
      </w:r>
      <w:r w:rsidR="000E6514" w:rsidRPr="00CD439F">
        <w:rPr>
          <w:lang w:val="en-GB"/>
        </w:rPr>
        <w:t xml:space="preserve">16. A further worrying question that arises in connection with Article 9, paragraph 1, second sub-paragraph, is how to interpret </w:t>
      </w:r>
      <w:r>
        <w:rPr>
          <w:lang w:val="en-GB"/>
        </w:rPr>
        <w:t>«</w:t>
      </w:r>
      <w:r w:rsidR="000E6514" w:rsidRPr="00CD439F">
        <w:rPr>
          <w:lang w:val="en-GB"/>
        </w:rPr>
        <w:t>serious damage</w:t>
      </w:r>
      <w:r>
        <w:rPr>
          <w:lang w:val="en-GB"/>
        </w:rPr>
        <w:t>»</w:t>
      </w:r>
      <w:r w:rsidR="000E6514" w:rsidRPr="00CD439F">
        <w:rPr>
          <w:lang w:val="en-GB"/>
        </w:rPr>
        <w:t xml:space="preserve"> (to crops, livestock, forests, fisheries, water and other forms of property). If </w:t>
      </w:r>
      <w:r>
        <w:rPr>
          <w:lang w:val="en-GB"/>
        </w:rPr>
        <w:t>«</w:t>
      </w:r>
      <w:r w:rsidR="000E6514" w:rsidRPr="00CD439F">
        <w:rPr>
          <w:lang w:val="en-GB"/>
        </w:rPr>
        <w:t>damage</w:t>
      </w:r>
      <w:r>
        <w:rPr>
          <w:lang w:val="en-GB"/>
        </w:rPr>
        <w:t>»</w:t>
      </w:r>
      <w:r w:rsidR="000E6514" w:rsidRPr="00CD439F">
        <w:rPr>
          <w:lang w:val="en-GB"/>
        </w:rPr>
        <w:t xml:space="preserve"> is taken to mean prejudice sustained by a person as a result of damage caused to those items of property that are listed in Article 9, paragraph 1, second sub-paragraph, and it seems legitimate to do so, then the adjective </w:t>
      </w:r>
      <w:r>
        <w:rPr>
          <w:lang w:val="en-GB"/>
        </w:rPr>
        <w:t>«</w:t>
      </w:r>
      <w:r w:rsidR="000E6514" w:rsidRPr="00CD439F">
        <w:rPr>
          <w:lang w:val="en-GB"/>
        </w:rPr>
        <w:t>serious</w:t>
      </w:r>
      <w:r>
        <w:rPr>
          <w:lang w:val="en-GB"/>
        </w:rPr>
        <w:t>»</w:t>
      </w:r>
      <w:r w:rsidR="000E6514" w:rsidRPr="00CD439F">
        <w:rPr>
          <w:lang w:val="en-GB"/>
        </w:rPr>
        <w:t xml:space="preserve"> must be evaluated in terms of the intensity and duration of the prejudicial action, the direct and indirect links between that action and the results, and the scale of the destruction or </w:t>
      </w:r>
      <w:proofErr w:type="spellStart"/>
      <w:r w:rsidR="000E6514" w:rsidRPr="00CD439F">
        <w:rPr>
          <w:lang w:val="en-GB"/>
        </w:rPr>
        <w:t>deterioriation</w:t>
      </w:r>
      <w:proofErr w:type="spellEnd"/>
      <w:r w:rsidR="000E6514" w:rsidRPr="00CD439F">
        <w:rPr>
          <w:lang w:val="en-GB"/>
        </w:rPr>
        <w:t xml:space="preserve"> committed. </w:t>
      </w:r>
      <w:r>
        <w:rPr>
          <w:lang w:val="en-GB"/>
        </w:rPr>
        <w:t>«</w:t>
      </w:r>
      <w:r w:rsidR="000E6514" w:rsidRPr="00CD439F">
        <w:rPr>
          <w:lang w:val="en-GB"/>
        </w:rPr>
        <w:t>Serious</w:t>
      </w:r>
      <w:r>
        <w:rPr>
          <w:lang w:val="en-GB"/>
        </w:rPr>
        <w:t>»</w:t>
      </w:r>
      <w:r w:rsidR="000E6514" w:rsidRPr="00CD439F">
        <w:rPr>
          <w:lang w:val="en-GB"/>
        </w:rPr>
        <w:t xml:space="preserve"> does not, of course, necessarily mean that the damage was widespread: in some cases the item of property affected may cover only a limited geographical area (for example, a region), or even a particular farm or group of farms. However, in the latter case, the exceptions must be proportional to the damage suffered.</w:t>
      </w:r>
      <w:r>
        <w:rPr>
          <w:lang w:val="en-GB"/>
        </w:rPr>
        <w:t>»</w:t>
      </w:r>
    </w:p>
    <w:p w14:paraId="02DE220B" w14:textId="77777777" w:rsidR="00303661" w:rsidRDefault="000E6514" w:rsidP="000E6514">
      <w:pPr>
        <w:rPr>
          <w:lang w:val="en-US"/>
        </w:rPr>
      </w:pPr>
      <w:r w:rsidRPr="00693A45">
        <w:rPr>
          <w:lang w:val="en-US"/>
        </w:rPr>
        <w:t xml:space="preserve">Det </w:t>
      </w:r>
      <w:proofErr w:type="spellStart"/>
      <w:r w:rsidRPr="00693A45">
        <w:rPr>
          <w:lang w:val="en-US"/>
        </w:rPr>
        <w:t>bør</w:t>
      </w:r>
      <w:proofErr w:type="spellEnd"/>
      <w:r w:rsidRPr="00693A45">
        <w:rPr>
          <w:lang w:val="en-US"/>
        </w:rPr>
        <w:t xml:space="preserve"> </w:t>
      </w:r>
      <w:proofErr w:type="spellStart"/>
      <w:r w:rsidRPr="00693A45">
        <w:rPr>
          <w:lang w:val="en-US"/>
        </w:rPr>
        <w:t>altså</w:t>
      </w:r>
      <w:proofErr w:type="spellEnd"/>
      <w:r w:rsidRPr="00693A45">
        <w:rPr>
          <w:lang w:val="en-US"/>
        </w:rPr>
        <w:t xml:space="preserve"> </w:t>
      </w:r>
      <w:proofErr w:type="spellStart"/>
      <w:r w:rsidRPr="00693A45">
        <w:rPr>
          <w:lang w:val="en-US"/>
        </w:rPr>
        <w:t>legges</w:t>
      </w:r>
      <w:proofErr w:type="spellEnd"/>
      <w:r w:rsidRPr="00693A45">
        <w:rPr>
          <w:lang w:val="en-US"/>
        </w:rPr>
        <w:t xml:space="preserve"> </w:t>
      </w:r>
      <w:proofErr w:type="spellStart"/>
      <w:r w:rsidRPr="00693A45">
        <w:rPr>
          <w:lang w:val="en-US"/>
        </w:rPr>
        <w:t>vekt</w:t>
      </w:r>
      <w:proofErr w:type="spellEnd"/>
      <w:r w:rsidRPr="00693A45">
        <w:rPr>
          <w:lang w:val="en-US"/>
        </w:rPr>
        <w:t xml:space="preserve"> </w:t>
      </w:r>
      <w:proofErr w:type="spellStart"/>
      <w:r w:rsidRPr="00693A45">
        <w:rPr>
          <w:lang w:val="en-US"/>
        </w:rPr>
        <w:t>på</w:t>
      </w:r>
      <w:proofErr w:type="spellEnd"/>
      <w:r w:rsidRPr="00693A45">
        <w:rPr>
          <w:lang w:val="en-US"/>
        </w:rPr>
        <w:t xml:space="preserve"> </w:t>
      </w:r>
      <w:proofErr w:type="spellStart"/>
      <w:r w:rsidRPr="00693A45">
        <w:rPr>
          <w:lang w:val="en-US"/>
        </w:rPr>
        <w:t>skadens</w:t>
      </w:r>
      <w:proofErr w:type="spellEnd"/>
      <w:r w:rsidRPr="00693A45">
        <w:rPr>
          <w:lang w:val="en-US"/>
        </w:rPr>
        <w:t xml:space="preserve"> </w:t>
      </w:r>
      <w:proofErr w:type="spellStart"/>
      <w:r w:rsidRPr="00693A45">
        <w:rPr>
          <w:lang w:val="en-US"/>
        </w:rPr>
        <w:t>intensitet</w:t>
      </w:r>
      <w:proofErr w:type="spellEnd"/>
      <w:r w:rsidRPr="00693A45">
        <w:rPr>
          <w:lang w:val="en-US"/>
        </w:rPr>
        <w:t xml:space="preserve"> og </w:t>
      </w:r>
      <w:proofErr w:type="spellStart"/>
      <w:r w:rsidRPr="00693A45">
        <w:rPr>
          <w:lang w:val="en-US"/>
        </w:rPr>
        <w:t>varighet</w:t>
      </w:r>
      <w:proofErr w:type="spellEnd"/>
      <w:r w:rsidRPr="00693A45">
        <w:rPr>
          <w:lang w:val="en-US"/>
        </w:rPr>
        <w:t xml:space="preserve">, </w:t>
      </w:r>
      <w:proofErr w:type="spellStart"/>
      <w:r w:rsidRPr="00693A45">
        <w:rPr>
          <w:lang w:val="en-US"/>
        </w:rPr>
        <w:t>sammenhengen</w:t>
      </w:r>
      <w:proofErr w:type="spellEnd"/>
      <w:r w:rsidRPr="00693A45">
        <w:rPr>
          <w:lang w:val="en-US"/>
        </w:rPr>
        <w:t xml:space="preserve"> </w:t>
      </w:r>
      <w:proofErr w:type="spellStart"/>
      <w:r w:rsidRPr="00693A45">
        <w:rPr>
          <w:lang w:val="en-US"/>
        </w:rPr>
        <w:t>mellom</w:t>
      </w:r>
      <w:proofErr w:type="spellEnd"/>
      <w:r w:rsidRPr="00693A45">
        <w:rPr>
          <w:lang w:val="en-US"/>
        </w:rPr>
        <w:t xml:space="preserve"> </w:t>
      </w:r>
      <w:proofErr w:type="spellStart"/>
      <w:r w:rsidRPr="00693A45">
        <w:rPr>
          <w:lang w:val="en-US"/>
        </w:rPr>
        <w:t>angrepet</w:t>
      </w:r>
      <w:proofErr w:type="spellEnd"/>
      <w:r w:rsidRPr="00693A45">
        <w:rPr>
          <w:lang w:val="en-US"/>
        </w:rPr>
        <w:t xml:space="preserve"> og </w:t>
      </w:r>
      <w:proofErr w:type="spellStart"/>
      <w:r w:rsidRPr="00693A45">
        <w:rPr>
          <w:lang w:val="en-US"/>
        </w:rPr>
        <w:t>skaden</w:t>
      </w:r>
      <w:proofErr w:type="spellEnd"/>
      <w:r w:rsidRPr="00693A45">
        <w:rPr>
          <w:lang w:val="en-US"/>
        </w:rPr>
        <w:t xml:space="preserve">, og </w:t>
      </w:r>
      <w:proofErr w:type="spellStart"/>
      <w:r w:rsidRPr="00693A45">
        <w:rPr>
          <w:lang w:val="en-US"/>
        </w:rPr>
        <w:t>omfanget</w:t>
      </w:r>
      <w:proofErr w:type="spellEnd"/>
      <w:r w:rsidRPr="00693A45">
        <w:rPr>
          <w:lang w:val="en-US"/>
        </w:rPr>
        <w:t xml:space="preserve"> av </w:t>
      </w:r>
      <w:proofErr w:type="spellStart"/>
      <w:r w:rsidRPr="00693A45">
        <w:rPr>
          <w:lang w:val="en-US"/>
        </w:rPr>
        <w:t>skaden</w:t>
      </w:r>
      <w:proofErr w:type="spellEnd"/>
      <w:r w:rsidRPr="00693A45">
        <w:rPr>
          <w:lang w:val="en-US"/>
        </w:rPr>
        <w:t xml:space="preserve">. </w:t>
      </w:r>
      <w:proofErr w:type="spellStart"/>
      <w:r w:rsidRPr="00693A45">
        <w:rPr>
          <w:lang w:val="en-US"/>
        </w:rPr>
        <w:t>Skaden</w:t>
      </w:r>
      <w:proofErr w:type="spellEnd"/>
      <w:r w:rsidRPr="00693A45">
        <w:rPr>
          <w:lang w:val="en-US"/>
        </w:rPr>
        <w:t xml:space="preserve"> </w:t>
      </w:r>
      <w:proofErr w:type="spellStart"/>
      <w:r w:rsidRPr="00693A45">
        <w:rPr>
          <w:lang w:val="en-US"/>
        </w:rPr>
        <w:t>kan</w:t>
      </w:r>
      <w:proofErr w:type="spellEnd"/>
      <w:r w:rsidRPr="00693A45">
        <w:rPr>
          <w:lang w:val="en-US"/>
        </w:rPr>
        <w:t xml:space="preserve"> </w:t>
      </w:r>
      <w:proofErr w:type="spellStart"/>
      <w:r w:rsidRPr="00693A45">
        <w:rPr>
          <w:lang w:val="en-US"/>
        </w:rPr>
        <w:t>være</w:t>
      </w:r>
      <w:proofErr w:type="spellEnd"/>
      <w:r w:rsidRPr="00693A45">
        <w:rPr>
          <w:lang w:val="en-US"/>
        </w:rPr>
        <w:t xml:space="preserve"> </w:t>
      </w:r>
      <w:proofErr w:type="spellStart"/>
      <w:r w:rsidRPr="00693A45">
        <w:rPr>
          <w:lang w:val="en-US"/>
        </w:rPr>
        <w:t>geografisk</w:t>
      </w:r>
      <w:proofErr w:type="spellEnd"/>
      <w:r w:rsidRPr="00693A45">
        <w:rPr>
          <w:lang w:val="en-US"/>
        </w:rPr>
        <w:t xml:space="preserve"> </w:t>
      </w:r>
      <w:proofErr w:type="spellStart"/>
      <w:r w:rsidRPr="00693A45">
        <w:rPr>
          <w:lang w:val="en-US"/>
        </w:rPr>
        <w:t>begrenset</w:t>
      </w:r>
      <w:proofErr w:type="spellEnd"/>
      <w:r w:rsidRPr="00693A45">
        <w:rPr>
          <w:lang w:val="en-US"/>
        </w:rPr>
        <w:t xml:space="preserve">, men </w:t>
      </w:r>
      <w:proofErr w:type="spellStart"/>
      <w:r w:rsidRPr="00693A45">
        <w:rPr>
          <w:lang w:val="en-US"/>
        </w:rPr>
        <w:t>i</w:t>
      </w:r>
      <w:proofErr w:type="spellEnd"/>
      <w:r w:rsidRPr="00693A45">
        <w:rPr>
          <w:lang w:val="en-US"/>
        </w:rPr>
        <w:t xml:space="preserve"> </w:t>
      </w:r>
      <w:proofErr w:type="spellStart"/>
      <w:r w:rsidRPr="00693A45">
        <w:rPr>
          <w:lang w:val="en-US"/>
        </w:rPr>
        <w:t>slike</w:t>
      </w:r>
      <w:proofErr w:type="spellEnd"/>
      <w:r w:rsidRPr="00693A45">
        <w:rPr>
          <w:lang w:val="en-US"/>
        </w:rPr>
        <w:t xml:space="preserve"> </w:t>
      </w:r>
      <w:proofErr w:type="spellStart"/>
      <w:r w:rsidRPr="00693A45">
        <w:rPr>
          <w:lang w:val="en-US"/>
        </w:rPr>
        <w:t>tilfeller</w:t>
      </w:r>
      <w:proofErr w:type="spellEnd"/>
      <w:r w:rsidRPr="00693A45">
        <w:rPr>
          <w:lang w:val="en-US"/>
        </w:rPr>
        <w:t xml:space="preserve"> </w:t>
      </w:r>
      <w:proofErr w:type="spellStart"/>
      <w:r w:rsidRPr="00693A45">
        <w:rPr>
          <w:lang w:val="en-US"/>
        </w:rPr>
        <w:t>må</w:t>
      </w:r>
      <w:proofErr w:type="spellEnd"/>
      <w:r w:rsidRPr="00693A45">
        <w:rPr>
          <w:lang w:val="en-US"/>
        </w:rPr>
        <w:t xml:space="preserve"> det </w:t>
      </w:r>
      <w:proofErr w:type="spellStart"/>
      <w:r w:rsidRPr="00693A45">
        <w:rPr>
          <w:lang w:val="en-US"/>
        </w:rPr>
        <w:t>være</w:t>
      </w:r>
      <w:proofErr w:type="spellEnd"/>
      <w:r w:rsidRPr="00693A45">
        <w:rPr>
          <w:lang w:val="en-US"/>
        </w:rPr>
        <w:t xml:space="preserve"> </w:t>
      </w:r>
      <w:proofErr w:type="spellStart"/>
      <w:r w:rsidRPr="00693A45">
        <w:rPr>
          <w:lang w:val="en-US"/>
        </w:rPr>
        <w:t>sammenheng</w:t>
      </w:r>
      <w:proofErr w:type="spellEnd"/>
      <w:r w:rsidRPr="00693A45">
        <w:rPr>
          <w:lang w:val="en-US"/>
        </w:rPr>
        <w:t xml:space="preserve"> (</w:t>
      </w:r>
      <w:proofErr w:type="spellStart"/>
      <w:r w:rsidRPr="00693A45">
        <w:rPr>
          <w:lang w:val="en-US"/>
        </w:rPr>
        <w:t>proporsjonalitet</w:t>
      </w:r>
      <w:proofErr w:type="spellEnd"/>
      <w:r w:rsidRPr="00693A45">
        <w:rPr>
          <w:lang w:val="en-US"/>
        </w:rPr>
        <w:t xml:space="preserve">) </w:t>
      </w:r>
      <w:proofErr w:type="spellStart"/>
      <w:r w:rsidRPr="00693A45">
        <w:rPr>
          <w:lang w:val="en-US"/>
        </w:rPr>
        <w:t>mellom</w:t>
      </w:r>
      <w:proofErr w:type="spellEnd"/>
      <w:r w:rsidRPr="00693A45">
        <w:rPr>
          <w:lang w:val="en-US"/>
        </w:rPr>
        <w:t xml:space="preserve"> </w:t>
      </w:r>
      <w:proofErr w:type="spellStart"/>
      <w:r w:rsidRPr="00693A45">
        <w:rPr>
          <w:lang w:val="en-US"/>
        </w:rPr>
        <w:t>omfanget</w:t>
      </w:r>
      <w:proofErr w:type="spellEnd"/>
      <w:r w:rsidRPr="00693A45">
        <w:rPr>
          <w:lang w:val="en-US"/>
        </w:rPr>
        <w:t xml:space="preserve"> av </w:t>
      </w:r>
      <w:proofErr w:type="spellStart"/>
      <w:r w:rsidRPr="00693A45">
        <w:rPr>
          <w:lang w:val="en-US"/>
        </w:rPr>
        <w:t>skaden</w:t>
      </w:r>
      <w:proofErr w:type="spellEnd"/>
      <w:r w:rsidRPr="00693A45">
        <w:rPr>
          <w:lang w:val="en-US"/>
        </w:rPr>
        <w:t xml:space="preserve"> og </w:t>
      </w:r>
      <w:proofErr w:type="spellStart"/>
      <w:r w:rsidRPr="00693A45">
        <w:rPr>
          <w:lang w:val="en-US"/>
        </w:rPr>
        <w:t>omfanget</w:t>
      </w:r>
      <w:proofErr w:type="spellEnd"/>
      <w:r w:rsidRPr="00693A45">
        <w:rPr>
          <w:lang w:val="en-US"/>
        </w:rPr>
        <w:t xml:space="preserve"> av </w:t>
      </w:r>
      <w:proofErr w:type="spellStart"/>
      <w:r w:rsidRPr="00693A45">
        <w:rPr>
          <w:lang w:val="en-US"/>
        </w:rPr>
        <w:t>fellingen</w:t>
      </w:r>
      <w:proofErr w:type="spellEnd"/>
      <w:r w:rsidRPr="00693A45">
        <w:rPr>
          <w:lang w:val="en-US"/>
        </w:rPr>
        <w:t>.</w:t>
      </w:r>
    </w:p>
    <w:p w14:paraId="487414DB" w14:textId="03BA28D0" w:rsidR="000E6514" w:rsidRDefault="000E6514" w:rsidP="000E6514">
      <w:pPr>
        <w:pStyle w:val="Overskrift5"/>
        <w:rPr>
          <w:rFonts w:cs="Open Sans"/>
        </w:rPr>
      </w:pPr>
      <w:r>
        <w:t xml:space="preserve">Beskyttelse av offentlig helse og sikkerhet, luftsikkerhet og andre offentlige interesser av vesentlig betydning </w:t>
      </w:r>
      <w:r>
        <w:rPr>
          <w:rFonts w:cs="Open Sans"/>
        </w:rPr>
        <w:t>[</w:t>
      </w:r>
      <w:r w:rsidR="00CD439F">
        <w:rPr>
          <w:rFonts w:cs="Open Sans"/>
        </w:rPr>
        <w:t>«</w:t>
      </w:r>
      <w:r>
        <w:rPr>
          <w:rFonts w:cs="Open Sans"/>
        </w:rPr>
        <w:t xml:space="preserve">overriding </w:t>
      </w:r>
      <w:proofErr w:type="spellStart"/>
      <w:r>
        <w:rPr>
          <w:rFonts w:cs="Open Sans"/>
        </w:rPr>
        <w:t>public</w:t>
      </w:r>
      <w:proofErr w:type="spellEnd"/>
      <w:r>
        <w:rPr>
          <w:rFonts w:cs="Open Sans"/>
        </w:rPr>
        <w:t xml:space="preserve"> </w:t>
      </w:r>
      <w:proofErr w:type="spellStart"/>
      <w:r>
        <w:rPr>
          <w:rFonts w:cs="Open Sans"/>
        </w:rPr>
        <w:t>interests</w:t>
      </w:r>
      <w:proofErr w:type="spellEnd"/>
      <w:r w:rsidR="00CD439F">
        <w:rPr>
          <w:rFonts w:cs="Open Sans"/>
        </w:rPr>
        <w:t>»</w:t>
      </w:r>
      <w:r>
        <w:rPr>
          <w:rFonts w:cs="Open Sans"/>
        </w:rPr>
        <w:t>]</w:t>
      </w:r>
    </w:p>
    <w:p w14:paraId="2603E970" w14:textId="77777777" w:rsidR="000E6514" w:rsidRDefault="000E6514" w:rsidP="000E6514">
      <w:r w:rsidRPr="47A0B628">
        <w:t>Fellingsvedtak kan også treffes når formålet er å beskytte offentlige interesser av vesentlig betydning. Spesielt er helse og sikkerhet nevnt. Andre offentlige interesser er ikke definert, og det er noe uklart om de bør være av samme art og betydning.</w:t>
      </w:r>
    </w:p>
    <w:p w14:paraId="037FC530" w14:textId="79E9138F" w:rsidR="007E66B0" w:rsidRDefault="000E6514" w:rsidP="000E6514">
      <w:r w:rsidRPr="00F36883">
        <w:t xml:space="preserve">Høyesterett slo i </w:t>
      </w:r>
      <w:r w:rsidRPr="00CD439F">
        <w:rPr>
          <w:rStyle w:val="kursiv"/>
        </w:rPr>
        <w:t>Ulvefelling I</w:t>
      </w:r>
      <w:r w:rsidRPr="00F36883">
        <w:t xml:space="preserve"> fast at begrepet skal tolkes</w:t>
      </w:r>
      <w:r w:rsidR="00303661">
        <w:t xml:space="preserve"> </w:t>
      </w:r>
      <w:r w:rsidRPr="00F36883">
        <w:t>vidt. Det er ikke bare helse, sikkerhet eller skade på husdyr som kan være grunnlag, men også</w:t>
      </w:r>
      <w:r w:rsidR="00303661">
        <w:t xml:space="preserve"> </w:t>
      </w:r>
      <w:r w:rsidRPr="00F36883">
        <w:t>sosiale og kulturelle hensyn. Det kan trekkes inn et bredt spekter av offentlige interesser</w:t>
      </w:r>
      <w:r>
        <w:t>:</w:t>
      </w:r>
    </w:p>
    <w:p w14:paraId="5D6F5D61" w14:textId="74137D6B" w:rsidR="000E6514" w:rsidRPr="00CD439F" w:rsidRDefault="00CD439F" w:rsidP="00DD2433">
      <w:pPr>
        <w:pStyle w:val="blokksit"/>
        <w:ind w:left="757"/>
      </w:pPr>
      <w:r>
        <w:t>«</w:t>
      </w:r>
      <w:r w:rsidR="000E6514" w:rsidRPr="00CD439F">
        <w:t xml:space="preserve">Begrepet </w:t>
      </w:r>
      <w:r>
        <w:t>«</w:t>
      </w:r>
      <w:r w:rsidR="000E6514" w:rsidRPr="00CD439F">
        <w:t>andre offentlige interesser</w:t>
      </w:r>
      <w:r>
        <w:t>»</w:t>
      </w:r>
      <w:r w:rsidR="000E6514" w:rsidRPr="00CD439F">
        <w:t xml:space="preserve"> er vidt, og inneholder i seg selv få begrensninger. Ordlyden gir imidlertid ikke et endelig svar på om disse interessene for eksempel må være av samme art som de helse- og sikkerhetshensyn som uttrykkelig er nevnt.</w:t>
      </w:r>
      <w:r>
        <w:t>»</w:t>
      </w:r>
      <w:r w:rsidRPr="00CD439F">
        <w:rPr>
          <w:rStyle w:val="Fotnotereferanse"/>
        </w:rPr>
        <w:footnoteReference w:id="169"/>
      </w:r>
    </w:p>
    <w:p w14:paraId="2B8A179A" w14:textId="3A49EF56" w:rsidR="00303661" w:rsidRDefault="000E6514" w:rsidP="000E6514">
      <w:r w:rsidRPr="6908AAFB">
        <w:lastRenderedPageBreak/>
        <w:t xml:space="preserve">I </w:t>
      </w:r>
      <w:r w:rsidRPr="00CD439F">
        <w:rPr>
          <w:rStyle w:val="kursiv"/>
        </w:rPr>
        <w:t>Ulvefelling II</w:t>
      </w:r>
      <w:r w:rsidRPr="6908AAFB">
        <w:t xml:space="preserve"> (</w:t>
      </w:r>
      <w:r>
        <w:t>2023</w:t>
      </w:r>
      <w:r w:rsidRPr="6908AAFB">
        <w:t xml:space="preserve">) slo Høyesterett fast at for at et fellingstiltak skal være lovlig etter naturmangfoldloven </w:t>
      </w:r>
      <w:r w:rsidR="00CD439F">
        <w:t>§ </w:t>
      </w:r>
      <w:r w:rsidR="00CD439F" w:rsidRPr="6908AAFB">
        <w:t>1</w:t>
      </w:r>
      <w:r w:rsidRPr="6908AAFB">
        <w:t xml:space="preserve">8 c (som gjennomfører krav om </w:t>
      </w:r>
      <w:r w:rsidR="00CD439F">
        <w:t>«</w:t>
      </w:r>
      <w:r w:rsidRPr="6908AAFB">
        <w:t>offentlige interesser av vesentlig betydning</w:t>
      </w:r>
      <w:r w:rsidR="00CD439F">
        <w:t>»</w:t>
      </w:r>
      <w:r w:rsidRPr="6908AAFB">
        <w:t xml:space="preserve"> jf. Bernkonvensjone</w:t>
      </w:r>
      <w:r>
        <w:t>n)</w:t>
      </w:r>
      <w:r w:rsidRPr="6908AAFB">
        <w:t>, må det foretas en konkret, samlet og helhetlig interesseavveining der det identifiseres relevante offentlige interesser som kan tale for felling som, samlet sett, kan veie tyngre enn de vernehensyn som taler imot felling. Dette gjelder også når vedtaket gjelder felling innenfor ulvesonen. Det er ikke tilstrekkelig å vise at et bestandsmål er nådd; det må også konkretiseres hvilke offentlige interesser som begrunner tiltaket.</w:t>
      </w:r>
      <w:r>
        <w:t xml:space="preserve"> </w:t>
      </w:r>
      <w:r w:rsidRPr="6908AAFB">
        <w:t>Høyesterett la vekt på at de offentlige hensynene for felling – særlig distriktspolitiske hensyn og hensynet til å dempe konflikt og styrke tillit til rovviltforvaltningen – samlet sett veide tyngre enn vernehensynene i den konkrete saken.</w:t>
      </w:r>
      <w:r w:rsidR="00CD439F" w:rsidRPr="00CD439F">
        <w:rPr>
          <w:rStyle w:val="Fotnotereferanse"/>
        </w:rPr>
        <w:footnoteReference w:id="170"/>
      </w:r>
    </w:p>
    <w:p w14:paraId="15CA8FD8" w14:textId="6C955EC2" w:rsidR="00303661" w:rsidRDefault="000E6514" w:rsidP="000E6514">
      <w:r w:rsidRPr="00F36883">
        <w:t>Det betyr at</w:t>
      </w:r>
      <w:r>
        <w:t xml:space="preserve"> for at</w:t>
      </w:r>
      <w:r w:rsidRPr="00F36883">
        <w:t xml:space="preserve"> felling skal kunne besluttes, må de offentlige interessene samlet sett gjøre seg gjeldende i så vesentlig grad at de ikke bare veier tyngre enn de vernehensyn som også gjør seg gjeldende, men at de er av en kvalitet som setter til side (eller prioriteres over) vernehensynet. Formålet med Bernkonvensjonen er vern av ville planter og dyr. Artikkel 2 fastsetter en forrang til vern ut fra økologiske, vitenskapelige og kulturelle kriterier. En formålsbasert fortolkning av </w:t>
      </w:r>
      <w:r w:rsidR="00CD439F">
        <w:t>«</w:t>
      </w:r>
      <w:r w:rsidRPr="00F36883">
        <w:t xml:space="preserve">overriding </w:t>
      </w:r>
      <w:proofErr w:type="spellStart"/>
      <w:r w:rsidRPr="00F36883">
        <w:t>public</w:t>
      </w:r>
      <w:proofErr w:type="spellEnd"/>
      <w:r w:rsidRPr="00F36883">
        <w:t xml:space="preserve"> </w:t>
      </w:r>
      <w:proofErr w:type="spellStart"/>
      <w:r w:rsidRPr="00F36883">
        <w:t>interests</w:t>
      </w:r>
      <w:proofErr w:type="spellEnd"/>
      <w:r w:rsidR="00CD439F">
        <w:t>»</w:t>
      </w:r>
      <w:r w:rsidRPr="00F36883">
        <w:t xml:space="preserve"> i artikkel 9 bør ta hensyn til denne prioriteringen og tolke </w:t>
      </w:r>
      <w:r w:rsidR="00CD439F">
        <w:t>«</w:t>
      </w:r>
      <w:r w:rsidRPr="00F36883">
        <w:t>overriding</w:t>
      </w:r>
      <w:r w:rsidR="00CD439F">
        <w:t>»</w:t>
      </w:r>
      <w:r w:rsidRPr="00F36883">
        <w:t xml:space="preserve"> </w:t>
      </w:r>
      <w:r>
        <w:t>restriktivt i den forstand</w:t>
      </w:r>
      <w:r w:rsidRPr="00F36883">
        <w:t xml:space="preserve"> at offentlige interesse</w:t>
      </w:r>
      <w:r>
        <w:t>r</w:t>
      </w:r>
      <w:r w:rsidRPr="00F36883">
        <w:t xml:space="preserve"> </w:t>
      </w:r>
      <w:r>
        <w:t xml:space="preserve">må være </w:t>
      </w:r>
      <w:r w:rsidRPr="00F36883">
        <w:t>betydelig</w:t>
      </w:r>
      <w:r>
        <w:t>e dersom</w:t>
      </w:r>
      <w:r w:rsidRPr="00F36883">
        <w:t xml:space="preserve"> vernehensynet </w:t>
      </w:r>
      <w:r>
        <w:t>skal</w:t>
      </w:r>
      <w:r w:rsidRPr="00F36883">
        <w:t xml:space="preserve"> settes til side.</w:t>
      </w:r>
    </w:p>
    <w:p w14:paraId="0A609805" w14:textId="6BB83B5F" w:rsidR="000E6514" w:rsidRDefault="0000321D" w:rsidP="0000321D">
      <w:pPr>
        <w:pStyle w:val="Overskrift4"/>
      </w:pPr>
      <w:r>
        <w:t>Ikke skadelig for bestandens overlevelse</w:t>
      </w:r>
    </w:p>
    <w:p w14:paraId="596880DA" w14:textId="26DA02E9" w:rsidR="0000321D" w:rsidRPr="00CD439F" w:rsidRDefault="0000321D" w:rsidP="0000321D">
      <w:pPr>
        <w:rPr>
          <w:rStyle w:val="halvfet"/>
        </w:rPr>
      </w:pPr>
      <w:r>
        <w:t xml:space="preserve">Det er et vilkår for felling av rovvilt etter artikkel 9 at uttaket </w:t>
      </w:r>
      <w:r w:rsidR="00CD439F">
        <w:t>«</w:t>
      </w:r>
      <w:r>
        <w:t>ikke vil være skadelig for vedkommende bestands overlevelse</w:t>
      </w:r>
      <w:r w:rsidR="00CD439F">
        <w:t>»</w:t>
      </w:r>
      <w:r>
        <w:t xml:space="preserve">. </w:t>
      </w:r>
      <w:r w:rsidRPr="00F36883">
        <w:t>Dette er et nøkkelvilkår for å gjøre unntak fra den strenge beskyttelsen av truede eller sårbare arter. Forbudet mot å felle dyr dersom dette ville være skadelig (</w:t>
      </w:r>
      <w:r w:rsidR="00CD439F">
        <w:t>«</w:t>
      </w:r>
      <w:proofErr w:type="spellStart"/>
      <w:r w:rsidRPr="00F36883">
        <w:t>detrimental</w:t>
      </w:r>
      <w:proofErr w:type="spellEnd"/>
      <w:r w:rsidR="00CD439F">
        <w:t>»</w:t>
      </w:r>
      <w:r w:rsidRPr="00F36883">
        <w:t>) for bestandens overlevelse skulle tilsi at forbudet ikke bare retter seg mot tilfeller hvor en vet at bestanden ikke vil overleve fellingen, men også hvor det er fare for at bestanden ikke vil overleve. Det er i denne forbindelse grunn til å trekke inn føre</w:t>
      </w:r>
      <w:r>
        <w:t>-</w:t>
      </w:r>
      <w:r w:rsidRPr="00F36883">
        <w:t xml:space="preserve">var-prinsippet slik det blir forstått i internasjonal miljørett. </w:t>
      </w:r>
      <w:r>
        <w:t>Dette</w:t>
      </w:r>
      <w:r w:rsidRPr="4DA77A36">
        <w:t xml:space="preserve"> prinsippet er </w:t>
      </w:r>
      <w:r>
        <w:t xml:space="preserve">riktignok </w:t>
      </w:r>
      <w:r w:rsidRPr="4DA77A36">
        <w:t xml:space="preserve">ikke eksplisitt nevnt i Bernkonvensjonen. </w:t>
      </w:r>
      <w:r w:rsidRPr="02645A7F">
        <w:t>Det kommer imidlertid u</w:t>
      </w:r>
      <w:r w:rsidRPr="02645A7F">
        <w:rPr>
          <w:rFonts w:cs="Times New Roman"/>
          <w:color w:val="000000" w:themeColor="text1"/>
        </w:rPr>
        <w:t xml:space="preserve">ttrykkelig til anvendelse i </w:t>
      </w:r>
      <w:r>
        <w:rPr>
          <w:rFonts w:cs="Times New Roman"/>
          <w:color w:val="000000" w:themeColor="text1"/>
        </w:rPr>
        <w:t xml:space="preserve">Den permanente </w:t>
      </w:r>
      <w:r w:rsidRPr="02645A7F">
        <w:rPr>
          <w:rFonts w:cs="Times New Roman"/>
          <w:color w:val="000000" w:themeColor="text1"/>
        </w:rPr>
        <w:t>komiteens praksis. Komiteen er klar på at ved usikkerhet om bestandsstatus eller effekt av felling, skal</w:t>
      </w:r>
      <w:r w:rsidRPr="00CD439F">
        <w:rPr>
          <w:rStyle w:val="halvfet"/>
        </w:rPr>
        <w:t xml:space="preserve"> </w:t>
      </w:r>
      <w:r w:rsidRPr="000D6EF2">
        <w:rPr>
          <w:rFonts w:cs="Times New Roman"/>
          <w:color w:val="000000" w:themeColor="text1"/>
        </w:rPr>
        <w:t>felling ikke tillates.</w:t>
      </w:r>
      <w:r w:rsidR="00CD439F" w:rsidRPr="00CD439F">
        <w:rPr>
          <w:rStyle w:val="Fotnotereferanse"/>
        </w:rPr>
        <w:footnoteReference w:id="171"/>
      </w:r>
    </w:p>
    <w:p w14:paraId="04F57B1B" w14:textId="0041C265" w:rsidR="00303661" w:rsidRDefault="0000321D" w:rsidP="0000321D">
      <w:r w:rsidRPr="4DA77A36">
        <w:lastRenderedPageBreak/>
        <w:t xml:space="preserve">Prinsippet er videre forankret i andre miljøavtaler, som </w:t>
      </w:r>
      <w:r>
        <w:t>i preambelet til k</w:t>
      </w:r>
      <w:r w:rsidRPr="4DA77A36">
        <w:t>onvensjon</w:t>
      </w:r>
      <w:r>
        <w:t>en</w:t>
      </w:r>
      <w:r w:rsidRPr="4DA77A36">
        <w:t xml:space="preserve"> om </w:t>
      </w:r>
      <w:r>
        <w:t>b</w:t>
      </w:r>
      <w:r w:rsidRPr="4DA77A36">
        <w:t xml:space="preserve">iologisk </w:t>
      </w:r>
      <w:r>
        <w:t>m</w:t>
      </w:r>
      <w:r w:rsidRPr="4DA77A36">
        <w:t xml:space="preserve">angfold. </w:t>
      </w:r>
      <w:r w:rsidRPr="00F36883">
        <w:t xml:space="preserve">Det </w:t>
      </w:r>
      <w:r>
        <w:t>har vært</w:t>
      </w:r>
      <w:r w:rsidRPr="00F36883">
        <w:t xml:space="preserve"> noe uklart om føre var-prinsippet har oppnådd status som alminnelig folkerett. Dette har imidlertid blitt klargjort av</w:t>
      </w:r>
      <w:r>
        <w:t xml:space="preserve"> Den internasjonale domstolen (ICJ)</w:t>
      </w:r>
      <w:r w:rsidRPr="00F36883">
        <w:t xml:space="preserve"> som </w:t>
      </w:r>
      <w:r>
        <w:t>i sin rådgivende uttalelse om statenes klimaforpliktelser</w:t>
      </w:r>
      <w:r w:rsidRPr="00F36883">
        <w:t xml:space="preserve"> </w:t>
      </w:r>
      <w:r>
        <w:t xml:space="preserve">slo </w:t>
      </w:r>
      <w:r w:rsidRPr="00F36883">
        <w:t xml:space="preserve">fast at føre-var prinsippet </w:t>
      </w:r>
      <w:r>
        <w:t xml:space="preserve">som del </w:t>
      </w:r>
      <w:r w:rsidRPr="00F36883">
        <w:t>av folkerettslig sedvanerett</w:t>
      </w:r>
      <w:r>
        <w:t xml:space="preserve"> innebærer at v</w:t>
      </w:r>
      <w:r w:rsidRPr="00F36883">
        <w:t>ed forebygging av alvorlig miljøskade må statene avverge risiko</w:t>
      </w:r>
      <w:r>
        <w:t>en</w:t>
      </w:r>
      <w:r w:rsidRPr="00F36883">
        <w:t xml:space="preserve"> for skade, selv i fravær av vitenskapelig sikkerhet.</w:t>
      </w:r>
      <w:r w:rsidR="00CD439F" w:rsidRPr="00CD439F">
        <w:rPr>
          <w:rStyle w:val="Fotnotereferanse"/>
        </w:rPr>
        <w:footnoteReference w:id="172"/>
      </w:r>
    </w:p>
    <w:p w14:paraId="74CA36C9" w14:textId="334437DF" w:rsidR="0000321D" w:rsidRPr="00CD439F" w:rsidRDefault="0000321D" w:rsidP="0000321D">
      <w:pPr>
        <w:rPr>
          <w:rStyle w:val="halvfet"/>
        </w:rPr>
      </w:pPr>
      <w:r w:rsidRPr="47A0B628">
        <w:t>Det er vanskelig å si hvilken sikkerhet som skal kreves for bestandenes overlevelse etter Bernkonvensjonen, men føre var-prinsippet skulle tilsi et relativt høyt bestandsnivå før felling tillates. Ved vitenskapelig usikkerhet bør det ut fra dette prinsippet legges inn en sikkerhetsmargin som samsvarer med graden av vitenskapelig usikkerhet. Føre var-prinsippet skulle dessuten tilsi at en er mer varsom med felling jo mer truet bestanden er. For å kunne avgjøre om felling ikke er skadelig for bestandenes overlevelse kreves det dessuten at myndighetene har vitenskapelig dokumentasjon. Myndighetene må ha et faglig grunnlag (populasjonsdata, bestandsmål, biologiske vurderinger) som viser at arten fortsatt kan overleve og opprettholdes på et</w:t>
      </w:r>
      <w:r w:rsidR="00303661">
        <w:t xml:space="preserve"> </w:t>
      </w:r>
      <w:r w:rsidRPr="47A0B628">
        <w:t>levedyktig nivå</w:t>
      </w:r>
      <w:r w:rsidR="00303661">
        <w:t xml:space="preserve"> </w:t>
      </w:r>
      <w:r w:rsidRPr="47A0B628">
        <w:t>på lang sikt dersom felling skal tillates.</w:t>
      </w:r>
    </w:p>
    <w:p w14:paraId="0FE21A0B" w14:textId="5099B931" w:rsidR="0000321D" w:rsidRDefault="0000321D" w:rsidP="0000321D">
      <w:r w:rsidRPr="00F36883">
        <w:t xml:space="preserve">Ved Stortingets behandling av </w:t>
      </w:r>
      <w:r w:rsidR="00CD439F">
        <w:t xml:space="preserve">St.meld. nr. </w:t>
      </w:r>
      <w:r w:rsidR="00CD439F" w:rsidRPr="00F36883">
        <w:t>27</w:t>
      </w:r>
      <w:r w:rsidR="00303661" w:rsidRPr="00F36883">
        <w:t xml:space="preserve"> (1991</w:t>
      </w:r>
      <w:r w:rsidR="00303661">
        <w:t>–</w:t>
      </w:r>
      <w:r w:rsidR="00303661" w:rsidRPr="00F36883">
        <w:t>92)</w:t>
      </w:r>
      <w:r w:rsidRPr="00F36883">
        <w:t xml:space="preserve"> (</w:t>
      </w:r>
      <w:r w:rsidRPr="00CD439F">
        <w:rPr>
          <w:rStyle w:val="kursiv"/>
        </w:rPr>
        <w:t>Rovviltmeldingen</w:t>
      </w:r>
      <w:r w:rsidRPr="00F36883">
        <w:t>) ble en nærmere presisering av begrepet overlevelsesevne etterspurt (</w:t>
      </w:r>
      <w:proofErr w:type="spellStart"/>
      <w:r w:rsidRPr="00F36883">
        <w:t>lnnst</w:t>
      </w:r>
      <w:proofErr w:type="spellEnd"/>
      <w:r w:rsidRPr="00F36883">
        <w:t xml:space="preserve">. S. nr. 182 (1991- 92)). I </w:t>
      </w:r>
      <w:r w:rsidR="00CD439F">
        <w:t xml:space="preserve">St.meld. nr. </w:t>
      </w:r>
      <w:r w:rsidR="00CD439F" w:rsidRPr="00F36883">
        <w:t>35</w:t>
      </w:r>
      <w:r w:rsidR="00303661" w:rsidRPr="00F36883">
        <w:t xml:space="preserve"> (1996</w:t>
      </w:r>
      <w:r w:rsidR="00303661">
        <w:t>–</w:t>
      </w:r>
      <w:r w:rsidR="00303661" w:rsidRPr="00F36883">
        <w:t>97)</w:t>
      </w:r>
      <w:r w:rsidRPr="00F36883">
        <w:t xml:space="preserve"> </w:t>
      </w:r>
      <w:r w:rsidRPr="00CD439F">
        <w:rPr>
          <w:rStyle w:val="kursiv"/>
        </w:rPr>
        <w:t>Om rovviltforvaltning</w:t>
      </w:r>
      <w:r w:rsidRPr="00F36883">
        <w:t xml:space="preserve"> vises det til at overlevelsen av små bestander er avhengig av to viktige faktorer:</w:t>
      </w:r>
    </w:p>
    <w:p w14:paraId="17115E64" w14:textId="77777777" w:rsidR="0000321D" w:rsidRPr="00CD439F" w:rsidRDefault="0000321D" w:rsidP="00DD2433">
      <w:pPr>
        <w:pStyle w:val="blokksit"/>
        <w:ind w:left="757"/>
      </w:pPr>
      <w:r w:rsidRPr="00CD439F">
        <w:t>a)</w:t>
      </w:r>
      <w:r w:rsidRPr="00CD439F">
        <w:tab/>
        <w:t>Bestandene må ikke bli så små at den genetiske variasjonen blir for liten, og bestanden mister sin evne til å utvikle nye tilpasninger som svar på endringer i miljøet;</w:t>
      </w:r>
    </w:p>
    <w:p w14:paraId="105EF01B" w14:textId="790E23C6" w:rsidR="0000321D" w:rsidRPr="00CD439F" w:rsidRDefault="0000321D" w:rsidP="00DD2433">
      <w:pPr>
        <w:pStyle w:val="blokksit"/>
        <w:ind w:left="757"/>
      </w:pPr>
      <w:r w:rsidRPr="00CD439F">
        <w:t>b)</w:t>
      </w:r>
      <w:r w:rsidRPr="00CD439F">
        <w:tab/>
        <w:t>Bestandene må ikke bli så små at de dør ut på grunn av tilfeldige hendelser i miljøet eller på grunnlag av tilfeldige variasjoner i bestanden selv (demografi).</w:t>
      </w:r>
      <w:r w:rsidR="00CD439F" w:rsidRPr="00CD439F">
        <w:rPr>
          <w:rStyle w:val="Fotnotereferanse"/>
        </w:rPr>
        <w:footnoteReference w:id="173"/>
      </w:r>
    </w:p>
    <w:p w14:paraId="60EBAD87" w14:textId="6CA7FF57" w:rsidR="0000321D" w:rsidRDefault="0000321D" w:rsidP="0000321D">
      <w:r w:rsidRPr="00F36883">
        <w:lastRenderedPageBreak/>
        <w:t xml:space="preserve">Det heter at for </w:t>
      </w:r>
      <w:r>
        <w:t>å</w:t>
      </w:r>
      <w:r w:rsidRPr="6908AAFB">
        <w:t xml:space="preserve"> unngå tap av genetisk variasjon regner en ofte med at bestanden må være på minst 500 dyr. Bestanden må være langt større dersom en skal unngå negative effekter ved skadelige mutasjoner. Nødvendig genetisk variasjon for evolusjonære endringer kan bare sikres over lang tid i svært store bestander. Dersom bestanden er liten, vil demografiske endringer ha større betydning for bestandens overlevelsesevne. Men en positiv vekstrate er i seg selv ikke tilstrekkelig siden tilfeldige hendelser kan medføre at bestanden dør ut.</w:t>
      </w:r>
      <w:r w:rsidR="00CD439F" w:rsidRPr="00CD439F">
        <w:rPr>
          <w:rStyle w:val="Fotnotereferanse"/>
        </w:rPr>
        <w:footnoteReference w:id="174"/>
      </w:r>
    </w:p>
    <w:p w14:paraId="04C8A9C9" w14:textId="68E7FF98" w:rsidR="0000321D" w:rsidRDefault="0000321D" w:rsidP="0000321D">
      <w:r w:rsidRPr="00F36883">
        <w:t>Det vises videre til kriterier utviklet av Den internasjonale naturvernunion (IUCN), hvor en bestand eller art blir definert som levedyktig dersom det er mindre enn 1</w:t>
      </w:r>
      <w:r w:rsidR="00CD439F" w:rsidRPr="00F36883">
        <w:t>0</w:t>
      </w:r>
      <w:r w:rsidR="00CD439F">
        <w:t> %</w:t>
      </w:r>
      <w:r w:rsidRPr="00F36883">
        <w:t xml:space="preserve"> sjanse for at arten eller bestanden vil dø ut i løpet av 100 </w:t>
      </w:r>
      <w:r>
        <w:t>å</w:t>
      </w:r>
      <w:r w:rsidRPr="00F36883">
        <w:t>r.</w:t>
      </w:r>
      <w:r w:rsidR="00CD439F" w:rsidRPr="00CD439F">
        <w:rPr>
          <w:rStyle w:val="Fotnotereferanse"/>
        </w:rPr>
        <w:footnoteReference w:id="175"/>
      </w:r>
      <w:r w:rsidRPr="00F36883">
        <w:t xml:space="preserve"> Det påpekes at disse kriteriene er generelle og ikke automatisk kan anvendes på en vurdering av enkeltbestander eller -land. Videre inngår ikke genetiske vurderinger i disse kriteriene. Det uttales at norske myndigheter vil legge demografisk overlevingsevne til grunn, og at denne må vurderes ut fra kriteriet om at det skal være mindre enn 1</w:t>
      </w:r>
      <w:r w:rsidR="00CD439F" w:rsidRPr="00F36883">
        <w:t>0</w:t>
      </w:r>
      <w:r w:rsidR="00CD439F">
        <w:t> %</w:t>
      </w:r>
      <w:r w:rsidRPr="00F36883">
        <w:t xml:space="preserve"> sjanse for at bestanden skal dø ut i løpet av 100 </w:t>
      </w:r>
      <w:r>
        <w:t>å</w:t>
      </w:r>
      <w:r w:rsidRPr="00F36883">
        <w:t>r.</w:t>
      </w:r>
    </w:p>
    <w:p w14:paraId="6533A3CC" w14:textId="77777777" w:rsidR="0000321D" w:rsidRDefault="0000321D" w:rsidP="0000321D">
      <w:r w:rsidRPr="00F36883">
        <w:t>Det kan etter dette for det første konstateres at det ikke finnes en omforent vitenskapelig definisjon av begrepet overlevelse. For det andre, ut fra behovet for genetisk variasjon, kan en felling av dyr være skadelig for bestandens overlevelse på lang sikt med mindre bestanden er svært stor.</w:t>
      </w:r>
    </w:p>
    <w:p w14:paraId="74DEE1D9" w14:textId="6EC0BC09" w:rsidR="0000321D" w:rsidRDefault="0000321D" w:rsidP="0000321D">
      <w:r w:rsidRPr="00F36883">
        <w:t>Miljødirektoratet og Klima- og miljødepartementet bruker ofte begrepet</w:t>
      </w:r>
      <w:r w:rsidR="00303661">
        <w:t xml:space="preserve"> </w:t>
      </w:r>
      <w:r w:rsidR="00CD439F">
        <w:t>«</w:t>
      </w:r>
      <w:r w:rsidRPr="00F36883">
        <w:t>levedyktig bestand</w:t>
      </w:r>
      <w:r w:rsidR="00CD439F">
        <w:t>»</w:t>
      </w:r>
      <w:r w:rsidRPr="00F36883">
        <w:t>. De tolker kravet slik at bestanden ikke må bli så liten at den mister genetisk variasjon eller rekruttering. For den sør-skandinaviske ulvebestanden</w:t>
      </w:r>
      <w:r>
        <w:t>,</w:t>
      </w:r>
      <w:r w:rsidRPr="00F36883">
        <w:t xml:space="preserve"> som er preget i høy grad av innavl</w:t>
      </w:r>
      <w:r>
        <w:t>,</w:t>
      </w:r>
      <w:r w:rsidRPr="00F36883">
        <w:t xml:space="preserve"> er</w:t>
      </w:r>
      <w:r w:rsidR="00303661">
        <w:t xml:space="preserve"> </w:t>
      </w:r>
      <w:r w:rsidRPr="00F36883">
        <w:t>derfor genetisk innvandring fra Finland</w:t>
      </w:r>
      <w:r>
        <w:t xml:space="preserve"> og </w:t>
      </w:r>
      <w:r w:rsidRPr="00F36883">
        <w:t>Russland</w:t>
      </w:r>
      <w:r w:rsidR="00303661">
        <w:t xml:space="preserve"> </w:t>
      </w:r>
      <w:r w:rsidRPr="00F36883">
        <w:t xml:space="preserve">(såkalte </w:t>
      </w:r>
      <w:r w:rsidR="00CD439F">
        <w:t>«</w:t>
      </w:r>
      <w:r w:rsidRPr="00F36883">
        <w:t>finske ulver</w:t>
      </w:r>
      <w:r w:rsidR="00CD439F">
        <w:t>»</w:t>
      </w:r>
      <w:r w:rsidRPr="00F36883">
        <w:t>) viktig.</w:t>
      </w:r>
      <w:r w:rsidR="00CD439F" w:rsidRPr="00CD439F">
        <w:rPr>
          <w:rStyle w:val="Fotnotereferanse"/>
        </w:rPr>
        <w:footnoteReference w:id="176"/>
      </w:r>
      <w:r w:rsidRPr="00F36883">
        <w:t xml:space="preserve"> Uten dette kan den norsk-svensk</w:t>
      </w:r>
      <w:r>
        <w:t>e</w:t>
      </w:r>
      <w:r w:rsidRPr="00F36883">
        <w:t xml:space="preserve"> bestanden på sikt bli for sårbar. Det er imidlertid usikkert hvor stor effekten på økningen av </w:t>
      </w:r>
      <w:r>
        <w:t xml:space="preserve">den </w:t>
      </w:r>
      <w:r w:rsidRPr="00F36883">
        <w:t>genetisk</w:t>
      </w:r>
      <w:r>
        <w:t>e</w:t>
      </w:r>
      <w:r w:rsidRPr="00F36883">
        <w:t xml:space="preserve"> variasjon er. Genetisk innvandring bør derfor ikke erstatte tiltak for å sikre levedyktighet av den eksi</w:t>
      </w:r>
      <w:r>
        <w:t>s</w:t>
      </w:r>
      <w:r w:rsidRPr="00F36883">
        <w:t xml:space="preserve">terende bestanden. Dette ble fremhevet av den Permanente Komiteen som </w:t>
      </w:r>
      <w:r>
        <w:t>uttalte</w:t>
      </w:r>
      <w:r w:rsidRPr="00F36883">
        <w:t xml:space="preserve"> at:</w:t>
      </w:r>
    </w:p>
    <w:p w14:paraId="2787A6DE" w14:textId="43F49D1F" w:rsidR="0000321D" w:rsidRPr="00CD439F" w:rsidRDefault="00CD439F" w:rsidP="00DD2433">
      <w:pPr>
        <w:pStyle w:val="blokksit"/>
        <w:ind w:left="757"/>
        <w:rPr>
          <w:lang w:val="en-US"/>
        </w:rPr>
      </w:pPr>
      <w:r>
        <w:rPr>
          <w:lang w:val="en-GB"/>
        </w:rPr>
        <w:lastRenderedPageBreak/>
        <w:t>«</w:t>
      </w:r>
      <w:r w:rsidR="0000321D" w:rsidRPr="00CD439F">
        <w:rPr>
          <w:lang w:val="en-GB"/>
        </w:rPr>
        <w:t>due to the uncertainty of the impact on enriching the genetic pool of the Norwegian-Swedish population that measure may be insufficient to protect it</w:t>
      </w:r>
      <w:r w:rsidR="0000321D" w:rsidRPr="00CD439F">
        <w:rPr>
          <w:lang w:val="en-US"/>
        </w:rPr>
        <w:t>.</w:t>
      </w:r>
      <w:r>
        <w:rPr>
          <w:lang w:val="en-US"/>
        </w:rPr>
        <w:t>»</w:t>
      </w:r>
      <w:r w:rsidRPr="00CD439F">
        <w:rPr>
          <w:rStyle w:val="Fotnotereferanse"/>
        </w:rPr>
        <w:footnoteReference w:id="177"/>
      </w:r>
    </w:p>
    <w:p w14:paraId="3412BFBD" w14:textId="5DC9223A" w:rsidR="0000321D" w:rsidRDefault="0000321D" w:rsidP="0000321D">
      <w:r w:rsidRPr="00F36883">
        <w:t xml:space="preserve">Dyrevern- og naturvernorganisasjoner har vært kritiske til </w:t>
      </w:r>
      <w:r>
        <w:t xml:space="preserve">norske myndigheters </w:t>
      </w:r>
      <w:r w:rsidRPr="00F36883">
        <w:t xml:space="preserve">håndteringen av </w:t>
      </w:r>
      <w:r>
        <w:t>dette kravet</w:t>
      </w:r>
      <w:r w:rsidRPr="00F36883">
        <w:t xml:space="preserve">. De mener at Norge tolker kravet for snevert, og at bestandsmålet er politisk, ikke vitenskapelig, fastsatt. Dermed er ikke </w:t>
      </w:r>
      <w:r>
        <w:t>bestandenes overlevelse</w:t>
      </w:r>
      <w:r w:rsidRPr="00F36883">
        <w:t xml:space="preserve"> tilstrekkelig </w:t>
      </w:r>
      <w:r>
        <w:t>sikret</w:t>
      </w:r>
      <w:r w:rsidRPr="00F36883">
        <w:t>.</w:t>
      </w:r>
      <w:r>
        <w:t xml:space="preserve"> Det har derfor blitt fremmet en klage mot Norge om forvaltningen av ulv </w:t>
      </w:r>
      <w:r w:rsidRPr="00F36883">
        <w:t xml:space="preserve">for </w:t>
      </w:r>
      <w:r>
        <w:t>D</w:t>
      </w:r>
      <w:r w:rsidRPr="00F36883">
        <w:t xml:space="preserve">en </w:t>
      </w:r>
      <w:r>
        <w:t>p</w:t>
      </w:r>
      <w:r w:rsidRPr="00F36883">
        <w:t xml:space="preserve">ermanente </w:t>
      </w:r>
      <w:r>
        <w:t>k</w:t>
      </w:r>
      <w:r w:rsidRPr="00F36883">
        <w:t xml:space="preserve">omiteen. Saksøkerne hevder at fellingstillatelse for ulv truer levedyktigheten av den sør-skandinaviske ulvebestanden, både når det gjelder bestandsstørrelsen og genetisk mangfold. Saken er fortsatt under behandling (som en </w:t>
      </w:r>
      <w:r w:rsidR="00CD439F">
        <w:t>«</w:t>
      </w:r>
      <w:proofErr w:type="spellStart"/>
      <w:r w:rsidRPr="02645A7F">
        <w:t>open</w:t>
      </w:r>
      <w:proofErr w:type="spellEnd"/>
      <w:r w:rsidRPr="00F36883">
        <w:t xml:space="preserve"> case</w:t>
      </w:r>
      <w:r w:rsidR="00CD439F">
        <w:t>»</w:t>
      </w:r>
      <w:r w:rsidRPr="00F36883">
        <w:t xml:space="preserve">) </w:t>
      </w:r>
      <w:r w:rsidRPr="02645A7F">
        <w:t>og</w:t>
      </w:r>
      <w:r w:rsidRPr="00F36883">
        <w:t xml:space="preserve"> Komiteen har gjentatte ganger gitt </w:t>
      </w:r>
      <w:r>
        <w:t xml:space="preserve">uttrykk for </w:t>
      </w:r>
      <w:r w:rsidRPr="00F36883">
        <w:t>sitt syn på saken.</w:t>
      </w:r>
      <w:r w:rsidR="00CD439F" w:rsidRPr="00CD439F">
        <w:rPr>
          <w:rStyle w:val="Fotnotereferanse"/>
        </w:rPr>
        <w:footnoteReference w:id="178"/>
      </w:r>
    </w:p>
    <w:p w14:paraId="51D47B09" w14:textId="77777777" w:rsidR="00303661" w:rsidRDefault="0000321D" w:rsidP="0000321D">
      <w:r w:rsidRPr="00F36883">
        <w:t>I tidligere rapporter ha</w:t>
      </w:r>
      <w:r>
        <w:t>r</w:t>
      </w:r>
      <w:r w:rsidRPr="00F36883">
        <w:t xml:space="preserve"> </w:t>
      </w:r>
      <w:r>
        <w:t>K</w:t>
      </w:r>
      <w:r w:rsidRPr="00F36883">
        <w:t>omiteen</w:t>
      </w:r>
      <w:r>
        <w:t>s byrå</w:t>
      </w:r>
      <w:r w:rsidRPr="00F36883">
        <w:t xml:space="preserve"> </w:t>
      </w:r>
      <w:r>
        <w:t>uttrykt sin bekymring</w:t>
      </w:r>
      <w:r w:rsidRPr="00F36883">
        <w:t>:</w:t>
      </w:r>
    </w:p>
    <w:p w14:paraId="70748690" w14:textId="1B8D4B6E" w:rsidR="00303661" w:rsidRPr="00CD439F" w:rsidRDefault="00CD439F" w:rsidP="00DD2433">
      <w:pPr>
        <w:pStyle w:val="blokksit"/>
        <w:ind w:left="757"/>
        <w:rPr>
          <w:lang w:val="en-GB"/>
        </w:rPr>
      </w:pPr>
      <w:r>
        <w:rPr>
          <w:lang w:val="en-GB"/>
        </w:rPr>
        <w:t>«</w:t>
      </w:r>
      <w:r w:rsidR="0000321D" w:rsidRPr="00CD439F">
        <w:rPr>
          <w:lang w:val="en-GB"/>
        </w:rPr>
        <w:t>The Bureau noted the complainants</w:t>
      </w:r>
      <w:r>
        <w:rPr>
          <w:lang w:val="en-GB"/>
        </w:rPr>
        <w:t>’</w:t>
      </w:r>
      <w:r w:rsidR="0000321D" w:rsidRPr="00CD439F">
        <w:rPr>
          <w:lang w:val="en-GB"/>
        </w:rPr>
        <w:t xml:space="preserve"> concern over the viability of the Norwegian and indeed the South-Scandinavian wolf population, both in terms of their overall size and genetic diversity. The Bureau reiterated that the wolf management area was proportionately rather limited (5% of the territory) and stressed with great concern that removing about two thirds of the population was a very aggressive policy.</w:t>
      </w:r>
    </w:p>
    <w:p w14:paraId="5EBB1E78" w14:textId="44D73275" w:rsidR="0000321D" w:rsidRPr="00CD439F" w:rsidRDefault="0000321D" w:rsidP="00DD2433">
      <w:pPr>
        <w:pStyle w:val="blokksit"/>
        <w:ind w:left="757"/>
        <w:rPr>
          <w:lang w:val="en-GB"/>
        </w:rPr>
      </w:pPr>
      <w:r w:rsidRPr="00CD439F">
        <w:rPr>
          <w:lang w:val="en-GB"/>
        </w:rPr>
        <w:t>The Bureau encouraged the authorities to reconsider their approach of pre-emptive culling to a very restricted population target, and instead to apply proven prevention methods, especially livestock protection, and to raise awareness of the role of the wolf in nature and social acceptance of the species. The Bureau also suggested that the authorities partake in international exchanges on best practice in management of large carnivores.</w:t>
      </w:r>
      <w:r w:rsidR="00CD439F">
        <w:rPr>
          <w:lang w:val="en-GB"/>
        </w:rPr>
        <w:t>»</w:t>
      </w:r>
      <w:r w:rsidR="00CD439F" w:rsidRPr="00CD439F">
        <w:rPr>
          <w:rStyle w:val="Fotnotereferanse"/>
        </w:rPr>
        <w:footnoteReference w:id="179"/>
      </w:r>
    </w:p>
    <w:p w14:paraId="1B54B622" w14:textId="77777777" w:rsidR="0000321D" w:rsidRDefault="0000321D" w:rsidP="0000321D">
      <w:pPr>
        <w:rPr>
          <w:lang w:val="en-US"/>
        </w:rPr>
      </w:pPr>
      <w:r w:rsidRPr="554CF858">
        <w:t xml:space="preserve">I sine siste vedtak har </w:t>
      </w:r>
      <w:r>
        <w:t>K</w:t>
      </w:r>
      <w:r w:rsidRPr="554CF858">
        <w:t>omiteen gjentatte ganger git</w:t>
      </w:r>
      <w:r>
        <w:t>t</w:t>
      </w:r>
      <w:r w:rsidRPr="554CF858">
        <w:t xml:space="preserve"> uttrykk for at den anser Norges ulvefellingspolitikk </w:t>
      </w:r>
      <w:r>
        <w:t>for</w:t>
      </w:r>
      <w:r w:rsidRPr="554CF858">
        <w:t xml:space="preserve"> å være i strid med forpliktelse</w:t>
      </w:r>
      <w:r>
        <w:t>ne</w:t>
      </w:r>
      <w:r w:rsidRPr="554CF858">
        <w:t xml:space="preserve"> under Bernkonvensjonen. </w:t>
      </w:r>
      <w:proofErr w:type="spellStart"/>
      <w:r w:rsidRPr="001A53A6">
        <w:rPr>
          <w:lang w:val="en-US"/>
        </w:rPr>
        <w:t>Komiteen</w:t>
      </w:r>
      <w:proofErr w:type="spellEnd"/>
      <w:r w:rsidRPr="001A53A6">
        <w:rPr>
          <w:lang w:val="en-US"/>
        </w:rPr>
        <w:t>:</w:t>
      </w:r>
    </w:p>
    <w:p w14:paraId="6F2BA395" w14:textId="40FD2910" w:rsidR="0000321D" w:rsidRPr="00CD439F" w:rsidRDefault="00CD439F" w:rsidP="00DD2433">
      <w:pPr>
        <w:pStyle w:val="blokksit"/>
        <w:ind w:left="757"/>
        <w:rPr>
          <w:rStyle w:val="kursiv"/>
          <w:lang w:val="en-US"/>
        </w:rPr>
      </w:pPr>
      <w:r w:rsidRPr="00D96CC5">
        <w:rPr>
          <w:lang w:val="en-US"/>
        </w:rPr>
        <w:t>«</w:t>
      </w:r>
      <w:r w:rsidR="0000321D" w:rsidRPr="00D96CC5">
        <w:rPr>
          <w:lang w:val="en-US"/>
        </w:rPr>
        <w:t xml:space="preserve">Urged the government to reconsider the wolf culling policy, which the Bureau considers incompatible with the obligation to ensure a satisfactory population level and thus in breach of the Bern Convention, and requested the Secretariat to </w:t>
      </w:r>
      <w:r w:rsidR="0000321D" w:rsidRPr="00D96CC5">
        <w:rPr>
          <w:lang w:val="en-US"/>
        </w:rPr>
        <w:lastRenderedPageBreak/>
        <w:t>swiftly prepare a meeting between the Norwegian authorities, the complainants and the Bureau, with involvement of experts in the domains of large carnivores conservation and management as well as international law.</w:t>
      </w:r>
      <w:r w:rsidRPr="00D96CC5">
        <w:rPr>
          <w:lang w:val="en-US"/>
        </w:rPr>
        <w:t>»</w:t>
      </w:r>
      <w:r w:rsidRPr="00CD439F">
        <w:rPr>
          <w:rStyle w:val="Fotnotereferanse"/>
        </w:rPr>
        <w:footnoteReference w:id="180"/>
      </w:r>
    </w:p>
    <w:p w14:paraId="07085EAB" w14:textId="3A041618" w:rsidR="003060D7" w:rsidRDefault="003060D7" w:rsidP="003060D7">
      <w:pPr>
        <w:rPr>
          <w:lang w:val="en-US"/>
        </w:rPr>
      </w:pPr>
      <w:r w:rsidRPr="000D6EF2">
        <w:t xml:space="preserve">I desember 2025 </w:t>
      </w:r>
      <w:r w:rsidRPr="554CF858">
        <w:t>fant</w:t>
      </w:r>
      <w:r w:rsidRPr="000D6EF2">
        <w:t xml:space="preserve"> </w:t>
      </w:r>
      <w:r>
        <w:t>D</w:t>
      </w:r>
      <w:r w:rsidRPr="000D6EF2">
        <w:t xml:space="preserve">en </w:t>
      </w:r>
      <w:r>
        <w:t>p</w:t>
      </w:r>
      <w:r w:rsidRPr="000D6EF2">
        <w:t xml:space="preserve">ermanente </w:t>
      </w:r>
      <w:r>
        <w:t>k</w:t>
      </w:r>
      <w:r w:rsidRPr="000D6EF2">
        <w:t>omiteen at Norge fortsatt bryter forpliktelsene under Bern</w:t>
      </w:r>
      <w:r>
        <w:t>k</w:t>
      </w:r>
      <w:r w:rsidRPr="000D6EF2">
        <w:t>onvensjonen.</w:t>
      </w:r>
      <w:r w:rsidR="00CD439F" w:rsidRPr="00CD439F">
        <w:rPr>
          <w:rStyle w:val="Fotnotereferanse"/>
        </w:rPr>
        <w:footnoteReference w:id="181"/>
      </w:r>
      <w:r w:rsidRPr="554CF858">
        <w:t xml:space="preserve"> </w:t>
      </w:r>
      <w:proofErr w:type="spellStart"/>
      <w:r w:rsidRPr="000D6EF2">
        <w:rPr>
          <w:lang w:val="en-US"/>
        </w:rPr>
        <w:t>Komiteen</w:t>
      </w:r>
      <w:proofErr w:type="spellEnd"/>
      <w:r w:rsidRPr="000D6EF2">
        <w:rPr>
          <w:lang w:val="en-US"/>
        </w:rPr>
        <w:t xml:space="preserve"> </w:t>
      </w:r>
      <w:proofErr w:type="spellStart"/>
      <w:r w:rsidRPr="000D6EF2">
        <w:rPr>
          <w:lang w:val="en-US"/>
        </w:rPr>
        <w:t>baserte</w:t>
      </w:r>
      <w:proofErr w:type="spellEnd"/>
      <w:r w:rsidRPr="000D6EF2">
        <w:rPr>
          <w:lang w:val="en-US"/>
        </w:rPr>
        <w:t xml:space="preserve"> sine </w:t>
      </w:r>
      <w:proofErr w:type="spellStart"/>
      <w:r w:rsidRPr="000D6EF2">
        <w:rPr>
          <w:lang w:val="en-US"/>
        </w:rPr>
        <w:t>vurderinger</w:t>
      </w:r>
      <w:proofErr w:type="spellEnd"/>
      <w:r w:rsidRPr="000D6EF2">
        <w:rPr>
          <w:lang w:val="en-US"/>
        </w:rPr>
        <w:t xml:space="preserve"> </w:t>
      </w:r>
      <w:proofErr w:type="spellStart"/>
      <w:r w:rsidRPr="000D6EF2">
        <w:rPr>
          <w:lang w:val="en-US"/>
        </w:rPr>
        <w:t>på</w:t>
      </w:r>
      <w:proofErr w:type="spellEnd"/>
      <w:r w:rsidRPr="000D6EF2">
        <w:rPr>
          <w:lang w:val="en-US"/>
        </w:rPr>
        <w:t xml:space="preserve"> </w:t>
      </w:r>
      <w:r w:rsidR="00CD439F">
        <w:rPr>
          <w:lang w:val="en-US"/>
        </w:rPr>
        <w:t>«</w:t>
      </w:r>
      <w:r w:rsidRPr="554CF858">
        <w:rPr>
          <w:lang w:val="en-US"/>
        </w:rPr>
        <w:t>the status of the genetically impoverished, deliberately extremely restricted population of Canis lupus, also considering the anticipated increased culling of the Swedish part of the South Scandinavian population</w:t>
      </w:r>
      <w:r w:rsidR="00CD439F">
        <w:rPr>
          <w:lang w:val="en-US"/>
        </w:rPr>
        <w:t>»</w:t>
      </w:r>
      <w:r w:rsidRPr="554CF858">
        <w:rPr>
          <w:lang w:val="en-US"/>
        </w:rPr>
        <w:t xml:space="preserve"> og </w:t>
      </w:r>
      <w:r w:rsidR="00CD439F">
        <w:rPr>
          <w:lang w:val="en-US"/>
        </w:rPr>
        <w:t>«</w:t>
      </w:r>
      <w:r>
        <w:rPr>
          <w:lang w:val="en-US"/>
        </w:rPr>
        <w:t>u</w:t>
      </w:r>
      <w:r w:rsidRPr="554CF858">
        <w:rPr>
          <w:lang w:val="en-US"/>
        </w:rPr>
        <w:t xml:space="preserve">rged the Norwegian authorities to allow the wolf population, currently listed as </w:t>
      </w:r>
      <w:r w:rsidR="00CD439F">
        <w:rPr>
          <w:lang w:val="en-US"/>
        </w:rPr>
        <w:t>«</w:t>
      </w:r>
      <w:r w:rsidRPr="554CF858">
        <w:rPr>
          <w:lang w:val="en-US"/>
        </w:rPr>
        <w:t>critically endangered</w:t>
      </w:r>
      <w:r w:rsidR="00CD439F">
        <w:rPr>
          <w:lang w:val="en-US"/>
        </w:rPr>
        <w:t>»</w:t>
      </w:r>
      <w:r w:rsidRPr="554CF858">
        <w:rPr>
          <w:lang w:val="en-US"/>
        </w:rPr>
        <w:t xml:space="preserve"> in Norway, to recover to a satisfactory conservation level and to facilitate immigration of wolves from other populations to lower the inbreeding coefficient.</w:t>
      </w:r>
      <w:r w:rsidR="00CD439F">
        <w:rPr>
          <w:lang w:val="en-US"/>
        </w:rPr>
        <w:t>»</w:t>
      </w:r>
      <w:r>
        <w:rPr>
          <w:lang w:val="en-US"/>
        </w:rPr>
        <w:t xml:space="preserve"> </w:t>
      </w:r>
      <w:proofErr w:type="spellStart"/>
      <w:r>
        <w:rPr>
          <w:lang w:val="en-US"/>
        </w:rPr>
        <w:t>Komiteen</w:t>
      </w:r>
      <w:proofErr w:type="spellEnd"/>
      <w:r>
        <w:rPr>
          <w:lang w:val="en-US"/>
        </w:rPr>
        <w:t>:</w:t>
      </w:r>
    </w:p>
    <w:p w14:paraId="43E33F54" w14:textId="092ECD4A" w:rsidR="003060D7" w:rsidRPr="00CD439F" w:rsidRDefault="00CD439F" w:rsidP="00DD2433">
      <w:pPr>
        <w:pStyle w:val="blokksit"/>
        <w:ind w:left="757"/>
        <w:rPr>
          <w:lang w:val="en-GB"/>
        </w:rPr>
      </w:pPr>
      <w:r>
        <w:rPr>
          <w:lang w:val="en-GB"/>
        </w:rPr>
        <w:t>«</w:t>
      </w:r>
      <w:r w:rsidR="003060D7" w:rsidRPr="00CD439F">
        <w:rPr>
          <w:lang w:val="en-GB"/>
        </w:rPr>
        <w:t>Urged the Government of Norway to abolish strict zoning where the wolf is excluded from 95% of the national territory and to reconsider the practice of licenced hunting of wolves for population control as the main conflict mitigation measure; combined with poaching, this approach is keeping the population at the verge of extinction, thus violating the very essence of the Bern Convention (Art. 1, 2 and 3).</w:t>
      </w:r>
      <w:r>
        <w:rPr>
          <w:lang w:val="en-GB"/>
        </w:rPr>
        <w:t>»</w:t>
      </w:r>
    </w:p>
    <w:p w14:paraId="0B156D8C" w14:textId="615A8185" w:rsidR="003060D7" w:rsidRDefault="003060D7" w:rsidP="003060D7">
      <w:r w:rsidRPr="47A0B628">
        <w:t>Selv om disse vedtakene er politisk relevante, så har, som sagt ovenfor, komiteen ingen kompetanse til å treffe rettslig bindende vedtak. For øvrig er saken ikke avsluttet og forblir under behandling (</w:t>
      </w:r>
      <w:r w:rsidR="00CD439F">
        <w:t>«</w:t>
      </w:r>
      <w:r w:rsidRPr="47A0B628">
        <w:t>åpen</w:t>
      </w:r>
      <w:r w:rsidR="00CD439F">
        <w:t>»</w:t>
      </w:r>
      <w:r w:rsidRPr="47A0B628">
        <w:t>).</w:t>
      </w:r>
    </w:p>
    <w:p w14:paraId="26952830" w14:textId="44245FF7" w:rsidR="003060D7" w:rsidRDefault="003060D7" w:rsidP="003060D7">
      <w:pPr>
        <w:pStyle w:val="Overskrift4"/>
      </w:pPr>
      <w:r>
        <w:t>Ingen annen tilfredsstillende løsning</w:t>
      </w:r>
    </w:p>
    <w:p w14:paraId="19580D4A" w14:textId="7D675CC5" w:rsidR="00794835" w:rsidRDefault="003060D7" w:rsidP="00794835">
      <w:pPr>
        <w:rPr>
          <w:rFonts w:cs="Times New Roman"/>
        </w:rPr>
      </w:pPr>
      <w:r w:rsidRPr="554CF858">
        <w:t xml:space="preserve">Kravet om at det ikke finnes en annen tilfredsstillende løsning innebærer at felling av dyr oppført </w:t>
      </w:r>
      <w:r>
        <w:t>i Vedlegg</w:t>
      </w:r>
      <w:r w:rsidRPr="554CF858">
        <w:t xml:space="preserve"> II og III </w:t>
      </w:r>
      <w:r>
        <w:t>må være</w:t>
      </w:r>
      <w:r w:rsidRPr="554CF858">
        <w:t xml:space="preserve"> siste utvei. </w:t>
      </w:r>
      <w:r>
        <w:t>Den internasjonale domstolen (ICJ)</w:t>
      </w:r>
      <w:r w:rsidRPr="554CF858">
        <w:t xml:space="preserve"> </w:t>
      </w:r>
      <w:r>
        <w:t>anvendte samme tilnærming</w:t>
      </w:r>
      <w:r w:rsidRPr="554CF858">
        <w:t xml:space="preserve"> i </w:t>
      </w:r>
      <w:r w:rsidR="00CD439F">
        <w:t>«</w:t>
      </w:r>
      <w:r w:rsidRPr="000A3ECD">
        <w:t>Hvalfangstsaken</w:t>
      </w:r>
      <w:r w:rsidR="00CD439F">
        <w:t>»</w:t>
      </w:r>
      <w:r w:rsidRPr="554CF858">
        <w:t xml:space="preserve"> hvor domstolen la </w:t>
      </w:r>
      <w:r w:rsidRPr="554CF858">
        <w:rPr>
          <w:rFonts w:cs="Times New Roman"/>
        </w:rPr>
        <w:t>vekt på at en stat må vurdere om ikke</w:t>
      </w:r>
      <w:r w:rsidRPr="554CF858">
        <w:rPr>
          <w:rFonts w:ascii="Cambria Math" w:hAnsi="Cambria Math" w:cs="Cambria Math"/>
        </w:rPr>
        <w:t>‑</w:t>
      </w:r>
      <w:r w:rsidRPr="554CF858">
        <w:rPr>
          <w:rFonts w:cs="Times New Roman"/>
        </w:rPr>
        <w:t>d</w:t>
      </w:r>
      <w:r w:rsidRPr="554CF858">
        <w:rPr>
          <w:rFonts w:cs="Open Sans"/>
        </w:rPr>
        <w:t>ø</w:t>
      </w:r>
      <w:r w:rsidRPr="554CF858">
        <w:rPr>
          <w:rFonts w:cs="Times New Roman"/>
        </w:rPr>
        <w:t>delige alternativer kan dekke de samme form</w:t>
      </w:r>
      <w:r w:rsidRPr="554CF858">
        <w:rPr>
          <w:rFonts w:cs="Open Sans"/>
        </w:rPr>
        <w:t>å</w:t>
      </w:r>
      <w:r w:rsidRPr="554CF858">
        <w:rPr>
          <w:rFonts w:cs="Times New Roman"/>
        </w:rPr>
        <w:t>lene som d</w:t>
      </w:r>
      <w:r w:rsidRPr="554CF858">
        <w:rPr>
          <w:rFonts w:cs="Open Sans"/>
        </w:rPr>
        <w:t>ø</w:t>
      </w:r>
      <w:r w:rsidRPr="554CF858">
        <w:rPr>
          <w:rFonts w:cs="Times New Roman"/>
        </w:rPr>
        <w:t>delige metoder f</w:t>
      </w:r>
      <w:r w:rsidRPr="554CF858">
        <w:rPr>
          <w:rFonts w:cs="Open Sans"/>
        </w:rPr>
        <w:t>ø</w:t>
      </w:r>
      <w:r w:rsidRPr="554CF858">
        <w:rPr>
          <w:rFonts w:cs="Times New Roman"/>
        </w:rPr>
        <w:t>r de bestemmer seg for omfattende d</w:t>
      </w:r>
      <w:r w:rsidRPr="554CF858">
        <w:rPr>
          <w:rFonts w:cs="Open Sans"/>
        </w:rPr>
        <w:t>ø</w:t>
      </w:r>
      <w:r w:rsidRPr="554CF858">
        <w:rPr>
          <w:rFonts w:cs="Times New Roman"/>
        </w:rPr>
        <w:t xml:space="preserve">delig fangst under en </w:t>
      </w:r>
      <w:r w:rsidR="00CD439F">
        <w:rPr>
          <w:rFonts w:cs="Open Sans"/>
        </w:rPr>
        <w:t>«</w:t>
      </w:r>
      <w:proofErr w:type="spellStart"/>
      <w:r w:rsidRPr="554CF858">
        <w:rPr>
          <w:rFonts w:cs="Times New Roman"/>
        </w:rPr>
        <w:t>scientific</w:t>
      </w:r>
      <w:proofErr w:type="spellEnd"/>
      <w:r w:rsidRPr="554CF858">
        <w:rPr>
          <w:rFonts w:cs="Times New Roman"/>
        </w:rPr>
        <w:t xml:space="preserve"> </w:t>
      </w:r>
      <w:proofErr w:type="spellStart"/>
      <w:r w:rsidRPr="554CF858">
        <w:rPr>
          <w:rFonts w:cs="Times New Roman"/>
        </w:rPr>
        <w:t>research</w:t>
      </w:r>
      <w:proofErr w:type="spellEnd"/>
      <w:r w:rsidR="00CD439F">
        <w:rPr>
          <w:rFonts w:cs="Open Sans"/>
        </w:rPr>
        <w:t>»</w:t>
      </w:r>
      <w:r w:rsidRPr="554CF858">
        <w:rPr>
          <w:rFonts w:ascii="Cambria Math" w:hAnsi="Cambria Math" w:cs="Cambria Math"/>
        </w:rPr>
        <w:t>‑</w:t>
      </w:r>
      <w:r w:rsidRPr="554CF858">
        <w:rPr>
          <w:rFonts w:cs="Times New Roman"/>
        </w:rPr>
        <w:t xml:space="preserve">unntaksbestemmelse i </w:t>
      </w:r>
      <w:r w:rsidRPr="000D6EF2">
        <w:rPr>
          <w:rFonts w:cs="Times New Roman"/>
        </w:rPr>
        <w:t xml:space="preserve">International Convention for </w:t>
      </w:r>
      <w:proofErr w:type="spellStart"/>
      <w:r w:rsidRPr="000D6EF2">
        <w:rPr>
          <w:rFonts w:cs="Times New Roman"/>
        </w:rPr>
        <w:t>the</w:t>
      </w:r>
      <w:proofErr w:type="spellEnd"/>
      <w:r w:rsidRPr="000D6EF2">
        <w:rPr>
          <w:rFonts w:cs="Times New Roman"/>
        </w:rPr>
        <w:t xml:space="preserve"> </w:t>
      </w:r>
      <w:proofErr w:type="spellStart"/>
      <w:r w:rsidRPr="000D6EF2">
        <w:rPr>
          <w:rFonts w:cs="Times New Roman"/>
        </w:rPr>
        <w:t>Regulation</w:t>
      </w:r>
      <w:proofErr w:type="spellEnd"/>
      <w:r w:rsidRPr="000D6EF2">
        <w:rPr>
          <w:rFonts w:cs="Times New Roman"/>
        </w:rPr>
        <w:t xml:space="preserve"> </w:t>
      </w:r>
      <w:proofErr w:type="spellStart"/>
      <w:r w:rsidRPr="000D6EF2">
        <w:rPr>
          <w:rFonts w:cs="Times New Roman"/>
        </w:rPr>
        <w:t>of</w:t>
      </w:r>
      <w:proofErr w:type="spellEnd"/>
      <w:r w:rsidRPr="000D6EF2">
        <w:rPr>
          <w:rFonts w:cs="Times New Roman"/>
        </w:rPr>
        <w:t xml:space="preserve"> </w:t>
      </w:r>
      <w:proofErr w:type="spellStart"/>
      <w:r w:rsidRPr="000D6EF2">
        <w:rPr>
          <w:rFonts w:cs="Times New Roman"/>
        </w:rPr>
        <w:t>Whaling</w:t>
      </w:r>
      <w:proofErr w:type="spellEnd"/>
      <w:r w:rsidRPr="000D6EF2">
        <w:rPr>
          <w:rFonts w:cs="Times New Roman"/>
        </w:rPr>
        <w:t>.</w:t>
      </w:r>
      <w:r w:rsidR="00CD439F" w:rsidRPr="00CD439F">
        <w:rPr>
          <w:rStyle w:val="Fotnotereferanse"/>
        </w:rPr>
        <w:footnoteReference w:id="182"/>
      </w:r>
      <w:r>
        <w:rPr>
          <w:rFonts w:cs="Times New Roman"/>
        </w:rPr>
        <w:t xml:space="preserve"> </w:t>
      </w:r>
      <w:r w:rsidRPr="554CF858">
        <w:rPr>
          <w:rFonts w:cs="Times New Roman"/>
        </w:rPr>
        <w:t>I denne vurderingen uttalte domstolen at det burde vært gjennomført en analyse av om ikke</w:t>
      </w:r>
      <w:r w:rsidRPr="554CF858">
        <w:rPr>
          <w:rFonts w:ascii="Cambria Math" w:hAnsi="Cambria Math" w:cs="Cambria Math"/>
        </w:rPr>
        <w:t>‑</w:t>
      </w:r>
      <w:r w:rsidRPr="554CF858">
        <w:rPr>
          <w:rFonts w:cs="Times New Roman"/>
        </w:rPr>
        <w:t>d</w:t>
      </w:r>
      <w:r w:rsidRPr="554CF858">
        <w:rPr>
          <w:rFonts w:cs="Open Sans"/>
        </w:rPr>
        <w:t>ø</w:t>
      </w:r>
      <w:r w:rsidRPr="554CF858">
        <w:rPr>
          <w:rFonts w:cs="Times New Roman"/>
        </w:rPr>
        <w:t>delige metoder kunne redusere behovet for d</w:t>
      </w:r>
      <w:r w:rsidRPr="554CF858">
        <w:rPr>
          <w:rFonts w:cs="Open Sans"/>
        </w:rPr>
        <w:t>ø</w:t>
      </w:r>
      <w:r w:rsidRPr="554CF858">
        <w:rPr>
          <w:rFonts w:cs="Times New Roman"/>
        </w:rPr>
        <w:t xml:space="preserve">delig fangst, og tok </w:t>
      </w:r>
      <w:r w:rsidRPr="554CF858">
        <w:rPr>
          <w:rFonts w:cs="Times New Roman"/>
        </w:rPr>
        <w:lastRenderedPageBreak/>
        <w:t>s</w:t>
      </w:r>
      <w:r w:rsidRPr="554CF858">
        <w:rPr>
          <w:rFonts w:cs="Open Sans"/>
        </w:rPr>
        <w:t>æ</w:t>
      </w:r>
      <w:r w:rsidRPr="554CF858">
        <w:rPr>
          <w:rFonts w:cs="Times New Roman"/>
        </w:rPr>
        <w:t>rlig hensyn til</w:t>
      </w:r>
      <w:r>
        <w:rPr>
          <w:rFonts w:cs="Times New Roman"/>
        </w:rPr>
        <w:t xml:space="preserve"> </w:t>
      </w:r>
      <w:r w:rsidRPr="554CF858">
        <w:rPr>
          <w:rFonts w:cs="Times New Roman"/>
        </w:rPr>
        <w:t>I</w:t>
      </w:r>
      <w:r>
        <w:rPr>
          <w:rFonts w:cs="Times New Roman"/>
        </w:rPr>
        <w:t xml:space="preserve">nternational </w:t>
      </w:r>
      <w:proofErr w:type="spellStart"/>
      <w:r w:rsidRPr="554CF858">
        <w:rPr>
          <w:rFonts w:cs="Times New Roman"/>
        </w:rPr>
        <w:t>W</w:t>
      </w:r>
      <w:r>
        <w:rPr>
          <w:rFonts w:cs="Times New Roman"/>
        </w:rPr>
        <w:t>haling</w:t>
      </w:r>
      <w:proofErr w:type="spellEnd"/>
      <w:r>
        <w:rPr>
          <w:rFonts w:cs="Times New Roman"/>
        </w:rPr>
        <w:t xml:space="preserve"> </w:t>
      </w:r>
      <w:r w:rsidRPr="554CF858">
        <w:rPr>
          <w:rFonts w:cs="Times New Roman"/>
        </w:rPr>
        <w:t>C</w:t>
      </w:r>
      <w:r>
        <w:rPr>
          <w:rFonts w:cs="Times New Roman"/>
        </w:rPr>
        <w:t>ommission</w:t>
      </w:r>
      <w:r w:rsidRPr="554CF858">
        <w:rPr>
          <w:rFonts w:ascii="Cambria Math" w:hAnsi="Cambria Math" w:cs="Cambria Math"/>
        </w:rPr>
        <w:t>‑</w:t>
      </w:r>
      <w:r w:rsidRPr="554CF858">
        <w:rPr>
          <w:rFonts w:cs="Times New Roman"/>
        </w:rPr>
        <w:t xml:space="preserve">resolusjoner og retningslinjer som oppfordrer til </w:t>
      </w:r>
      <w:r w:rsidRPr="554CF858">
        <w:rPr>
          <w:rFonts w:cs="Open Sans"/>
        </w:rPr>
        <w:t>å</w:t>
      </w:r>
      <w:r w:rsidRPr="554CF858">
        <w:rPr>
          <w:rFonts w:cs="Times New Roman"/>
        </w:rPr>
        <w:t xml:space="preserve"> vurdere om forskningsm</w:t>
      </w:r>
      <w:r w:rsidRPr="554CF858">
        <w:rPr>
          <w:rFonts w:cs="Open Sans"/>
        </w:rPr>
        <w:t>å</w:t>
      </w:r>
      <w:r w:rsidRPr="554CF858">
        <w:rPr>
          <w:rFonts w:cs="Times New Roman"/>
        </w:rPr>
        <w:t>lene kan oppn</w:t>
      </w:r>
      <w:r w:rsidRPr="554CF858">
        <w:rPr>
          <w:rFonts w:cs="Open Sans"/>
        </w:rPr>
        <w:t>å</w:t>
      </w:r>
      <w:r w:rsidRPr="554CF858">
        <w:rPr>
          <w:rFonts w:cs="Times New Roman"/>
        </w:rPr>
        <w:t xml:space="preserve">s </w:t>
      </w:r>
      <w:r>
        <w:rPr>
          <w:rFonts w:cs="Times New Roman"/>
        </w:rPr>
        <w:t>uten</w:t>
      </w:r>
      <w:r w:rsidRPr="554CF858">
        <w:rPr>
          <w:rFonts w:cs="Times New Roman"/>
        </w:rPr>
        <w:t xml:space="preserve"> dødelige metoder.</w:t>
      </w:r>
    </w:p>
    <w:p w14:paraId="58BA1E6C" w14:textId="77777777" w:rsidR="00794835" w:rsidRDefault="00794835" w:rsidP="00794835">
      <w:pPr>
        <w:rPr>
          <w:rFonts w:cs="Times New Roman"/>
        </w:rPr>
      </w:pPr>
      <w:r w:rsidRPr="554CF858">
        <w:t>Det er grunn til å tolke kravet slik at partene har plikt til å iverksette forebyggende tiltak dersom dette kan medføre at det blir mindre behov for felling. De kan altså ikke passivt avvente at en akutt situasjon skal oppstå, hvor felling kan bli den eneste utvei.</w:t>
      </w:r>
      <w:r>
        <w:t xml:space="preserve"> </w:t>
      </w:r>
      <w:r w:rsidRPr="00F36883">
        <w:t xml:space="preserve">Hva som skal anses som en tilfredsstillende løsning kan også endres over tid i takt med hva som kan utvikles av forebyggende tiltak. Det fremgår ikke uttrykkelig at partene har en plikt til å bidra til utprøving og utvikling av forebyggende tiltak, men det er grunn til </w:t>
      </w:r>
      <w:r>
        <w:t>å</w:t>
      </w:r>
      <w:r w:rsidRPr="00F36883">
        <w:t xml:space="preserve"> hevde at en lojal gjennomføring også forutsetter at partene aktivt vurderer og utprøver nye tiltak som kan minske behovet for felling av dyr oppført p</w:t>
      </w:r>
      <w:r>
        <w:t>å</w:t>
      </w:r>
      <w:r w:rsidRPr="00F36883">
        <w:t xml:space="preserve"> </w:t>
      </w:r>
      <w:r>
        <w:t>Vedlegg</w:t>
      </w:r>
      <w:r w:rsidRPr="00F36883">
        <w:t xml:space="preserve"> II</w:t>
      </w:r>
      <w:r>
        <w:t xml:space="preserve"> og III</w:t>
      </w:r>
      <w:r w:rsidRPr="00F36883">
        <w:t>.</w:t>
      </w:r>
    </w:p>
    <w:p w14:paraId="47F05505" w14:textId="2D103A75" w:rsidR="00794835" w:rsidRDefault="00794835" w:rsidP="00794835">
      <w:r w:rsidRPr="6908AAFB">
        <w:t>Det er ikke nærmere definert hva som skal anses som en tilfredsstillende løsning. Men her indikerer ordlyden i seg selv en interesseavveining i form av en proporsjonalitetsevaluering. Tiltak skal ikke gå lenger enn nødvendig for å løse problemet (f.eks. skade på tamrein). Dersom det finnes andre løsninger enn å felle dyr, for eksempel gjennom preventive tiltak eller ikke-dødelige metoder, skal disse løsningene gis forrang.</w:t>
      </w:r>
      <w:r w:rsidR="00CD439F" w:rsidRPr="00CD439F">
        <w:rPr>
          <w:rStyle w:val="Fotnotereferanse"/>
        </w:rPr>
        <w:footnoteReference w:id="183"/>
      </w:r>
      <w:r>
        <w:t xml:space="preserve"> </w:t>
      </w:r>
      <w:r w:rsidRPr="6908AAFB">
        <w:t xml:space="preserve">I vurderingen av hvilke hensyn som er relevante og vekten av disse hensynene må det tas utgangspunkt i hva som er Bernkonvensjonens formål. Som tidligere nevnt legger artikkel 2 størst vekt på vern av truede planter og dyrearter, men bestemmelsen åpner også for å ta økonomiske og </w:t>
      </w:r>
      <w:proofErr w:type="spellStart"/>
      <w:r w:rsidRPr="6908AAFB">
        <w:t>rekreasjonsmessige</w:t>
      </w:r>
      <w:proofErr w:type="spellEnd"/>
      <w:r w:rsidRPr="6908AAFB">
        <w:t xml:space="preserve"> hensyn. Dette innebærer at det må være akseptabelt å foreta en interesseavveining hvor verneinteressene tillegges større vekt jo mer truet vedkommende bestand er. Det kan også spørres om omstillinger bør kreves i den aktuelle næringen dersom dette er nødvendig for å sikre rovviltbestanden. Dersom bestanden er nede på et tilstrekkelig lavt nivå bør dette tolkningsalternativet ikke utelukkes. Vilkåret om at det ikke finnes annen tilfredsstillende løsning er utpreget skjønnsmessig og det er grunn til å tillate nasjonale myndigheter en rimelig skjønnsfrihet ut fra nasjonale tradisjoner og lokale forhold. Skjønnsmyndigheten må imidlertid ikke strekkes så langt at verneformålet med Bernkonvensjonen blir undergravd.</w:t>
      </w:r>
    </w:p>
    <w:p w14:paraId="10172CFF" w14:textId="04856229" w:rsidR="00794835" w:rsidRDefault="00794835" w:rsidP="00794835">
      <w:pPr>
        <w:rPr>
          <w:rFonts w:cs="Times New Roman"/>
          <w:lang w:val="en-US"/>
        </w:rPr>
      </w:pPr>
      <w:r w:rsidRPr="00F36883">
        <w:t xml:space="preserve">Den Permanente Komiteen har pekt på nødvendigheten til å </w:t>
      </w:r>
      <w:r>
        <w:t>legge vekt på behovet for sameksistens mellom rovvilt og andre interesser</w:t>
      </w:r>
      <w:r w:rsidRPr="00F36883">
        <w:t xml:space="preserve">. </w:t>
      </w:r>
      <w:proofErr w:type="spellStart"/>
      <w:r w:rsidRPr="554CF858">
        <w:rPr>
          <w:rFonts w:cs="Times New Roman"/>
          <w:lang w:val="en-US"/>
        </w:rPr>
        <w:t>Komiteen</w:t>
      </w:r>
      <w:proofErr w:type="spellEnd"/>
      <w:r w:rsidRPr="554CF858">
        <w:rPr>
          <w:rFonts w:cs="Times New Roman"/>
          <w:lang w:val="en-US"/>
        </w:rPr>
        <w:t xml:space="preserve"> </w:t>
      </w:r>
      <w:proofErr w:type="spellStart"/>
      <w:r w:rsidRPr="554CF858">
        <w:rPr>
          <w:rFonts w:cs="Times New Roman"/>
          <w:lang w:val="en-US"/>
        </w:rPr>
        <w:t>gjentok</w:t>
      </w:r>
      <w:proofErr w:type="spellEnd"/>
      <w:r>
        <w:rPr>
          <w:rFonts w:cs="Times New Roman"/>
          <w:lang w:val="en-US"/>
        </w:rPr>
        <w:t xml:space="preserve"> </w:t>
      </w:r>
      <w:proofErr w:type="spellStart"/>
      <w:r>
        <w:rPr>
          <w:rFonts w:cs="Times New Roman"/>
          <w:lang w:val="en-US"/>
        </w:rPr>
        <w:t>dette</w:t>
      </w:r>
      <w:proofErr w:type="spellEnd"/>
      <w:r>
        <w:rPr>
          <w:rFonts w:cs="Times New Roman"/>
          <w:lang w:val="en-US"/>
        </w:rPr>
        <w:t xml:space="preserve"> </w:t>
      </w:r>
      <w:proofErr w:type="spellStart"/>
      <w:r>
        <w:rPr>
          <w:rFonts w:cs="Times New Roman"/>
          <w:lang w:val="en-US"/>
        </w:rPr>
        <w:t>i</w:t>
      </w:r>
      <w:proofErr w:type="spellEnd"/>
      <w:r>
        <w:rPr>
          <w:rFonts w:cs="Times New Roman"/>
          <w:lang w:val="en-US"/>
        </w:rPr>
        <w:t xml:space="preserve"> </w:t>
      </w:r>
      <w:proofErr w:type="spellStart"/>
      <w:r>
        <w:rPr>
          <w:rFonts w:cs="Times New Roman"/>
          <w:lang w:val="en-US"/>
        </w:rPr>
        <w:t>ulvesaken</w:t>
      </w:r>
      <w:proofErr w:type="spellEnd"/>
      <w:r>
        <w:rPr>
          <w:rFonts w:cs="Times New Roman"/>
          <w:lang w:val="en-US"/>
        </w:rPr>
        <w:t xml:space="preserve"> </w:t>
      </w:r>
      <w:proofErr w:type="spellStart"/>
      <w:r>
        <w:rPr>
          <w:rFonts w:cs="Times New Roman"/>
          <w:lang w:val="en-US"/>
        </w:rPr>
        <w:t>når</w:t>
      </w:r>
      <w:proofErr w:type="spellEnd"/>
      <w:r>
        <w:rPr>
          <w:rFonts w:cs="Times New Roman"/>
          <w:lang w:val="en-US"/>
        </w:rPr>
        <w:t xml:space="preserve"> den </w:t>
      </w:r>
      <w:proofErr w:type="spellStart"/>
      <w:r>
        <w:rPr>
          <w:rFonts w:cs="Times New Roman"/>
          <w:lang w:val="en-US"/>
        </w:rPr>
        <w:t>krevde</w:t>
      </w:r>
      <w:proofErr w:type="spellEnd"/>
      <w:r>
        <w:rPr>
          <w:rFonts w:cs="Times New Roman"/>
          <w:lang w:val="en-US"/>
        </w:rPr>
        <w:t xml:space="preserve"> at Norge </w:t>
      </w:r>
      <w:r w:rsidR="00CD439F">
        <w:rPr>
          <w:lang w:val="en-US"/>
        </w:rPr>
        <w:t>«</w:t>
      </w:r>
      <w:proofErr w:type="spellStart"/>
      <w:r w:rsidRPr="554CF858">
        <w:rPr>
          <w:rFonts w:cs="Times New Roman"/>
          <w:lang w:val="en-US"/>
        </w:rPr>
        <w:t>prioritise</w:t>
      </w:r>
      <w:proofErr w:type="spellEnd"/>
      <w:r w:rsidRPr="554CF858">
        <w:rPr>
          <w:rFonts w:cs="Times New Roman"/>
          <w:lang w:val="en-US"/>
        </w:rPr>
        <w:t xml:space="preserve"> non-lethal, proven measures of damage reduction and conflict mitigation to enhance long-term </w:t>
      </w:r>
      <w:r w:rsidRPr="00AE36D4">
        <w:rPr>
          <w:rFonts w:cs="Times New Roman"/>
          <w:lang w:val="en-US"/>
        </w:rPr>
        <w:t>co-existence</w:t>
      </w:r>
      <w:r w:rsidRPr="554CF858">
        <w:rPr>
          <w:rFonts w:cs="Times New Roman"/>
          <w:lang w:val="en-US"/>
        </w:rPr>
        <w:t xml:space="preserve"> between humans and large carnivores, referring to available best practice, such as </w:t>
      </w:r>
      <w:r w:rsidR="00CD439F">
        <w:rPr>
          <w:rFonts w:cs="Times New Roman"/>
          <w:lang w:val="en-US"/>
        </w:rPr>
        <w:t>«</w:t>
      </w:r>
      <w:r w:rsidRPr="554CF858">
        <w:rPr>
          <w:rFonts w:cs="Times New Roman"/>
          <w:lang w:val="en-US"/>
        </w:rPr>
        <w:t xml:space="preserve">Best practices for management </w:t>
      </w:r>
      <w:r w:rsidRPr="554CF858">
        <w:rPr>
          <w:rFonts w:cs="Times New Roman"/>
          <w:lang w:val="en-US"/>
        </w:rPr>
        <w:lastRenderedPageBreak/>
        <w:t>of large carnivores in Europe with respect to lethal and non-lethal management measures</w:t>
      </w:r>
      <w:r w:rsidR="00CD439F">
        <w:rPr>
          <w:lang w:val="en-US"/>
        </w:rPr>
        <w:t>»</w:t>
      </w:r>
      <w:r w:rsidRPr="554CF858">
        <w:rPr>
          <w:rFonts w:cs="Times New Roman"/>
          <w:lang w:val="en-US"/>
        </w:rPr>
        <w:t>.</w:t>
      </w:r>
      <w:r w:rsidR="00CD439F" w:rsidRPr="00CD439F">
        <w:rPr>
          <w:rStyle w:val="Fotnotereferanse"/>
        </w:rPr>
        <w:footnoteReference w:id="184"/>
      </w:r>
    </w:p>
    <w:p w14:paraId="6542B378" w14:textId="3F0BEBDB" w:rsidR="00794835" w:rsidRDefault="00794835" w:rsidP="00794835">
      <w:pPr>
        <w:pStyle w:val="Overskrift3"/>
        <w:rPr>
          <w:lang w:val="en-US"/>
        </w:rPr>
      </w:pPr>
      <w:bookmarkStart w:id="47" w:name="_Toc223433110"/>
      <w:proofErr w:type="spellStart"/>
      <w:r>
        <w:rPr>
          <w:lang w:val="en-US"/>
        </w:rPr>
        <w:t>Retten</w:t>
      </w:r>
      <w:proofErr w:type="spellEnd"/>
      <w:r>
        <w:rPr>
          <w:lang w:val="en-US"/>
        </w:rPr>
        <w:t xml:space="preserve"> </w:t>
      </w:r>
      <w:proofErr w:type="spellStart"/>
      <w:r>
        <w:rPr>
          <w:lang w:val="en-US"/>
        </w:rPr>
        <w:t>til</w:t>
      </w:r>
      <w:proofErr w:type="spellEnd"/>
      <w:r>
        <w:rPr>
          <w:lang w:val="en-US"/>
        </w:rPr>
        <w:t xml:space="preserve"> </w:t>
      </w:r>
      <w:proofErr w:type="spellStart"/>
      <w:r>
        <w:rPr>
          <w:lang w:val="en-US"/>
        </w:rPr>
        <w:t>nødverge</w:t>
      </w:r>
      <w:bookmarkEnd w:id="47"/>
      <w:proofErr w:type="spellEnd"/>
    </w:p>
    <w:p w14:paraId="69B54176" w14:textId="77777777" w:rsidR="00794835" w:rsidRDefault="00794835" w:rsidP="00794835">
      <w:r>
        <w:t>Retten til n</w:t>
      </w:r>
      <w:r w:rsidRPr="75356CD1">
        <w:t xml:space="preserve">ødverge er ikke nevnt i </w:t>
      </w:r>
      <w:r>
        <w:t>Bernk</w:t>
      </w:r>
      <w:r w:rsidRPr="75356CD1">
        <w:t>onvensjonen.</w:t>
      </w:r>
      <w:r>
        <w:t xml:space="preserve"> En slik rett må vurderes etter unntaksregelen i artikkel 9. Første strekpunkt tillater felling hvor formålet er å forhindre</w:t>
      </w:r>
      <w:r w:rsidRPr="75356CD1">
        <w:t xml:space="preserve"> </w:t>
      </w:r>
      <w:r>
        <w:t xml:space="preserve">alvorlig skade på </w:t>
      </w:r>
      <w:r w:rsidRPr="00F36883">
        <w:t>husdyr</w:t>
      </w:r>
      <w:r>
        <w:t>, som også omfatter</w:t>
      </w:r>
      <w:r w:rsidRPr="00F36883">
        <w:t xml:space="preserve"> tamrein.</w:t>
      </w:r>
      <w:r>
        <w:t xml:space="preserve"> I tillegg må de generelle kravene oppfylles om at felling ikke vil være skadelig for vedkommende bestands overlevelse og </w:t>
      </w:r>
      <w:r w:rsidRPr="554CF858">
        <w:t>at det ikke finnes en annen tilfredsstillende løsning</w:t>
      </w:r>
      <w:r>
        <w:t>.</w:t>
      </w:r>
    </w:p>
    <w:p w14:paraId="6313EAB8" w14:textId="77777777" w:rsidR="00303661" w:rsidRDefault="00794835" w:rsidP="00794835">
      <w:r w:rsidRPr="75356CD1">
        <w:t xml:space="preserve">Nødvergeretten mot rovdyr handler om i hvilke situasjoner man </w:t>
      </w:r>
      <w:r>
        <w:t xml:space="preserve">kan foreta felling </w:t>
      </w:r>
      <w:r w:rsidRPr="75356CD1">
        <w:t>uten å ha fått særskilt fellingstillatelse.</w:t>
      </w:r>
      <w:r>
        <w:t xml:space="preserve"> Kravet til at det må foreligge fare for en alvorlig skade innebærer at </w:t>
      </w:r>
      <w:r w:rsidRPr="75356CD1">
        <w:t xml:space="preserve">rovdyret faktisk </w:t>
      </w:r>
      <w:r>
        <w:t xml:space="preserve">må </w:t>
      </w:r>
      <w:r w:rsidRPr="75356CD1">
        <w:t xml:space="preserve">angripe eller det må være en reell og overhengende fare for angrep. </w:t>
      </w:r>
      <w:r>
        <w:t xml:space="preserve">Det er vanskelig å tenke seg at bruk av nødverge i seg selv skulle true vedkommende bestands overlevelse. Men det er en </w:t>
      </w:r>
      <w:r w:rsidRPr="75356CD1">
        <w:t xml:space="preserve">absolutt forutsetning at </w:t>
      </w:r>
      <w:r>
        <w:t>nødvergeretten bare</w:t>
      </w:r>
      <w:r w:rsidRPr="75356CD1">
        <w:t xml:space="preserve"> brukes som siste utvei. </w:t>
      </w:r>
      <w:r>
        <w:t xml:space="preserve">Nødvergehandlingene kan heller ikke </w:t>
      </w:r>
      <w:r w:rsidRPr="75356CD1">
        <w:t xml:space="preserve">gå lenger enn </w:t>
      </w:r>
      <w:r>
        <w:t xml:space="preserve">det som er </w:t>
      </w:r>
      <w:r w:rsidRPr="75356CD1">
        <w:t>nødvendig for å avverge angrepet.</w:t>
      </w:r>
      <w:r>
        <w:t xml:space="preserve"> Og dersom det finnes ikke-dødelige alternativer, må disse anvendes fremfor felling.</w:t>
      </w:r>
    </w:p>
    <w:p w14:paraId="79E36B43" w14:textId="6E2FCE46" w:rsidR="002018DB" w:rsidRDefault="00794835" w:rsidP="00794835">
      <w:r>
        <w:t>Bernkonvensjonens permanente komité har uttrykt bekymring over den siste norske lovendringen om nødvergeretten (se kapittel 5 om endringen):</w:t>
      </w:r>
    </w:p>
    <w:p w14:paraId="1C245AF4" w14:textId="185E7D7B" w:rsidR="00794835" w:rsidRPr="00CD439F" w:rsidRDefault="00CD439F" w:rsidP="00D96CC5">
      <w:pPr>
        <w:pStyle w:val="blokksit"/>
        <w:rPr>
          <w:lang w:val="en-GB"/>
        </w:rPr>
      </w:pPr>
      <w:r w:rsidRPr="00404399">
        <w:rPr>
          <w:lang w:val="en-US"/>
        </w:rPr>
        <w:t>«</w:t>
      </w:r>
      <w:r w:rsidR="00794835" w:rsidRPr="00404399">
        <w:rPr>
          <w:lang w:val="en-US"/>
        </w:rPr>
        <w:t xml:space="preserve">220. Expressed concern over the implications for the recent amendment to the clause on emergency culling in the Nature Diversity Act, in cases when </w:t>
      </w:r>
      <w:r w:rsidRPr="00404399">
        <w:rPr>
          <w:lang w:val="en-US"/>
        </w:rPr>
        <w:t>«</w:t>
      </w:r>
      <w:r w:rsidR="00794835" w:rsidRPr="00404399">
        <w:rPr>
          <w:lang w:val="en-US"/>
        </w:rPr>
        <w:t>it is highly probable that an attack on grazing animals is imminent</w:t>
      </w:r>
      <w:r w:rsidRPr="00404399">
        <w:rPr>
          <w:lang w:val="en-US"/>
        </w:rPr>
        <w:t>»</w:t>
      </w:r>
      <w:r w:rsidR="00794835" w:rsidRPr="00404399">
        <w:rPr>
          <w:lang w:val="en-US"/>
        </w:rPr>
        <w:t xml:space="preserve"> and asked for it to be reconsidered in light of the provisions of the Bern Convention.</w:t>
      </w:r>
      <w:r w:rsidRPr="00404399">
        <w:rPr>
          <w:lang w:val="en-US"/>
        </w:rPr>
        <w:t>»</w:t>
      </w:r>
      <w:r w:rsidRPr="00CD439F">
        <w:rPr>
          <w:rStyle w:val="Fotnotereferanse"/>
        </w:rPr>
        <w:footnoteReference w:id="185"/>
      </w:r>
    </w:p>
    <w:p w14:paraId="181BB8FE" w14:textId="7775B11E" w:rsidR="00794835" w:rsidRDefault="00794835" w:rsidP="00794835">
      <w:pPr>
        <w:pStyle w:val="Overskrift2"/>
      </w:pPr>
      <w:bookmarkStart w:id="48" w:name="_Toc223433111"/>
      <w:r>
        <w:t>Konvensjonen om biologisk mangfold</w:t>
      </w:r>
      <w:bookmarkEnd w:id="48"/>
    </w:p>
    <w:p w14:paraId="106E5E3A" w14:textId="77777777" w:rsidR="00794835" w:rsidRDefault="00794835" w:rsidP="00794835">
      <w:r w:rsidRPr="00F36883">
        <w:t>Konvensjonen om biologisk mangfold (CBD) ble vedtatt i 1992 og trådte i kraft i 1993. CBD er en global miljøavtale med tre hovedmål</w:t>
      </w:r>
      <w:r>
        <w:t xml:space="preserve">: </w:t>
      </w:r>
      <w:r w:rsidRPr="00F36883">
        <w:t>bevaring av biologisk mangfold, bærekraftig bruk av det biologiske mangfoldet, og rettferdig fordeling av fordeler fra utnyttelse av genetiske ressurser.</w:t>
      </w:r>
    </w:p>
    <w:p w14:paraId="0EEF4DFB" w14:textId="77777777" w:rsidR="00303661" w:rsidRDefault="00794835" w:rsidP="00794835">
      <w:r w:rsidRPr="00F36883">
        <w:t xml:space="preserve">De mest sentrale pliktene er å utvikle nasjonale strategier og handlingsplaner etter </w:t>
      </w:r>
      <w:r>
        <w:t>artikkel</w:t>
      </w:r>
      <w:r w:rsidRPr="00F36883">
        <w:t xml:space="preserve"> 6 og integrere hensynet til naturmangfold i sektorpolitikk</w:t>
      </w:r>
      <w:r>
        <w:t>en</w:t>
      </w:r>
      <w:r w:rsidRPr="00F36883">
        <w:t xml:space="preserve"> (landbruk, energi, transport osv.).</w:t>
      </w:r>
    </w:p>
    <w:p w14:paraId="4B65CC70" w14:textId="0E2079DA" w:rsidR="00794835" w:rsidRDefault="00794835" w:rsidP="00794835">
      <w:r w:rsidRPr="00F36883">
        <w:lastRenderedPageBreak/>
        <w:t xml:space="preserve">Videre er </w:t>
      </w:r>
      <w:r>
        <w:t>partene</w:t>
      </w:r>
      <w:r w:rsidRPr="00F36883">
        <w:t xml:space="preserve"> forpliktet til å bevare økosystemer, arter og genetisk mangfold. Etter artikkel 8 skal </w:t>
      </w:r>
      <w:r>
        <w:t>statene</w:t>
      </w:r>
      <w:r w:rsidRPr="00F36883">
        <w:t xml:space="preserve"> etablere verneområder (nasjonalparker, naturreservater), ta vare på truede arter og truede naturtyper, forebygge og redusere inngrep og ødeleggelser i naturen og beskytte genetisk mangfold – også i landbruk og skogbruk.</w:t>
      </w:r>
    </w:p>
    <w:p w14:paraId="61A7A023" w14:textId="77777777" w:rsidR="00794835" w:rsidRDefault="00794835" w:rsidP="00794835">
      <w:r w:rsidRPr="00D729D0">
        <w:rPr>
          <w:rFonts w:cs="Times New Roman"/>
        </w:rPr>
        <w:t>CBD anerkjenner betydningen av tradisjonell kunnskap (</w:t>
      </w:r>
      <w:r>
        <w:rPr>
          <w:rFonts w:cs="Times New Roman"/>
        </w:rPr>
        <w:t>a</w:t>
      </w:r>
      <w:r w:rsidRPr="00D729D0">
        <w:rPr>
          <w:rFonts w:cs="Times New Roman"/>
        </w:rPr>
        <w:t>rtikkel 8j) og urfolks rettigheter i forvaltningen av biologisk mangfold, inkludert store rovdyr.</w:t>
      </w:r>
    </w:p>
    <w:p w14:paraId="3426BEA9" w14:textId="26971816" w:rsidR="00794835" w:rsidRDefault="00794835" w:rsidP="00794835">
      <w:r w:rsidRPr="00F36883">
        <w:t xml:space="preserve">Artikkel 10 inneholder forpliktelsen til bærekraftig bruk av biologiske ressurser. Dette betyr at </w:t>
      </w:r>
      <w:r>
        <w:t>statene</w:t>
      </w:r>
      <w:r w:rsidRPr="00F36883">
        <w:t xml:space="preserve"> må sørge for at bruk av naturen ikke skader økosystemene, tilpasse jakt, fiske, jordbruk og skogbruk til økologisk bærekraft og redusere overforbruk og ressursødeleggelse.</w:t>
      </w:r>
      <w:r>
        <w:t xml:space="preserve"> </w:t>
      </w:r>
      <w:r w:rsidRPr="00F36883">
        <w:t xml:space="preserve">Forpliktelsene under CBD omfatter også rovdyr selv om </w:t>
      </w:r>
      <w:r>
        <w:t>konvensjonen</w:t>
      </w:r>
      <w:r w:rsidRPr="00F36883">
        <w:t xml:space="preserve"> ikke spesifikt nevner </w:t>
      </w:r>
      <w:r w:rsidR="00CD439F">
        <w:t>«</w:t>
      </w:r>
      <w:r w:rsidRPr="00F36883">
        <w:t>rovdyr</w:t>
      </w:r>
      <w:r w:rsidR="00CD439F">
        <w:t>»</w:t>
      </w:r>
      <w:r w:rsidRPr="00F36883">
        <w:t>.</w:t>
      </w:r>
    </w:p>
    <w:p w14:paraId="4CEFCB3B" w14:textId="71F46A16" w:rsidR="00303661" w:rsidRDefault="00794835" w:rsidP="00794835">
      <w:r w:rsidRPr="47A0B628">
        <w:t xml:space="preserve">Kunming-Montreal rammeverket (den såkalte </w:t>
      </w:r>
      <w:r w:rsidR="00CD439F">
        <w:t>«</w:t>
      </w:r>
      <w:r w:rsidRPr="47A0B628">
        <w:t>Naturavtalen</w:t>
      </w:r>
      <w:r w:rsidR="00CD439F">
        <w:t>»</w:t>
      </w:r>
      <w:r w:rsidRPr="47A0B628">
        <w:t>) som ble vedtatt av CBDs partskonferanse i 2022</w:t>
      </w:r>
      <w:r w:rsidR="00CD439F" w:rsidRPr="00CD439F">
        <w:rPr>
          <w:rStyle w:val="Fotnotereferanse"/>
        </w:rPr>
        <w:footnoteReference w:id="186"/>
      </w:r>
      <w:r w:rsidRPr="47A0B628">
        <w:t xml:space="preserve"> bygger på de tre CBD-målene, inkludert bevaring og bærekraftig bruk. Selv om rammeverket ikke er rettslig bindende, konkretiserer det forpliktelsene i konvensjonen.</w:t>
      </w:r>
    </w:p>
    <w:p w14:paraId="76325160" w14:textId="5681E330" w:rsidR="00794835" w:rsidRPr="00693A45" w:rsidRDefault="00794835" w:rsidP="00794835">
      <w:r w:rsidRPr="0023639A">
        <w:t xml:space="preserve">Rammeverket setter opp fire hovedformål og 23 målsetninger. </w:t>
      </w:r>
      <w:r w:rsidRPr="00693A45">
        <w:t xml:space="preserve">Relevant for rovviltforvaltningen er særlig Hovedmål A om </w:t>
      </w:r>
      <w:r w:rsidR="00CD439F">
        <w:t>«</w:t>
      </w:r>
      <w:proofErr w:type="spellStart"/>
      <w:r w:rsidRPr="00693A45">
        <w:t>genetic</w:t>
      </w:r>
      <w:proofErr w:type="spellEnd"/>
      <w:r w:rsidRPr="00693A45">
        <w:t xml:space="preserve"> </w:t>
      </w:r>
      <w:proofErr w:type="spellStart"/>
      <w:r w:rsidRPr="00693A45">
        <w:t>diversity</w:t>
      </w:r>
      <w:proofErr w:type="spellEnd"/>
      <w:r w:rsidRPr="00693A45">
        <w:t xml:space="preserve"> </w:t>
      </w:r>
      <w:proofErr w:type="spellStart"/>
      <w:r w:rsidRPr="00693A45">
        <w:t>within</w:t>
      </w:r>
      <w:proofErr w:type="spellEnd"/>
      <w:r w:rsidRPr="00693A45">
        <w:t xml:space="preserve"> </w:t>
      </w:r>
      <w:proofErr w:type="spellStart"/>
      <w:r w:rsidRPr="00693A45">
        <w:t>wild</w:t>
      </w:r>
      <w:proofErr w:type="spellEnd"/>
      <w:r w:rsidRPr="00693A45">
        <w:t xml:space="preserve"> species, </w:t>
      </w:r>
      <w:proofErr w:type="spellStart"/>
      <w:r w:rsidRPr="00693A45">
        <w:t>safeguarding</w:t>
      </w:r>
      <w:proofErr w:type="spellEnd"/>
      <w:r w:rsidRPr="00693A45">
        <w:t xml:space="preserve"> </w:t>
      </w:r>
      <w:proofErr w:type="spellStart"/>
      <w:r w:rsidRPr="00693A45">
        <w:t>their</w:t>
      </w:r>
      <w:proofErr w:type="spellEnd"/>
      <w:r w:rsidRPr="00693A45">
        <w:t xml:space="preserve"> adaptive </w:t>
      </w:r>
      <w:proofErr w:type="spellStart"/>
      <w:r w:rsidRPr="00693A45">
        <w:t>potential</w:t>
      </w:r>
      <w:proofErr w:type="spellEnd"/>
      <w:r w:rsidR="00CD439F">
        <w:t>»</w:t>
      </w:r>
      <w:r w:rsidRPr="00693A45">
        <w:t xml:space="preserve">, målsetning 1 </w:t>
      </w:r>
      <w:r w:rsidR="00CD439F">
        <w:t>«</w:t>
      </w:r>
      <w:r w:rsidRPr="00693A45">
        <w:t xml:space="preserve">bring </w:t>
      </w:r>
      <w:proofErr w:type="spellStart"/>
      <w:r w:rsidRPr="00693A45">
        <w:t>the</w:t>
      </w:r>
      <w:proofErr w:type="spellEnd"/>
      <w:r w:rsidRPr="00693A45">
        <w:t xml:space="preserve"> loss </w:t>
      </w:r>
      <w:proofErr w:type="spellStart"/>
      <w:r w:rsidRPr="00693A45">
        <w:t>of</w:t>
      </w:r>
      <w:proofErr w:type="spellEnd"/>
      <w:r w:rsidRPr="00693A45">
        <w:t xml:space="preserve"> areas </w:t>
      </w:r>
      <w:proofErr w:type="spellStart"/>
      <w:r w:rsidRPr="00693A45">
        <w:t>of</w:t>
      </w:r>
      <w:proofErr w:type="spellEnd"/>
      <w:r w:rsidRPr="00693A45">
        <w:t xml:space="preserve"> </w:t>
      </w:r>
      <w:proofErr w:type="spellStart"/>
      <w:r w:rsidRPr="00693A45">
        <w:t>high</w:t>
      </w:r>
      <w:proofErr w:type="spellEnd"/>
      <w:r w:rsidRPr="00693A45">
        <w:t xml:space="preserve"> </w:t>
      </w:r>
      <w:proofErr w:type="spellStart"/>
      <w:r w:rsidRPr="00693A45">
        <w:t>biodiversity</w:t>
      </w:r>
      <w:proofErr w:type="spellEnd"/>
      <w:r w:rsidRPr="00693A45">
        <w:t xml:space="preserve"> </w:t>
      </w:r>
      <w:proofErr w:type="spellStart"/>
      <w:r w:rsidRPr="00693A45">
        <w:t>importance</w:t>
      </w:r>
      <w:proofErr w:type="spellEnd"/>
      <w:r w:rsidRPr="00693A45">
        <w:t xml:space="preserve"> </w:t>
      </w:r>
      <w:proofErr w:type="spellStart"/>
      <w:r w:rsidRPr="00693A45">
        <w:t>close</w:t>
      </w:r>
      <w:proofErr w:type="spellEnd"/>
      <w:r w:rsidRPr="00693A45">
        <w:t xml:space="preserve"> to zero by 2030</w:t>
      </w:r>
      <w:r w:rsidR="00CD439F">
        <w:t>»</w:t>
      </w:r>
      <w:r w:rsidRPr="00693A45">
        <w:t xml:space="preserve"> og målsetning 4:</w:t>
      </w:r>
    </w:p>
    <w:p w14:paraId="0321F43E" w14:textId="6A9AE5F4" w:rsidR="00794835" w:rsidRPr="00CD439F" w:rsidRDefault="00CD439F" w:rsidP="002C7757">
      <w:pPr>
        <w:pStyle w:val="blokksit"/>
        <w:ind w:left="757"/>
        <w:rPr>
          <w:lang w:val="en-GB"/>
        </w:rPr>
      </w:pPr>
      <w:r>
        <w:rPr>
          <w:lang w:val="en-GB"/>
        </w:rPr>
        <w:t>«</w:t>
      </w:r>
      <w:r w:rsidR="00794835" w:rsidRPr="00CD439F">
        <w:rPr>
          <w:lang w:val="en-GB"/>
        </w:rPr>
        <w:t>ensure urgent management actions to halt human induced extinction of known threatened species and for recovery and conservation of species, to significantly reduce extinction risk, as well as to maintain and restore the genetic diversity within and between populations of native, wild and domesticated species… and effectively manage human-wildlife interactions to minimize human-wildlife conflict for co-existence</w:t>
      </w:r>
      <w:r>
        <w:rPr>
          <w:lang w:val="en-GB"/>
        </w:rPr>
        <w:t>»</w:t>
      </w:r>
      <w:r w:rsidR="00794835" w:rsidRPr="00CD439F">
        <w:rPr>
          <w:lang w:val="en-GB"/>
        </w:rPr>
        <w:t>.</w:t>
      </w:r>
    </w:p>
    <w:p w14:paraId="224762A0" w14:textId="4E363151" w:rsidR="00794835" w:rsidRDefault="00794835" w:rsidP="00794835">
      <w:pPr>
        <w:rPr>
          <w:lang w:val="en-US"/>
        </w:rPr>
      </w:pPr>
      <w:proofErr w:type="spellStart"/>
      <w:r>
        <w:rPr>
          <w:lang w:val="en-US"/>
        </w:rPr>
        <w:t>Statene</w:t>
      </w:r>
      <w:proofErr w:type="spellEnd"/>
      <w:r w:rsidRPr="0023639A">
        <w:rPr>
          <w:lang w:val="en-US"/>
        </w:rPr>
        <w:t xml:space="preserve"> </w:t>
      </w:r>
      <w:proofErr w:type="spellStart"/>
      <w:r w:rsidRPr="0023639A">
        <w:rPr>
          <w:lang w:val="en-US"/>
        </w:rPr>
        <w:t>må</w:t>
      </w:r>
      <w:proofErr w:type="spellEnd"/>
      <w:r w:rsidRPr="0023639A">
        <w:rPr>
          <w:lang w:val="en-US"/>
        </w:rPr>
        <w:t xml:space="preserve"> </w:t>
      </w:r>
      <w:proofErr w:type="spellStart"/>
      <w:r w:rsidRPr="0023639A">
        <w:rPr>
          <w:lang w:val="en-US"/>
        </w:rPr>
        <w:t>altså</w:t>
      </w:r>
      <w:proofErr w:type="spellEnd"/>
      <w:r w:rsidRPr="0023639A">
        <w:rPr>
          <w:lang w:val="en-US"/>
        </w:rPr>
        <w:t xml:space="preserve"> </w:t>
      </w:r>
      <w:proofErr w:type="spellStart"/>
      <w:r w:rsidRPr="0023639A">
        <w:rPr>
          <w:lang w:val="en-US"/>
        </w:rPr>
        <w:t>beskytte</w:t>
      </w:r>
      <w:proofErr w:type="spellEnd"/>
      <w:r w:rsidRPr="0023639A">
        <w:rPr>
          <w:lang w:val="en-US"/>
        </w:rPr>
        <w:t xml:space="preserve"> </w:t>
      </w:r>
      <w:proofErr w:type="spellStart"/>
      <w:r w:rsidRPr="0023639A">
        <w:rPr>
          <w:lang w:val="en-US"/>
        </w:rPr>
        <w:t>leveområder</w:t>
      </w:r>
      <w:proofErr w:type="spellEnd"/>
      <w:r w:rsidRPr="0023639A">
        <w:rPr>
          <w:lang w:val="en-US"/>
        </w:rPr>
        <w:t xml:space="preserve"> for </w:t>
      </w:r>
      <w:proofErr w:type="spellStart"/>
      <w:r w:rsidRPr="0023639A">
        <w:rPr>
          <w:lang w:val="en-US"/>
        </w:rPr>
        <w:t>rovdyr</w:t>
      </w:r>
      <w:proofErr w:type="spellEnd"/>
      <w:r w:rsidRPr="0023639A">
        <w:rPr>
          <w:lang w:val="en-US"/>
        </w:rPr>
        <w:t xml:space="preserve"> </w:t>
      </w:r>
      <w:proofErr w:type="spellStart"/>
      <w:r w:rsidRPr="0023639A">
        <w:rPr>
          <w:lang w:val="en-US"/>
        </w:rPr>
        <w:t>som</w:t>
      </w:r>
      <w:proofErr w:type="spellEnd"/>
      <w:r w:rsidRPr="0023639A">
        <w:rPr>
          <w:lang w:val="en-US"/>
        </w:rPr>
        <w:t xml:space="preserve"> </w:t>
      </w:r>
      <w:proofErr w:type="spellStart"/>
      <w:r w:rsidRPr="0023639A">
        <w:rPr>
          <w:lang w:val="en-US"/>
        </w:rPr>
        <w:t>ulv</w:t>
      </w:r>
      <w:proofErr w:type="spellEnd"/>
      <w:r w:rsidRPr="0023639A">
        <w:rPr>
          <w:lang w:val="en-US"/>
        </w:rPr>
        <w:t xml:space="preserve">, </w:t>
      </w:r>
      <w:proofErr w:type="spellStart"/>
      <w:r w:rsidRPr="0023639A">
        <w:rPr>
          <w:lang w:val="en-US"/>
        </w:rPr>
        <w:t>jerv</w:t>
      </w:r>
      <w:proofErr w:type="spellEnd"/>
      <w:r w:rsidRPr="0023639A">
        <w:rPr>
          <w:lang w:val="en-US"/>
        </w:rPr>
        <w:t xml:space="preserve">, </w:t>
      </w:r>
      <w:proofErr w:type="spellStart"/>
      <w:r w:rsidRPr="0023639A">
        <w:rPr>
          <w:lang w:val="en-US"/>
        </w:rPr>
        <w:t>bjørn</w:t>
      </w:r>
      <w:proofErr w:type="spellEnd"/>
      <w:r w:rsidRPr="0023639A">
        <w:rPr>
          <w:lang w:val="en-US"/>
        </w:rPr>
        <w:t xml:space="preserve">, </w:t>
      </w:r>
      <w:proofErr w:type="spellStart"/>
      <w:r w:rsidRPr="0023639A">
        <w:rPr>
          <w:lang w:val="en-US"/>
        </w:rPr>
        <w:t>gaupe</w:t>
      </w:r>
      <w:proofErr w:type="spellEnd"/>
      <w:r w:rsidRPr="0023639A">
        <w:rPr>
          <w:lang w:val="en-US"/>
        </w:rPr>
        <w:t xml:space="preserve"> og </w:t>
      </w:r>
      <w:proofErr w:type="spellStart"/>
      <w:r w:rsidRPr="0023639A">
        <w:rPr>
          <w:lang w:val="en-US"/>
        </w:rPr>
        <w:t>kongeørn</w:t>
      </w:r>
      <w:proofErr w:type="spellEnd"/>
      <w:r w:rsidRPr="0023639A">
        <w:rPr>
          <w:lang w:val="en-US"/>
        </w:rPr>
        <w:t xml:space="preserve"> og </w:t>
      </w:r>
      <w:proofErr w:type="spellStart"/>
      <w:r w:rsidRPr="0023639A">
        <w:rPr>
          <w:lang w:val="en-US"/>
        </w:rPr>
        <w:t>sikre</w:t>
      </w:r>
      <w:proofErr w:type="spellEnd"/>
      <w:r w:rsidRPr="0023639A">
        <w:rPr>
          <w:lang w:val="en-US"/>
        </w:rPr>
        <w:t xml:space="preserve"> </w:t>
      </w:r>
      <w:r>
        <w:rPr>
          <w:lang w:val="en-US"/>
        </w:rPr>
        <w:t xml:space="preserve">et </w:t>
      </w:r>
      <w:proofErr w:type="spellStart"/>
      <w:r w:rsidRPr="0023639A">
        <w:rPr>
          <w:lang w:val="en-US"/>
        </w:rPr>
        <w:t>bestandsnivå</w:t>
      </w:r>
      <w:proofErr w:type="spellEnd"/>
      <w:r w:rsidRPr="0023639A">
        <w:rPr>
          <w:lang w:val="en-US"/>
        </w:rPr>
        <w:t xml:space="preserve"> </w:t>
      </w:r>
      <w:proofErr w:type="spellStart"/>
      <w:r w:rsidRPr="0023639A">
        <w:rPr>
          <w:lang w:val="en-US"/>
        </w:rPr>
        <w:t>som</w:t>
      </w:r>
      <w:proofErr w:type="spellEnd"/>
      <w:r w:rsidRPr="0023639A">
        <w:rPr>
          <w:lang w:val="en-US"/>
        </w:rPr>
        <w:t xml:space="preserve"> er </w:t>
      </w:r>
      <w:proofErr w:type="spellStart"/>
      <w:r w:rsidRPr="0023639A">
        <w:rPr>
          <w:lang w:val="en-US"/>
        </w:rPr>
        <w:t>forenlig</w:t>
      </w:r>
      <w:proofErr w:type="spellEnd"/>
      <w:r w:rsidRPr="0023639A">
        <w:rPr>
          <w:lang w:val="en-US"/>
        </w:rPr>
        <w:t xml:space="preserve"> med 2030- og 2050-mål</w:t>
      </w:r>
      <w:r>
        <w:rPr>
          <w:lang w:val="en-US"/>
        </w:rPr>
        <w:t xml:space="preserve">ene </w:t>
      </w:r>
      <w:r w:rsidRPr="0023639A">
        <w:rPr>
          <w:lang w:val="en-US"/>
        </w:rPr>
        <w:t xml:space="preserve">om </w:t>
      </w:r>
      <w:r w:rsidR="00CD439F">
        <w:rPr>
          <w:lang w:val="en-US"/>
        </w:rPr>
        <w:t>«</w:t>
      </w:r>
      <w:r w:rsidRPr="0023639A">
        <w:rPr>
          <w:lang w:val="en-US"/>
        </w:rPr>
        <w:t xml:space="preserve">å </w:t>
      </w:r>
      <w:proofErr w:type="spellStart"/>
      <w:r w:rsidRPr="0023639A">
        <w:rPr>
          <w:lang w:val="en-US"/>
        </w:rPr>
        <w:t>leve</w:t>
      </w:r>
      <w:proofErr w:type="spellEnd"/>
      <w:r w:rsidRPr="0023639A">
        <w:rPr>
          <w:lang w:val="en-US"/>
        </w:rPr>
        <w:t xml:space="preserve"> </w:t>
      </w:r>
      <w:proofErr w:type="spellStart"/>
      <w:r w:rsidRPr="0023639A">
        <w:rPr>
          <w:lang w:val="en-US"/>
        </w:rPr>
        <w:t>i</w:t>
      </w:r>
      <w:proofErr w:type="spellEnd"/>
      <w:r w:rsidRPr="0023639A">
        <w:rPr>
          <w:lang w:val="en-US"/>
        </w:rPr>
        <w:t xml:space="preserve"> </w:t>
      </w:r>
      <w:proofErr w:type="spellStart"/>
      <w:r w:rsidRPr="0023639A">
        <w:rPr>
          <w:lang w:val="en-US"/>
        </w:rPr>
        <w:t>harmoni</w:t>
      </w:r>
      <w:proofErr w:type="spellEnd"/>
      <w:r w:rsidRPr="0023639A">
        <w:rPr>
          <w:lang w:val="en-US"/>
        </w:rPr>
        <w:t xml:space="preserve"> med </w:t>
      </w:r>
      <w:proofErr w:type="spellStart"/>
      <w:r w:rsidRPr="0023639A">
        <w:rPr>
          <w:lang w:val="en-US"/>
        </w:rPr>
        <w:t>naturen</w:t>
      </w:r>
      <w:proofErr w:type="spellEnd"/>
      <w:r w:rsidRPr="0023639A">
        <w:rPr>
          <w:lang w:val="en-US"/>
        </w:rPr>
        <w:t>.</w:t>
      </w:r>
      <w:r w:rsidR="00CD439F">
        <w:rPr>
          <w:lang w:val="en-US"/>
        </w:rPr>
        <w:t>»</w:t>
      </w:r>
    </w:p>
    <w:p w14:paraId="25D612B1" w14:textId="77777777" w:rsidR="00794835" w:rsidRDefault="00794835" w:rsidP="00794835">
      <w:r w:rsidRPr="6908AAFB">
        <w:t xml:space="preserve">For rovdyr betyr det å opprettholde prioriterte områder, vandringskorridorer og levedyktige bestander innenfor definerte soner. Dette medfører at uttak (f.eks. skadefelling) må være vitenskapelig begrunnet og bærekraftig. Videre må overordnede bestandsmål ikke </w:t>
      </w:r>
      <w:r>
        <w:t>undergraves</w:t>
      </w:r>
      <w:r w:rsidRPr="6908AAFB">
        <w:t>, særlig ikke i truede områder. Arealbruk og inngrep må planlegges slik at leveområder ikke ødelegges.</w:t>
      </w:r>
    </w:p>
    <w:p w14:paraId="41941B53" w14:textId="7974C5C2" w:rsidR="00794835" w:rsidRDefault="00794835" w:rsidP="00794835">
      <w:r w:rsidRPr="00F36883">
        <w:lastRenderedPageBreak/>
        <w:t xml:space="preserve">Hovedforpliktelsen </w:t>
      </w:r>
      <w:r>
        <w:t>til</w:t>
      </w:r>
      <w:r w:rsidRPr="00F36883">
        <w:t xml:space="preserve"> partene under </w:t>
      </w:r>
      <w:r>
        <w:t>CBD</w:t>
      </w:r>
      <w:r w:rsidRPr="00F36883">
        <w:t xml:space="preserve"> er som sagt å utvikle nasjonale strategier og handlingsplaner (NBSAP) etter </w:t>
      </w:r>
      <w:r>
        <w:t>artikkel</w:t>
      </w:r>
      <w:r w:rsidRPr="00F36883">
        <w:t xml:space="preserve"> 6.</w:t>
      </w:r>
      <w:r w:rsidR="00303661">
        <w:t xml:space="preserve"> </w:t>
      </w:r>
      <w:r w:rsidRPr="00F36883">
        <w:t>Dette er en resultatforpliktelse som er bindende for alle parter.</w:t>
      </w:r>
      <w:r>
        <w:t xml:space="preserve"> </w:t>
      </w:r>
      <w:r w:rsidRPr="00F36883">
        <w:t xml:space="preserve">I forbindelsen med denne hovedforpliktelsen ble partene oppfordret </w:t>
      </w:r>
      <w:r>
        <w:t>til</w:t>
      </w:r>
      <w:r w:rsidRPr="00F36883">
        <w:t xml:space="preserve"> å revidere og oppdatere sine </w:t>
      </w:r>
      <w:proofErr w:type="spellStart"/>
      <w:r w:rsidRPr="00F36883">
        <w:t>NBSAP</w:t>
      </w:r>
      <w:r>
        <w:t>s</w:t>
      </w:r>
      <w:proofErr w:type="spellEnd"/>
      <w:r w:rsidRPr="00F36883">
        <w:t xml:space="preserve"> i lys av veiledningen i Kunming-Montreal</w:t>
      </w:r>
      <w:r>
        <w:t>-r</w:t>
      </w:r>
      <w:r w:rsidRPr="00F36883">
        <w:t>ammeverket.</w:t>
      </w:r>
      <w:r w:rsidR="00CD439F" w:rsidRPr="00CD439F">
        <w:rPr>
          <w:rStyle w:val="Fotnotereferanse"/>
        </w:rPr>
        <w:footnoteReference w:id="187"/>
      </w:r>
      <w:r w:rsidRPr="00F36883">
        <w:t xml:space="preserve"> Det kan derfor sie</w:t>
      </w:r>
      <w:r>
        <w:t>s</w:t>
      </w:r>
      <w:r w:rsidRPr="00F36883">
        <w:t xml:space="preserve"> at </w:t>
      </w:r>
      <w:r>
        <w:t>r</w:t>
      </w:r>
      <w:r w:rsidRPr="00F36883">
        <w:t xml:space="preserve">ammeverket setter opp standarder som partene må se hen til når de forbereder innholdet i sine </w:t>
      </w:r>
      <w:proofErr w:type="spellStart"/>
      <w:r w:rsidRPr="00F36883">
        <w:t>NBSAPs</w:t>
      </w:r>
      <w:proofErr w:type="spellEnd"/>
      <w:r w:rsidRPr="00F36883">
        <w:t>.</w:t>
      </w:r>
      <w:r w:rsidR="00CD439F" w:rsidRPr="00CD439F">
        <w:rPr>
          <w:rStyle w:val="Fotnotereferanse"/>
        </w:rPr>
        <w:footnoteReference w:id="188"/>
      </w:r>
      <w:r w:rsidR="00CD439F" w:rsidRPr="00CD439F">
        <w:rPr>
          <w:rStyle w:val="skrift-hevet"/>
        </w:rPr>
        <w:t xml:space="preserve"> </w:t>
      </w:r>
      <w:r>
        <w:t>S</w:t>
      </w:r>
      <w:r w:rsidRPr="1755F46F">
        <w:t xml:space="preserve">tatene </w:t>
      </w:r>
      <w:r>
        <w:t xml:space="preserve">er </w:t>
      </w:r>
      <w:r w:rsidRPr="1755F46F">
        <w:t>ikke er rettslig bundet til å oppfylle målene i</w:t>
      </w:r>
      <w:r>
        <w:t xml:space="preserve"> rammeverket</w:t>
      </w:r>
      <w:r w:rsidRPr="1755F46F">
        <w:t xml:space="preserve">, men de </w:t>
      </w:r>
      <w:r>
        <w:t>må</w:t>
      </w:r>
      <w:r w:rsidRPr="1755F46F">
        <w:t xml:space="preserve"> gjøre sitt beste – eller handle med nødvendig aktsomhet (due diligence)</w:t>
      </w:r>
      <w:r w:rsidR="00303661">
        <w:t xml:space="preserve"> – </w:t>
      </w:r>
      <w:r>
        <w:t>for</w:t>
      </w:r>
      <w:r w:rsidRPr="1755F46F">
        <w:t xml:space="preserve"> å inkludere de nye målene i sin NBSAP og til å oppnå dem.</w:t>
      </w:r>
    </w:p>
    <w:p w14:paraId="1021E214" w14:textId="03AB354C" w:rsidR="00303661" w:rsidRDefault="00794835" w:rsidP="00794835">
      <w:r>
        <w:t>Den internasjonale domstolen (ICJ)</w:t>
      </w:r>
      <w:r w:rsidRPr="1755F46F">
        <w:t xml:space="preserve"> slo fast en lignende aktsomhetsplikt i forberedelsen og gjennomføringen av statenes klimaplaner, såkalte nasjonalt bestemte bidrag (</w:t>
      </w:r>
      <w:proofErr w:type="spellStart"/>
      <w:r w:rsidRPr="1755F46F">
        <w:t>nationally</w:t>
      </w:r>
      <w:proofErr w:type="spellEnd"/>
      <w:r w:rsidRPr="1755F46F">
        <w:t xml:space="preserve"> </w:t>
      </w:r>
      <w:proofErr w:type="spellStart"/>
      <w:r w:rsidRPr="1755F46F">
        <w:t>determined</w:t>
      </w:r>
      <w:proofErr w:type="spellEnd"/>
      <w:r w:rsidRPr="1755F46F">
        <w:t xml:space="preserve"> </w:t>
      </w:r>
      <w:proofErr w:type="spellStart"/>
      <w:r w:rsidRPr="1755F46F">
        <w:t>contributions</w:t>
      </w:r>
      <w:proofErr w:type="spellEnd"/>
      <w:r w:rsidRPr="1755F46F">
        <w:t xml:space="preserve"> – </w:t>
      </w:r>
      <w:proofErr w:type="spellStart"/>
      <w:r w:rsidRPr="1755F46F">
        <w:t>NDCs</w:t>
      </w:r>
      <w:proofErr w:type="spellEnd"/>
      <w:r w:rsidRPr="1755F46F">
        <w:t xml:space="preserve">) under Parisavtalen. På </w:t>
      </w:r>
      <w:r>
        <w:t>tilsvarende</w:t>
      </w:r>
      <w:r w:rsidRPr="1755F46F">
        <w:t xml:space="preserve"> måte </w:t>
      </w:r>
      <w:r>
        <w:t>som artikkel 6 i konvensjonen om biologisk mangfold,</w:t>
      </w:r>
      <w:r w:rsidRPr="1755F46F">
        <w:t xml:space="preserve"> er </w:t>
      </w:r>
      <w:r>
        <w:t xml:space="preserve">ikke </w:t>
      </w:r>
      <w:r w:rsidRPr="1755F46F">
        <w:t xml:space="preserve">innholdet i </w:t>
      </w:r>
      <w:proofErr w:type="spellStart"/>
      <w:r w:rsidRPr="1755F46F">
        <w:t>NDCene</w:t>
      </w:r>
      <w:proofErr w:type="spellEnd"/>
      <w:r w:rsidRPr="1755F46F">
        <w:t xml:space="preserve"> rettslig bindende for medlemsstatene. Ifølge </w:t>
      </w:r>
      <w:r>
        <w:t>ICJ</w:t>
      </w:r>
      <w:r w:rsidRPr="1755F46F">
        <w:t xml:space="preserve"> har statene imidlertid en handlingsplikt basert på en sterk aktsomhetsnorm til å se hen til visse standarder i Parisavtalen når klimaplanene utformes, samt at de har en aktsomhetsplikt til å iverksette alle nødvendige tiltak for å oppnå klimamålene i </w:t>
      </w:r>
      <w:proofErr w:type="spellStart"/>
      <w:r w:rsidRPr="1755F46F">
        <w:t>NDCene</w:t>
      </w:r>
      <w:proofErr w:type="spellEnd"/>
      <w:r w:rsidRPr="1755F46F">
        <w:t>.</w:t>
      </w:r>
      <w:r w:rsidR="00CD439F" w:rsidRPr="00CD439F">
        <w:rPr>
          <w:rStyle w:val="Fotnotereferanse"/>
        </w:rPr>
        <w:footnoteReference w:id="189"/>
      </w:r>
    </w:p>
    <w:p w14:paraId="14BBF139" w14:textId="26546E8D" w:rsidR="00794835" w:rsidRPr="0067414D" w:rsidRDefault="00794835" w:rsidP="00794835">
      <w:r w:rsidRPr="0067414D">
        <w:rPr>
          <w:rFonts w:cs="Times New Roman"/>
        </w:rPr>
        <w:t xml:space="preserve">Sameksistens mellom urfolk og rovdyr, styrt av prinsipper i tråd med </w:t>
      </w:r>
      <w:r>
        <w:rPr>
          <w:rFonts w:cs="Times New Roman"/>
        </w:rPr>
        <w:t>k</w:t>
      </w:r>
      <w:r w:rsidRPr="0067414D">
        <w:rPr>
          <w:rFonts w:cs="Times New Roman"/>
        </w:rPr>
        <w:t xml:space="preserve">onvensjonen om biologisk mangfold, fokuserer på bærekraftige, ikke-dødelige og lokalsamfunnsbaserte tilnærminger for deling av landskap. </w:t>
      </w:r>
      <w:r w:rsidRPr="0067414D">
        <w:t>Viktige aspekter ved sameksistens mellom urfolk og rovdyr inkludere</w:t>
      </w:r>
      <w:r>
        <w:t>r ifølge Verdens Naturvernunion (IUCN):</w:t>
      </w:r>
    </w:p>
    <w:p w14:paraId="53E745F0" w14:textId="044DAF0D" w:rsidR="00794835" w:rsidRPr="00CD439F" w:rsidRDefault="00794835" w:rsidP="00DD2433">
      <w:pPr>
        <w:pStyle w:val="blokksit"/>
        <w:ind w:left="757"/>
      </w:pPr>
      <w:r w:rsidRPr="00CD439F">
        <w:lastRenderedPageBreak/>
        <w:t>Tradisjonell økologisk kunnskap (TEK): Urfolksamfunn har ofte dypt forankrede, tradisjonelle metoder for å leve sammen med rovdyr, som vektlegger respekt og i noen tilfeller spirituelle eller kulturelle forbindelser;</w:t>
      </w:r>
    </w:p>
    <w:p w14:paraId="55742ECD" w14:textId="77777777" w:rsidR="00794835" w:rsidRPr="00CD439F" w:rsidRDefault="00794835" w:rsidP="00DD2433">
      <w:pPr>
        <w:pStyle w:val="blokksit"/>
        <w:ind w:left="757"/>
      </w:pPr>
      <w:r w:rsidRPr="00CD439F">
        <w:t>Ikke-dødelige strategier: Sameksistensprosjekter, prioriterer ikke-dødelige metoder som spesialtilpassede gjerder, beitelivsveiledere og beitedyrbeskyttende dyr;</w:t>
      </w:r>
    </w:p>
    <w:p w14:paraId="2AEA8107" w14:textId="77777777" w:rsidR="00794835" w:rsidRPr="00CD439F" w:rsidRDefault="00794835" w:rsidP="00DD2433">
      <w:pPr>
        <w:pStyle w:val="blokksit"/>
        <w:ind w:left="757"/>
      </w:pPr>
      <w:r w:rsidRPr="00CD439F">
        <w:t>Direkte fordeler: Effektive sameksistensstrategier hviler ofte på å gi økonomiske og kulturelle fordeler til lokalsamfunn, som økoturisme, bærekraftig arealbruk og kompensasjon for tap;</w:t>
      </w:r>
    </w:p>
    <w:p w14:paraId="60EAB084" w14:textId="2913778E" w:rsidR="00794835" w:rsidRPr="00CD439F" w:rsidRDefault="00794835" w:rsidP="00DD2433">
      <w:pPr>
        <w:pStyle w:val="blokksit"/>
        <w:ind w:left="757"/>
      </w:pPr>
      <w:r w:rsidRPr="00CD439F">
        <w:t>Målrettet støtte: for eksempel for forbedret husdyrhold inkludert økt overvåkning og spesialiserte gjerder.</w:t>
      </w:r>
      <w:r w:rsidR="00CD439F" w:rsidRPr="00CD439F">
        <w:rPr>
          <w:rStyle w:val="Fotnotereferanse"/>
        </w:rPr>
        <w:footnoteReference w:id="190"/>
      </w:r>
    </w:p>
    <w:p w14:paraId="268E4EA6" w14:textId="77777777" w:rsidR="00607588" w:rsidRPr="00DD5F1F" w:rsidRDefault="00607588" w:rsidP="00607588">
      <w:r w:rsidRPr="0067414D">
        <w:t xml:space="preserve">Som nevnt ovenfor, oppfordrer Kunming-Montreal Global </w:t>
      </w:r>
      <w:proofErr w:type="spellStart"/>
      <w:r w:rsidRPr="0067414D">
        <w:t>Biodiversity</w:t>
      </w:r>
      <w:proofErr w:type="spellEnd"/>
      <w:r w:rsidRPr="0067414D">
        <w:t xml:space="preserve"> Framework (Mål 4) til forvaltning av samspillet mellom mennesker og ville dyr for å minimere konflikter og fremme sameksistens. </w:t>
      </w:r>
      <w:r w:rsidRPr="00DD5F1F">
        <w:t>Dette rammeverket fremmer:</w:t>
      </w:r>
    </w:p>
    <w:p w14:paraId="3C6BF505" w14:textId="27CC2EF6" w:rsidR="00607588" w:rsidRPr="00CD439F" w:rsidRDefault="00607588" w:rsidP="00DD2433">
      <w:pPr>
        <w:pStyle w:val="blokksit"/>
        <w:ind w:left="757"/>
      </w:pPr>
      <w:r w:rsidRPr="00CD439F">
        <w:t>Deltakende forvaltning: Involvering av urfolk og lokalsamfunn i beslutningsprosesser og landskapsforvaltning.</w:t>
      </w:r>
      <w:r w:rsidR="00CD439F" w:rsidRPr="00CD439F">
        <w:rPr>
          <w:rStyle w:val="Fotnotereferanse"/>
        </w:rPr>
        <w:footnoteReference w:id="191"/>
      </w:r>
    </w:p>
    <w:p w14:paraId="14A39BEF" w14:textId="4B60CA10" w:rsidR="00607588" w:rsidRPr="00CD439F" w:rsidRDefault="00607588" w:rsidP="00DD2433">
      <w:pPr>
        <w:pStyle w:val="blokksit"/>
        <w:ind w:left="757"/>
      </w:pPr>
      <w:r w:rsidRPr="00CD439F">
        <w:t xml:space="preserve">Integrert landskapstilnærming: Forvaltning av land for å støtte både menneskelig levebrød og dyrelivets bevegelser, for eksempel gjennom </w:t>
      </w:r>
      <w:r w:rsidR="00CD439F">
        <w:t>«</w:t>
      </w:r>
      <w:r w:rsidRPr="00CD439F">
        <w:t>økologiske fredskorridorer</w:t>
      </w:r>
      <w:r w:rsidR="00CD439F">
        <w:t>»</w:t>
      </w:r>
      <w:r w:rsidRPr="00CD439F">
        <w:t>.</w:t>
      </w:r>
    </w:p>
    <w:p w14:paraId="63A1CE81" w14:textId="38198AD5" w:rsidR="00607588" w:rsidRPr="00CD439F" w:rsidRDefault="00607588" w:rsidP="00DD2433">
      <w:pPr>
        <w:pStyle w:val="blokksit"/>
        <w:ind w:left="757"/>
      </w:pPr>
      <w:r w:rsidRPr="00CD439F">
        <w:t xml:space="preserve">Kulturell respekt: Anerkjennelse av et </w:t>
      </w:r>
      <w:r w:rsidR="00CD439F">
        <w:t>«</w:t>
      </w:r>
      <w:r w:rsidRPr="00CD439F">
        <w:t>multinatur</w:t>
      </w:r>
      <w:r w:rsidR="00CD439F">
        <w:t>»</w:t>
      </w:r>
      <w:r w:rsidRPr="00CD439F">
        <w:t>-perspektiv, der ulike aktører, inkludert urfolk, har unike og like gyldige relasjoner til rovdyr.</w:t>
      </w:r>
      <w:r w:rsidR="00CD439F" w:rsidRPr="00CD439F">
        <w:rPr>
          <w:rStyle w:val="Fotnotereferanse"/>
        </w:rPr>
        <w:footnoteReference w:id="192"/>
      </w:r>
    </w:p>
    <w:p w14:paraId="2EEE9CD7" w14:textId="39CC3069" w:rsidR="00794835" w:rsidRPr="00AB49F9" w:rsidRDefault="00607588" w:rsidP="00607588">
      <w:pPr>
        <w:pStyle w:val="Overskrift2"/>
      </w:pPr>
      <w:bookmarkStart w:id="49" w:name="_Toc223433112"/>
      <w:r w:rsidRPr="00AB49F9">
        <w:t>Menneskerett til miljø</w:t>
      </w:r>
      <w:bookmarkEnd w:id="49"/>
    </w:p>
    <w:p w14:paraId="1852F185" w14:textId="78E55839" w:rsidR="002C7757" w:rsidRDefault="002C7757" w:rsidP="002C7757">
      <w:r w:rsidRPr="00F36883">
        <w:t xml:space="preserve">Beskyttelsen av rovvilt faller videre under forpliktelsen til å beskytte retten til et miljø av en viss kvalitet. Selv om det </w:t>
      </w:r>
      <w:r>
        <w:t xml:space="preserve">ikke </w:t>
      </w:r>
      <w:r w:rsidRPr="00F36883">
        <w:t>finnes</w:t>
      </w:r>
      <w:r w:rsidR="00303661">
        <w:t xml:space="preserve"> </w:t>
      </w:r>
      <w:r>
        <w:t>noen</w:t>
      </w:r>
      <w:r w:rsidRPr="00F36883">
        <w:t xml:space="preserve"> egen, eksplisitt menneskerett til rovvilt, er det i internasjonal og i norsk rett i økende grad anerkjent en</w:t>
      </w:r>
      <w:r w:rsidR="00303661">
        <w:t xml:space="preserve"> </w:t>
      </w:r>
      <w:r w:rsidRPr="00F36883">
        <w:t>rett til et sunt miljø. Selv om dette ikke sier noe eksplisitt om rovdyr, er det tett knyttet til</w:t>
      </w:r>
      <w:r w:rsidR="00303661">
        <w:t xml:space="preserve"> </w:t>
      </w:r>
      <w:r w:rsidRPr="00F36883">
        <w:t>naturmangfold, inkludert store rovdyr</w:t>
      </w:r>
      <w:r>
        <w:t>, som del av det biologiske mangfoldet</w:t>
      </w:r>
      <w:r w:rsidRPr="00F36883">
        <w:t>.</w:t>
      </w:r>
    </w:p>
    <w:p w14:paraId="6F4BFBD0" w14:textId="75A12CD8" w:rsidR="002C7757" w:rsidRDefault="002C7757" w:rsidP="002C7757">
      <w:r w:rsidRPr="00F36883">
        <w:lastRenderedPageBreak/>
        <w:t>Både FNs Menneskerettighetsråd</w:t>
      </w:r>
      <w:r w:rsidR="00CD439F" w:rsidRPr="00CD439F">
        <w:rPr>
          <w:rStyle w:val="Fotnotereferanse"/>
        </w:rPr>
        <w:footnoteReference w:id="193"/>
      </w:r>
      <w:r w:rsidRPr="00F36883">
        <w:t xml:space="preserve"> og FN Generalforsamling har vedtatt at det finnes en rett til et rent, sunt og bærekraftig miljø.</w:t>
      </w:r>
      <w:r w:rsidR="00CD439F" w:rsidRPr="00CD439F">
        <w:rPr>
          <w:rStyle w:val="Fotnotereferanse"/>
        </w:rPr>
        <w:footnoteReference w:id="194"/>
      </w:r>
      <w:r>
        <w:t xml:space="preserve"> </w:t>
      </w:r>
      <w:r w:rsidRPr="00F36883">
        <w:t>Selv om det er uklart om denne rettigheten er en selvstendig rett, er det uten tvil at retten til et miljø av en viss kvalitet er en forutsetning for andre menneskerettigheter.</w:t>
      </w:r>
    </w:p>
    <w:p w14:paraId="39712F1E" w14:textId="047F3BA5" w:rsidR="00CD439F" w:rsidRDefault="002C7757" w:rsidP="002C7757">
      <w:r w:rsidRPr="00F36883">
        <w:t>FNs Generalforsamling</w:t>
      </w:r>
      <w:r w:rsidR="00303661">
        <w:t xml:space="preserve"> </w:t>
      </w:r>
      <w:r w:rsidR="00CD439F">
        <w:t>«</w:t>
      </w:r>
      <w:r w:rsidRPr="00F36883">
        <w:t>anerkjenner retten til et rent, sunt og bærekraftig miljø som en menneskerett</w:t>
      </w:r>
      <w:r w:rsidR="00CD439F">
        <w:t>»</w:t>
      </w:r>
      <w:r>
        <w:t>,</w:t>
      </w:r>
      <w:r w:rsidRPr="00F36883">
        <w:t xml:space="preserve"> noe som er et uttrykk for anerkjennelsen av denne retten. Resolusjonen, som ble vedtatt med 161 stemmer for, 8 avholdende og ingen stemmer imot, </w:t>
      </w:r>
      <w:r>
        <w:t>sier</w:t>
      </w:r>
      <w:r w:rsidRPr="00F36883">
        <w:t xml:space="preserve"> at</w:t>
      </w:r>
      <w:r>
        <w:t>:</w:t>
      </w:r>
    </w:p>
    <w:p w14:paraId="17CC89C5" w14:textId="5A9A863C" w:rsidR="002C7757" w:rsidRPr="00CD439F" w:rsidRDefault="00CD439F" w:rsidP="002C7757">
      <w:pPr>
        <w:pStyle w:val="blokksit"/>
        <w:ind w:left="757"/>
        <w:rPr>
          <w:lang w:val="en-GB"/>
        </w:rPr>
      </w:pPr>
      <w:r>
        <w:rPr>
          <w:lang w:val="en-GB"/>
        </w:rPr>
        <w:t>«</w:t>
      </w:r>
      <w:r w:rsidR="002C7757" w:rsidRPr="00CD439F">
        <w:rPr>
          <w:lang w:val="en-GB"/>
        </w:rPr>
        <w:t>a vast majority of States have recognized some form of the right to a clean, healthy and sustainable environment through international agreements, their national constitutions, legislation, laws or policies</w:t>
      </w:r>
      <w:r>
        <w:rPr>
          <w:lang w:val="en-GB"/>
        </w:rPr>
        <w:t>»</w:t>
      </w:r>
      <w:r w:rsidR="002C7757" w:rsidRPr="00CD439F">
        <w:rPr>
          <w:lang w:val="en-GB"/>
        </w:rPr>
        <w:t xml:space="preserve"> (twentieth preambular paragraph) and that this right is </w:t>
      </w:r>
      <w:r>
        <w:rPr>
          <w:lang w:val="en-GB"/>
        </w:rPr>
        <w:t>«</w:t>
      </w:r>
      <w:r w:rsidR="002C7757" w:rsidRPr="00CD439F">
        <w:rPr>
          <w:lang w:val="en-GB"/>
        </w:rPr>
        <w:t>related to other rights</w:t>
      </w:r>
      <w:r>
        <w:rPr>
          <w:lang w:val="en-GB"/>
        </w:rPr>
        <w:t>»</w:t>
      </w:r>
      <w:r w:rsidR="002C7757" w:rsidRPr="00CD439F">
        <w:rPr>
          <w:lang w:val="en-GB"/>
        </w:rPr>
        <w:t xml:space="preserve"> (</w:t>
      </w:r>
      <w:proofErr w:type="spellStart"/>
      <w:r w:rsidR="002C7757" w:rsidRPr="00CD439F">
        <w:rPr>
          <w:lang w:val="en-GB"/>
        </w:rPr>
        <w:t>avsnitt</w:t>
      </w:r>
      <w:proofErr w:type="spellEnd"/>
      <w:r w:rsidR="002C7757" w:rsidRPr="00CD439F">
        <w:rPr>
          <w:lang w:val="en-GB"/>
        </w:rPr>
        <w:t xml:space="preserve"> 2)</w:t>
      </w:r>
      <w:r>
        <w:rPr>
          <w:lang w:val="en-GB"/>
        </w:rPr>
        <w:t>»</w:t>
      </w:r>
    </w:p>
    <w:p w14:paraId="1360E84F" w14:textId="3683AECA" w:rsidR="00303661" w:rsidRDefault="002C7757" w:rsidP="002C7757">
      <w:r w:rsidRPr="00F36883">
        <w:t>Den internasjonale domstolen</w:t>
      </w:r>
      <w:r>
        <w:t xml:space="preserve"> (ICJ)</w:t>
      </w:r>
      <w:r w:rsidRPr="00F36883">
        <w:t xml:space="preserve"> </w:t>
      </w:r>
      <w:r>
        <w:t xml:space="preserve">har </w:t>
      </w:r>
      <w:r w:rsidRPr="00F36883">
        <w:t>i s</w:t>
      </w:r>
      <w:r>
        <w:t>i</w:t>
      </w:r>
      <w:r w:rsidRPr="00F36883">
        <w:t>n rådgivende uttalelse om statenes klimaforpliktelse</w:t>
      </w:r>
      <w:r>
        <w:t>r</w:t>
      </w:r>
      <w:r w:rsidRPr="00F36883">
        <w:t xml:space="preserve"> vist til FN Generalforsamlings vedtak og </w:t>
      </w:r>
      <w:r>
        <w:t>uttalt</w:t>
      </w:r>
      <w:r w:rsidRPr="00F36883">
        <w:t xml:space="preserve"> at resolusjonen bekrefter</w:t>
      </w:r>
      <w:r w:rsidR="00303661">
        <w:t xml:space="preserve"> </w:t>
      </w:r>
      <w:r w:rsidR="00CD439F">
        <w:t>«</w:t>
      </w:r>
      <w:r w:rsidRPr="00F36883">
        <w:t>betydningen av et rent, sunt og bærekraftig miljø for utøvelsen av alle menneskerettigheter</w:t>
      </w:r>
      <w:r w:rsidR="00CD439F">
        <w:t>»</w:t>
      </w:r>
      <w:r w:rsidR="00303661">
        <w:t xml:space="preserve"> </w:t>
      </w:r>
      <w:r w:rsidRPr="00F36883">
        <w:t>og viser hvilken vekt statene tillegger denne retten.</w:t>
      </w:r>
    </w:p>
    <w:p w14:paraId="70622AD4" w14:textId="77777777" w:rsidR="00303661" w:rsidRDefault="002C7757" w:rsidP="002C7757">
      <w:pPr>
        <w:rPr>
          <w:lang w:val="en-US"/>
        </w:rPr>
      </w:pPr>
      <w:proofErr w:type="spellStart"/>
      <w:r w:rsidRPr="00F36883">
        <w:rPr>
          <w:lang w:val="en-US"/>
        </w:rPr>
        <w:t>Domstolen</w:t>
      </w:r>
      <w:proofErr w:type="spellEnd"/>
      <w:r w:rsidRPr="00F36883">
        <w:rPr>
          <w:lang w:val="en-US"/>
        </w:rPr>
        <w:t xml:space="preserve"> </w:t>
      </w:r>
      <w:proofErr w:type="spellStart"/>
      <w:r w:rsidRPr="00F36883">
        <w:rPr>
          <w:lang w:val="en-US"/>
        </w:rPr>
        <w:t>mener</w:t>
      </w:r>
      <w:proofErr w:type="spellEnd"/>
      <w:r w:rsidRPr="00F36883">
        <w:rPr>
          <w:lang w:val="en-US"/>
        </w:rPr>
        <w:t xml:space="preserve"> at:</w:t>
      </w:r>
    </w:p>
    <w:p w14:paraId="79F6F6C9" w14:textId="3AEBB699" w:rsidR="002C7757" w:rsidRPr="00CD439F" w:rsidRDefault="00CD439F" w:rsidP="002C7757">
      <w:pPr>
        <w:pStyle w:val="blokksit"/>
        <w:ind w:left="757"/>
        <w:rPr>
          <w:lang w:val="en-GB"/>
        </w:rPr>
      </w:pPr>
      <w:r>
        <w:rPr>
          <w:lang w:val="en-GB"/>
        </w:rPr>
        <w:t>«</w:t>
      </w:r>
      <w:r w:rsidR="002C7757" w:rsidRPr="00CD439F">
        <w:rPr>
          <w:lang w:val="en-GB"/>
        </w:rPr>
        <w:t>a clean, healthy and sustainable environment is a precondition for the enjoyment of many human rights, such as the right to life, the right to health and the right to an adequate standard of living, including access to water, food and housing. The right to a clean, healthy and sustainable environment results from the interdependence between human rights and the protection of the environment. Consequently, in so far as States parties to human rights treaties are required to guarantee the effective enjoyment of such rights, it is difficult to see how these obligations can be fulfilled without at the same time ensuring the protection of the right to a clean, healthy and sustainable environment as a human right. The human right to a clean, healthy and sustainable environment is therefore inherent in the enjoyment of other human rights.</w:t>
      </w:r>
      <w:r>
        <w:rPr>
          <w:lang w:val="en-GB"/>
        </w:rPr>
        <w:t>»</w:t>
      </w:r>
      <w:r w:rsidRPr="00CD439F">
        <w:rPr>
          <w:rStyle w:val="Fotnotereferanse"/>
        </w:rPr>
        <w:footnoteReference w:id="195"/>
      </w:r>
    </w:p>
    <w:p w14:paraId="2B66C432" w14:textId="29A7B917" w:rsidR="00303661" w:rsidRDefault="002C4E50" w:rsidP="002C4E50">
      <w:pPr>
        <w:rPr>
          <w:rFonts w:cs="Times New Roman"/>
          <w:color w:val="000000" w:themeColor="text1"/>
        </w:rPr>
      </w:pPr>
      <w:r w:rsidRPr="37FC0021">
        <w:t>Domstolen konkluderte med at retten til et rent, sunt og bærekraftig miljø etter folkeretten er</w:t>
      </w:r>
      <w:r w:rsidR="00303661">
        <w:t xml:space="preserve"> </w:t>
      </w:r>
      <w:r w:rsidRPr="37FC0021">
        <w:t>grunnleggende for utøvelsen av andre menneskerettigheter.</w:t>
      </w:r>
      <w:r w:rsidRPr="2C99AF15">
        <w:t xml:space="preserve"> </w:t>
      </w:r>
      <w:r w:rsidRPr="09124621">
        <w:t>Dette innebærer</w:t>
      </w:r>
      <w:r w:rsidRPr="37FC0021">
        <w:rPr>
          <w:rFonts w:cs="Times New Roman"/>
          <w:color w:val="000000" w:themeColor="text1"/>
        </w:rPr>
        <w:t xml:space="preserve"> at </w:t>
      </w:r>
      <w:r w:rsidRPr="3D9E0A9A">
        <w:rPr>
          <w:rFonts w:cs="Times New Roman"/>
          <w:color w:val="000000" w:themeColor="text1"/>
        </w:rPr>
        <w:t>vern av rovdyr og deres leveområder</w:t>
      </w:r>
      <w:r w:rsidRPr="37FC0021">
        <w:rPr>
          <w:rFonts w:cs="Times New Roman"/>
          <w:color w:val="000000" w:themeColor="text1"/>
        </w:rPr>
        <w:t xml:space="preserve"> </w:t>
      </w:r>
      <w:r>
        <w:rPr>
          <w:rFonts w:cs="Times New Roman"/>
          <w:color w:val="000000" w:themeColor="text1"/>
        </w:rPr>
        <w:t>som en del av det biologiske mangfoldet anerkjennes som et element i menneskerettighetene.</w:t>
      </w:r>
    </w:p>
    <w:p w14:paraId="1D1F6A4F" w14:textId="28A966F0" w:rsidR="002C4E50" w:rsidRDefault="002C4E50" w:rsidP="002C4E50">
      <w:r w:rsidRPr="00F36883">
        <w:t xml:space="preserve">Grunnloven </w:t>
      </w:r>
      <w:r w:rsidR="00CD439F">
        <w:t>§ </w:t>
      </w:r>
      <w:r w:rsidR="00CD439F" w:rsidRPr="00F36883">
        <w:t>1</w:t>
      </w:r>
      <w:r w:rsidRPr="00F36883">
        <w:t>12</w:t>
      </w:r>
      <w:r w:rsidR="00303661">
        <w:t xml:space="preserve"> </w:t>
      </w:r>
      <w:r w:rsidRPr="00F36883">
        <w:t>krever at myndighetene sikrer naturens mangfold for nåværende og fremtidige generasjoner. Rovdyr er en del av dette mangfoldet.</w:t>
      </w:r>
      <w:r>
        <w:t xml:space="preserve"> </w:t>
      </w:r>
      <w:r w:rsidRPr="00F36883">
        <w:t>Menneskeretten til miljø</w:t>
      </w:r>
      <w:r w:rsidR="00303661">
        <w:t xml:space="preserve"> </w:t>
      </w:r>
      <w:r w:rsidRPr="00F36883">
        <w:lastRenderedPageBreak/>
        <w:t xml:space="preserve">krever at staten tar nødvendige tiltak for å </w:t>
      </w:r>
      <w:r>
        <w:t>sikre</w:t>
      </w:r>
      <w:r w:rsidRPr="00F36883">
        <w:t xml:space="preserve"> forsvarlige, kunnskapsbaserte naturforvaltningssystemer, noe som inkluderer rovvilt.</w:t>
      </w:r>
    </w:p>
    <w:p w14:paraId="70E605F3" w14:textId="4B13573B" w:rsidR="00351584" w:rsidRDefault="00351584" w:rsidP="00351584">
      <w:pPr>
        <w:pStyle w:val="Overskrift1"/>
      </w:pPr>
      <w:bookmarkStart w:id="50" w:name="_Toc223433113"/>
      <w:r>
        <w:t>Er forvaltningen i samsvar med de folkerettslige forpliktelsene?</w:t>
      </w:r>
      <w:bookmarkEnd w:id="50"/>
    </w:p>
    <w:p w14:paraId="45E472B3" w14:textId="4FEF47B8" w:rsidR="00351584" w:rsidRDefault="00351584" w:rsidP="00351584">
      <w:pPr>
        <w:pStyle w:val="Overskrift2"/>
      </w:pPr>
      <w:bookmarkStart w:id="51" w:name="_Toc223433114"/>
      <w:r>
        <w:t>Innledning</w:t>
      </w:r>
      <w:bookmarkEnd w:id="51"/>
    </w:p>
    <w:p w14:paraId="23721039" w14:textId="77777777" w:rsidR="00303661" w:rsidRDefault="00011F71" w:rsidP="00011F71">
      <w:r w:rsidRPr="16BFE32F">
        <w:t>Dette kapitlet behandler målsettingene og virkemidlene i norsk rovviltpolitikk, med spesielt henblikk på overholdelsen av Norges folkerettslige forpliktelser om bevaring av rovvilt og beskyttelse av samisk kultur.</w:t>
      </w:r>
    </w:p>
    <w:p w14:paraId="14ACD3AF" w14:textId="7F47196B" w:rsidR="00303661" w:rsidRDefault="00011F71" w:rsidP="00011F71">
      <w:r>
        <w:t xml:space="preserve">Ved løsningen av potensielle folkerettslige konflikter, har Wienkonvensjonen om traktatretten artikkel 31 (3) (c) sentral betydning. Denne bestemmelsen fastsetter at ved tolkningen av konvensjoner skal det tas hensyn til </w:t>
      </w:r>
      <w:r w:rsidR="00CD439F">
        <w:t>«</w:t>
      </w:r>
      <w:proofErr w:type="spellStart"/>
      <w:r>
        <w:t>any</w:t>
      </w:r>
      <w:proofErr w:type="spellEnd"/>
      <w:r>
        <w:t xml:space="preserve"> relevant </w:t>
      </w:r>
      <w:proofErr w:type="spellStart"/>
      <w:r>
        <w:t>rule</w:t>
      </w:r>
      <w:proofErr w:type="spellEnd"/>
      <w:r>
        <w:t xml:space="preserve"> </w:t>
      </w:r>
      <w:proofErr w:type="spellStart"/>
      <w:r>
        <w:t>of</w:t>
      </w:r>
      <w:proofErr w:type="spellEnd"/>
      <w:r>
        <w:t xml:space="preserve"> </w:t>
      </w:r>
      <w:proofErr w:type="spellStart"/>
      <w:r>
        <w:t>international</w:t>
      </w:r>
      <w:proofErr w:type="spellEnd"/>
      <w:r>
        <w:t xml:space="preserve"> </w:t>
      </w:r>
      <w:proofErr w:type="spellStart"/>
      <w:r>
        <w:t>law</w:t>
      </w:r>
      <w:proofErr w:type="spellEnd"/>
      <w:r>
        <w:t xml:space="preserve"> </w:t>
      </w:r>
      <w:proofErr w:type="spellStart"/>
      <w:r>
        <w:t>applicable</w:t>
      </w:r>
      <w:proofErr w:type="spellEnd"/>
      <w:r>
        <w:t xml:space="preserve"> in </w:t>
      </w:r>
      <w:proofErr w:type="spellStart"/>
      <w:r>
        <w:t>the</w:t>
      </w:r>
      <w:proofErr w:type="spellEnd"/>
      <w:r>
        <w:t xml:space="preserve"> </w:t>
      </w:r>
      <w:proofErr w:type="spellStart"/>
      <w:r>
        <w:t>relations</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parties</w:t>
      </w:r>
      <w:proofErr w:type="spellEnd"/>
      <w:r w:rsidR="00CD439F">
        <w:t>»</w:t>
      </w:r>
      <w:r>
        <w:t>. Dette innebærer at andre konvensjoner og folkerettslig sedvanerett kan være relevant ved tolkningen. FNs folkerettskommisjon (International Law Commission) har lagt stor vekt på denne bestemmelsen som et virkemiddel for å hindre en fragmentering av de ulike delene av folkeretten (</w:t>
      </w:r>
      <w:r w:rsidR="00CD439F">
        <w:t>«</w:t>
      </w:r>
      <w:proofErr w:type="spellStart"/>
      <w:r>
        <w:t>principle</w:t>
      </w:r>
      <w:proofErr w:type="spellEnd"/>
      <w:r>
        <w:t xml:space="preserve"> </w:t>
      </w:r>
      <w:proofErr w:type="spellStart"/>
      <w:r>
        <w:t>of</w:t>
      </w:r>
      <w:proofErr w:type="spellEnd"/>
      <w:r>
        <w:t xml:space="preserve"> </w:t>
      </w:r>
      <w:proofErr w:type="spellStart"/>
      <w:r>
        <w:t>systemic</w:t>
      </w:r>
      <w:proofErr w:type="spellEnd"/>
      <w:r>
        <w:t xml:space="preserve"> </w:t>
      </w:r>
      <w:proofErr w:type="spellStart"/>
      <w:r>
        <w:t>integration</w:t>
      </w:r>
      <w:proofErr w:type="spellEnd"/>
      <w:r w:rsidR="00CD439F">
        <w:t>»</w:t>
      </w:r>
      <w:r>
        <w:t>).</w:t>
      </w:r>
      <w:r w:rsidR="00CD439F" w:rsidRPr="00CD439F">
        <w:rPr>
          <w:rStyle w:val="Fotnotereferanse"/>
        </w:rPr>
        <w:footnoteReference w:id="196"/>
      </w:r>
    </w:p>
    <w:p w14:paraId="3D77354E" w14:textId="69E516E9" w:rsidR="00011F71" w:rsidRPr="00011F71" w:rsidRDefault="00011F71" w:rsidP="00011F71">
      <w:r>
        <w:t xml:space="preserve">En tolkning som tar sikte på harmonisering av ulike forpliktelser, har også fått støtte av Den internasjonale domstolen (ICJ). </w:t>
      </w:r>
      <w:r w:rsidRPr="00693A45">
        <w:t>Domstolen uttalte i sin rådgivende uttalelse om statenes klimaforpliktelser (2025):</w:t>
      </w:r>
    </w:p>
    <w:p w14:paraId="6C21C589" w14:textId="70D90BB6" w:rsidR="00011F71" w:rsidRPr="00CD439F" w:rsidRDefault="00CD439F" w:rsidP="00011F71">
      <w:pPr>
        <w:pStyle w:val="blokksit"/>
        <w:ind w:left="757"/>
        <w:rPr>
          <w:lang w:val="en-GB"/>
        </w:rPr>
      </w:pPr>
      <w:r>
        <w:rPr>
          <w:lang w:val="en-GB"/>
        </w:rPr>
        <w:t>«</w:t>
      </w:r>
      <w:r w:rsidR="00011F71" w:rsidRPr="00CD439F">
        <w:rPr>
          <w:lang w:val="en-GB"/>
        </w:rPr>
        <w:t>The Court notes at the outset that it is a generally recognized principle that, when several rules bear on a single issue, they should, to the extent possible, be interpreted so as to give rise to a single set of compatible obligations … .</w:t>
      </w:r>
      <w:r>
        <w:rPr>
          <w:lang w:val="en-GB"/>
        </w:rPr>
        <w:t>»</w:t>
      </w:r>
      <w:r w:rsidRPr="00CD439F">
        <w:rPr>
          <w:rStyle w:val="Fotnotereferanse"/>
        </w:rPr>
        <w:footnoteReference w:id="197"/>
      </w:r>
    </w:p>
    <w:p w14:paraId="51AD9237" w14:textId="20EF5747" w:rsidR="00011F71" w:rsidRDefault="00011F71" w:rsidP="00011F71">
      <w:r w:rsidRPr="00E90FC6">
        <w:t>D</w:t>
      </w:r>
      <w:r>
        <w:t>omstolen slo fast at denne</w:t>
      </w:r>
      <w:r w:rsidRPr="00E90FC6">
        <w:t xml:space="preserve"> </w:t>
      </w:r>
      <w:r w:rsidR="00CD439F">
        <w:t>«</w:t>
      </w:r>
      <w:r w:rsidRPr="00E90FC6">
        <w:t>systemiske</w:t>
      </w:r>
      <w:r w:rsidR="00CD439F">
        <w:t>»</w:t>
      </w:r>
      <w:r w:rsidRPr="00E90FC6">
        <w:t xml:space="preserve"> tolkningen </w:t>
      </w:r>
      <w:r>
        <w:t xml:space="preserve">også </w:t>
      </w:r>
      <w:r w:rsidRPr="00E90FC6">
        <w:t xml:space="preserve">får anvendelse </w:t>
      </w:r>
      <w:r>
        <w:t>i</w:t>
      </w:r>
      <w:r w:rsidRPr="00E90FC6">
        <w:t xml:space="preserve"> forholdet mellom menne</w:t>
      </w:r>
      <w:r>
        <w:t>skerettighetsforpliktelser og miljøforpliktelser:</w:t>
      </w:r>
    </w:p>
    <w:p w14:paraId="0B9E06F4" w14:textId="78728854" w:rsidR="00011F71" w:rsidRPr="00CD439F" w:rsidRDefault="00CD439F" w:rsidP="00011F71">
      <w:pPr>
        <w:pStyle w:val="blokksit"/>
        <w:ind w:left="757"/>
        <w:rPr>
          <w:lang w:val="en-GB"/>
        </w:rPr>
      </w:pPr>
      <w:r>
        <w:rPr>
          <w:lang w:val="en-GB"/>
        </w:rPr>
        <w:t>«</w:t>
      </w:r>
      <w:r w:rsidR="00011F71" w:rsidRPr="00CD439F">
        <w:rPr>
          <w:lang w:val="en-GB"/>
        </w:rPr>
        <w:t xml:space="preserve">States must therefore take their obligations under international human rights law into account when implementing their obligations under the climate change treaties and other relevant environmental treaties and under customary international law, just as they must take their obligations under the climate change treaties and other relevant environmental treaties and under customary </w:t>
      </w:r>
      <w:r w:rsidR="00011F71" w:rsidRPr="00CD439F">
        <w:rPr>
          <w:lang w:val="en-GB"/>
        </w:rPr>
        <w:lastRenderedPageBreak/>
        <w:t>international law into account when implementing their human rights obligations.</w:t>
      </w:r>
      <w:r>
        <w:rPr>
          <w:lang w:val="en-GB"/>
        </w:rPr>
        <w:t>»</w:t>
      </w:r>
      <w:r w:rsidRPr="00CD439F">
        <w:rPr>
          <w:rStyle w:val="Fotnotereferanse"/>
        </w:rPr>
        <w:footnoteReference w:id="198"/>
      </w:r>
    </w:p>
    <w:p w14:paraId="7FB42A12" w14:textId="77777777" w:rsidR="00303661" w:rsidRDefault="00011F71" w:rsidP="00011F71">
      <w:r w:rsidRPr="2FB46E9B">
        <w:t>Vi behandler først betydningen av urfolksrettigheter ved fastsettelsen av nasjonale og regionale bestandsmål for rovvilt og betydningen av urfolksrettigheter i den regionale forvaltningen (5.2.). Dette gjelder både betingelsene for felling etter Bernkonvensjonen og i hvilken grad det kan og skal tas hensyn til urfolksrettigheter i denne sammenhengen. Deretter drøftes det i hvilken grad rovviltforvaltningen er i strid med urfolksforpliktelsene og hva som bør gjøres ved eventuell konflikt (5.3). Nødvergereglene behandles i lys av rovvilt- og urfolksforpliktelsene (5.4.). Til slutt drøftes samisk deltakelse i forvaltning av rovvilt og urfolksforpliktelsene (5.5.).</w:t>
      </w:r>
    </w:p>
    <w:p w14:paraId="6FB65FC0" w14:textId="45419313" w:rsidR="00011F71" w:rsidRDefault="00011F71" w:rsidP="00011F71">
      <w:pPr>
        <w:pStyle w:val="Overskrift2"/>
      </w:pPr>
      <w:bookmarkStart w:id="52" w:name="_Toc223433115"/>
      <w:r>
        <w:t>Rovdyrforvaltningen</w:t>
      </w:r>
      <w:bookmarkEnd w:id="52"/>
    </w:p>
    <w:p w14:paraId="7451CE70" w14:textId="56005019" w:rsidR="00011F71" w:rsidRDefault="00011F71" w:rsidP="00011F71">
      <w:pPr>
        <w:pStyle w:val="Overskrift3"/>
      </w:pPr>
      <w:bookmarkStart w:id="53" w:name="_Toc223433116"/>
      <w:r>
        <w:t>Nasjonal forvaltning</w:t>
      </w:r>
      <w:bookmarkEnd w:id="53"/>
    </w:p>
    <w:p w14:paraId="57A05CB5" w14:textId="6DB4E836" w:rsidR="00011F71" w:rsidRDefault="00011F71" w:rsidP="00011F71">
      <w:pPr>
        <w:pStyle w:val="Overskrift4"/>
      </w:pPr>
      <w:r>
        <w:t>Urfolksforpliktelsene i rovdyrpolitikken</w:t>
      </w:r>
    </w:p>
    <w:p w14:paraId="63F63537" w14:textId="4D236DAA" w:rsidR="00303661" w:rsidRDefault="00011F71" w:rsidP="00011F71">
      <w:r>
        <w:t xml:space="preserve">De folkerettslige forpliktelsene for norsk rovviltforvaltning framstilles, men den konkrete betydningen er i liten grad drøftet i </w:t>
      </w:r>
      <w:r w:rsidR="00CD439F">
        <w:t xml:space="preserve">St.meld. nr. </w:t>
      </w:r>
      <w:r w:rsidR="00CD439F" w:rsidRPr="00711295">
        <w:t>27</w:t>
      </w:r>
      <w:r w:rsidRPr="00711295">
        <w:t xml:space="preserve"> (1991</w:t>
      </w:r>
      <w:r w:rsidR="007B7151">
        <w:t>–</w:t>
      </w:r>
      <w:r w:rsidRPr="00711295">
        <w:t xml:space="preserve">92) </w:t>
      </w:r>
      <w:r w:rsidRPr="00CD439F">
        <w:rPr>
          <w:rStyle w:val="kursiv"/>
        </w:rPr>
        <w:t>Om forvaltning av bjørn, jerv, ulv og gaupe (Rovviltmeldingen)</w:t>
      </w:r>
      <w:r>
        <w:t xml:space="preserve"> og </w:t>
      </w:r>
      <w:r w:rsidR="00CD439F">
        <w:t xml:space="preserve">St.meld. nr. </w:t>
      </w:r>
      <w:r w:rsidR="00CD439F" w:rsidRPr="00A92B41">
        <w:t>35</w:t>
      </w:r>
      <w:r w:rsidRPr="00A92B41">
        <w:t xml:space="preserve"> (1996</w:t>
      </w:r>
      <w:r w:rsidR="007B7151">
        <w:t>–</w:t>
      </w:r>
      <w:r w:rsidRPr="00A92B41">
        <w:t xml:space="preserve">1997) </w:t>
      </w:r>
      <w:r w:rsidRPr="00CD439F">
        <w:rPr>
          <w:rStyle w:val="kursiv"/>
        </w:rPr>
        <w:t>Om rovviltforvaltning</w:t>
      </w:r>
      <w:r w:rsidRPr="00A92B41">
        <w:t>.</w:t>
      </w:r>
    </w:p>
    <w:p w14:paraId="31D1B78C" w14:textId="34175516" w:rsidR="00011F71" w:rsidRDefault="00011F71" w:rsidP="00011F71">
      <w:r>
        <w:t xml:space="preserve">En grundigere behandling finnes i </w:t>
      </w:r>
      <w:r w:rsidR="00CD439F">
        <w:t xml:space="preserve">St.meld. nr. </w:t>
      </w:r>
      <w:r w:rsidR="00CD439F" w:rsidRPr="005816B9">
        <w:t>15</w:t>
      </w:r>
      <w:r w:rsidRPr="005816B9">
        <w:t xml:space="preserve"> (2003</w:t>
      </w:r>
      <w:r w:rsidR="007B7151">
        <w:t>–</w:t>
      </w:r>
      <w:r w:rsidRPr="005816B9">
        <w:t>2004</w:t>
      </w:r>
      <w:r>
        <w:t xml:space="preserve">) </w:t>
      </w:r>
      <w:r w:rsidRPr="00CD439F">
        <w:rPr>
          <w:rStyle w:val="kursiv"/>
        </w:rPr>
        <w:t>Rovvilt i norsk natur</w:t>
      </w:r>
      <w:r>
        <w:t>. Denne meldingen v</w:t>
      </w:r>
      <w:r w:rsidRPr="005816B9">
        <w:t>iser til miljø- og urfolkskonvensjonene som rammer for den norske rovviltforvaltningen</w:t>
      </w:r>
      <w:r>
        <w:t>.</w:t>
      </w:r>
      <w:r w:rsidR="00CD439F" w:rsidRPr="00CD439F">
        <w:rPr>
          <w:rStyle w:val="Fotnotereferanse"/>
        </w:rPr>
        <w:footnoteReference w:id="199"/>
      </w:r>
      <w:r>
        <w:t xml:space="preserve"> Om </w:t>
      </w:r>
      <w:r w:rsidRPr="005816B9">
        <w:t>FN-konvensjonen om sivile og politiske rettigheter artikkel 27</w:t>
      </w:r>
      <w:r>
        <w:t xml:space="preserve"> heter det </w:t>
      </w:r>
      <w:r w:rsidR="00CD439F">
        <w:t>«</w:t>
      </w:r>
      <w:r w:rsidRPr="00F479AA">
        <w:t>at så lenge samisk kulturut</w:t>
      </w:r>
      <w:r w:rsidRPr="00F479AA">
        <w:softHyphen/>
        <w:t xml:space="preserve">øvelse i </w:t>
      </w:r>
      <w:r w:rsidRPr="00CD439F">
        <w:rPr>
          <w:rStyle w:val="kursiv"/>
        </w:rPr>
        <w:t>et område</w:t>
      </w:r>
      <w:r w:rsidRPr="00F479AA">
        <w:t xml:space="preserve"> ivaretas er artikkel 27 ikke til hinder for levedyktige bestander av rovvilt.</w:t>
      </w:r>
      <w:r w:rsidR="00CD439F">
        <w:t>»</w:t>
      </w:r>
      <w:r w:rsidR="00CD439F" w:rsidRPr="00CD439F">
        <w:rPr>
          <w:rStyle w:val="Fotnotereferanse"/>
        </w:rPr>
        <w:footnoteReference w:id="200"/>
      </w:r>
      <w:r>
        <w:t xml:space="preserve"> Det er verdt å merke seg at regjeringen mener at i hvilken grad forpliktelsen overholdes, må bedømmes ut fra rovviltets betydning for det enkelte reindriftsområde. Det hevdes videre at tapsomfanget sammenholdt med erstatningsordningen og fellingsregimet innebærer at rovviltforvaltningen respekterer kravene i artikkel 27. Det tilføyes at Bernkonvensjonens </w:t>
      </w:r>
      <w:r w:rsidRPr="00253F1B">
        <w:t>adgang til preventiv skadefelling og muligheter for geografisk differensiert forvalt</w:t>
      </w:r>
      <w:r w:rsidRPr="00253F1B">
        <w:softHyphen/>
        <w:t>ning</w:t>
      </w:r>
      <w:r>
        <w:t xml:space="preserve"> innebærer at det ikke er noen motstrid mellom denne konvensjonen og artikkel 27.</w:t>
      </w:r>
      <w:r w:rsidR="00CD439F" w:rsidRPr="00CD439F">
        <w:rPr>
          <w:rStyle w:val="Fotnotereferanse"/>
        </w:rPr>
        <w:footnoteReference w:id="201"/>
      </w:r>
    </w:p>
    <w:p w14:paraId="01344F9E" w14:textId="2086B97C" w:rsidR="00011F71" w:rsidRDefault="00011F71" w:rsidP="00011F71">
      <w:r>
        <w:t xml:space="preserve">Når det gjelder ILO-konvensjon 169 om urfolks rettigheter, mener regjeringen at de materielle rettighetene i konvensjonen </w:t>
      </w:r>
      <w:r w:rsidR="00CD439F">
        <w:t>«</w:t>
      </w:r>
      <w:r>
        <w:t xml:space="preserve">i det vesentlige [er] sammenfallende med artikkel 27 i konvensjonen om sivile og politiske rettigheter når det gjelder beskyttelsen </w:t>
      </w:r>
      <w:r>
        <w:lastRenderedPageBreak/>
        <w:t>av kulturutøvelsen</w:t>
      </w:r>
      <w:r w:rsidR="00CD439F">
        <w:t>»</w:t>
      </w:r>
      <w:r>
        <w:t xml:space="preserve">. Videre heter det at </w:t>
      </w:r>
      <w:r w:rsidR="00CD439F">
        <w:t>«</w:t>
      </w:r>
      <w:r>
        <w:t>ILO-konvensjonen legger […] stor vekt på prosessuelle rettigheter</w:t>
      </w:r>
      <w:r w:rsidR="00CD439F">
        <w:t>»</w:t>
      </w:r>
      <w:r>
        <w:t xml:space="preserve">. Det fremheves at artikkel 6 om konsultasjoner </w:t>
      </w:r>
      <w:r w:rsidR="00CD439F">
        <w:t>«</w:t>
      </w:r>
      <w:r>
        <w:t>er en prosessuell rettighet, ikke et materielt krav om at tiltak alltid skal være i samsvar med urfolks ønsker</w:t>
      </w:r>
      <w:r w:rsidR="00CD439F">
        <w:t>»</w:t>
      </w:r>
      <w:r>
        <w:t xml:space="preserve">. Videre: </w:t>
      </w:r>
      <w:r w:rsidR="00CD439F">
        <w:t>«</w:t>
      </w:r>
      <w:r>
        <w:t>Men bestemmelsen gir klare føringer for at medvirkningen skal ha et reelt innhold, og at begge parter skal anstrenge seg for å komme frem til omforente løsninger.</w:t>
      </w:r>
      <w:r w:rsidR="00CD439F">
        <w:t>»</w:t>
      </w:r>
      <w:r w:rsidR="00CD439F" w:rsidRPr="00CD439F">
        <w:rPr>
          <w:rStyle w:val="Fotnotereferanse"/>
        </w:rPr>
        <w:footnoteReference w:id="202"/>
      </w:r>
    </w:p>
    <w:p w14:paraId="212C02F6" w14:textId="65BCA7F5" w:rsidR="00011F71" w:rsidRDefault="00011F71" w:rsidP="00011F71">
      <w:r>
        <w:t xml:space="preserve">Om konvensjonen om biologisk mangfold påpekes plikten etter artikkel 10c til å respektere </w:t>
      </w:r>
      <w:r w:rsidRPr="00A454FE">
        <w:t>tradisjonell kunnskap</w:t>
      </w:r>
      <w:r>
        <w:t xml:space="preserve">, noe som kan </w:t>
      </w:r>
      <w:r w:rsidR="00CD439F">
        <w:t>«</w:t>
      </w:r>
      <w:r w:rsidRPr="007E7F6E">
        <w:t>danne grunnlag for et konstruktivt samarbeid, når</w:t>
      </w:r>
      <w:r w:rsidRPr="00CD439F">
        <w:rPr>
          <w:rStyle w:val="halvfet"/>
        </w:rPr>
        <w:t xml:space="preserve"> </w:t>
      </w:r>
      <w:r w:rsidRPr="00A92B41">
        <w:t>samisk erfaringskunnskap</w:t>
      </w:r>
      <w:r w:rsidRPr="00CD439F">
        <w:rPr>
          <w:rStyle w:val="halvfet"/>
        </w:rPr>
        <w:t xml:space="preserve"> </w:t>
      </w:r>
      <w:r w:rsidRPr="007E7F6E">
        <w:t>om rovvilt og forholdet til deres bruk av utmark kan bidra til en forvaltning som både sikrer levedyktige bestander og en bærekraftig samisk utmarksnæring</w:t>
      </w:r>
      <w:r w:rsidR="00CD439F">
        <w:t>»</w:t>
      </w:r>
      <w:r>
        <w:t xml:space="preserve">. Videre sies det at konvensjonen </w:t>
      </w:r>
      <w:r w:rsidR="00CD439F">
        <w:t>«</w:t>
      </w:r>
      <w:r w:rsidRPr="007E7F6E">
        <w:t xml:space="preserve">inneholder </w:t>
      </w:r>
      <w:r w:rsidRPr="008E1176">
        <w:t xml:space="preserve">en klar forpliktelse til å </w:t>
      </w:r>
      <w:r w:rsidR="00CD439F">
        <w:t>«</w:t>
      </w:r>
      <w:r w:rsidRPr="008E1176">
        <w:t xml:space="preserve">opprettholde </w:t>
      </w:r>
      <w:r w:rsidRPr="00A454FE">
        <w:t>levedyktige bestander</w:t>
      </w:r>
      <w:r w:rsidRPr="008E1176">
        <w:t xml:space="preserve"> av arter i deres naturlige omgivelser</w:t>
      </w:r>
      <w:r w:rsidR="00CD439F" w:rsidRPr="00CD439F">
        <w:rPr>
          <w:rStyle w:val="halvfet"/>
        </w:rPr>
        <w:t>»</w:t>
      </w:r>
      <w:r w:rsidRPr="007E7F6E">
        <w:t xml:space="preserve"> (artikkel 8d)</w:t>
      </w:r>
      <w:r w:rsidR="00CD439F">
        <w:t>»</w:t>
      </w:r>
      <w:r w:rsidRPr="007E7F6E">
        <w:t xml:space="preserve">. </w:t>
      </w:r>
      <w:r>
        <w:t xml:space="preserve">Og: </w:t>
      </w:r>
      <w:r w:rsidR="00CD439F">
        <w:t>«</w:t>
      </w:r>
      <w:r w:rsidRPr="007E7F6E">
        <w:t>Oppfyller en stat sine forpliktelser etter Bern-konvensjonen, er det god</w:t>
      </w:r>
      <w:r>
        <w:t>t</w:t>
      </w:r>
      <w:r w:rsidRPr="007E7F6E">
        <w:t xml:space="preserve"> grunnlag for å si at den har fulgt opp sine forpliktelser om artsvern etter konvensjonen om biologisk mangfold.</w:t>
      </w:r>
      <w:r w:rsidR="00CD439F">
        <w:t>»</w:t>
      </w:r>
      <w:r w:rsidR="00CD439F" w:rsidRPr="00CD439F">
        <w:rPr>
          <w:rStyle w:val="Fotnotereferanse"/>
        </w:rPr>
        <w:footnoteReference w:id="203"/>
      </w:r>
    </w:p>
    <w:p w14:paraId="55D027E0" w14:textId="66666F2D" w:rsidR="00011F71" w:rsidRDefault="00011F71" w:rsidP="00011F71">
      <w:r>
        <w:t xml:space="preserve">I rovdyrforliket av 2004 viser flertallet i stortingskomiteen til at </w:t>
      </w:r>
      <w:r w:rsidR="00CD439F">
        <w:t>«</w:t>
      </w:r>
      <w:r>
        <w:t>Norge etter Bern-konvensjonen har en forpliktelse til å sikre overlevelsen til alle de store rovviltartene i norsk natur</w:t>
      </w:r>
      <w:r w:rsidR="00CD439F">
        <w:t>»</w:t>
      </w:r>
      <w:r>
        <w:t xml:space="preserve">. Flertallet mener at </w:t>
      </w:r>
      <w:r w:rsidR="00CD439F">
        <w:t>«</w:t>
      </w:r>
      <w:r>
        <w:t>spørsmålet derfor ikke er om vi skal ha rovvilt i norsk natur, men hvor vi skal forvalte det og hvordan</w:t>
      </w:r>
      <w:r w:rsidR="00CD439F">
        <w:t>»</w:t>
      </w:r>
      <w:r>
        <w:t>.</w:t>
      </w:r>
      <w:r w:rsidR="00CD439F" w:rsidRPr="00CD439F">
        <w:rPr>
          <w:rStyle w:val="Fotnotereferanse"/>
        </w:rPr>
        <w:footnoteReference w:id="204"/>
      </w:r>
      <w:r>
        <w:t xml:space="preserve"> Det behandles imidlertid ikke hvilken konkret betydning Bernkonvensjonen eller andre konvensjoner innebærer for den norske rovviltforvaltningen, heller ikke betydningen av de internasjonale urfolksforpliktelsene.</w:t>
      </w:r>
    </w:p>
    <w:p w14:paraId="64702B41" w14:textId="38187BAB" w:rsidR="00303661" w:rsidRDefault="00011F71" w:rsidP="00011F71">
      <w:r>
        <w:t xml:space="preserve">Stortinget fastsatte i rovdyrforliket av 2011 at </w:t>
      </w:r>
      <w:r w:rsidR="00CD439F">
        <w:t>«</w:t>
      </w:r>
      <w:r>
        <w:t>[n]</w:t>
      </w:r>
      <w:proofErr w:type="spellStart"/>
      <w:r w:rsidRPr="005816B9">
        <w:t>orsk</w:t>
      </w:r>
      <w:proofErr w:type="spellEnd"/>
      <w:r w:rsidRPr="005816B9">
        <w:t xml:space="preserve"> rovviltforvaltning skal skje innenfor rammen av bestemmelsene i naturmangfoldloven og Stortingets behandling av denne, Bernkonvensjonen og </w:t>
      </w:r>
      <w:r w:rsidRPr="00BE70D3">
        <w:t>den todelte målsettingen</w:t>
      </w:r>
      <w:r w:rsidRPr="005816B9">
        <w:t xml:space="preserve"> etter rovviltforliket av 2004, og den videre oppfølging av dette.</w:t>
      </w:r>
      <w:r w:rsidR="00CD439F">
        <w:t>»</w:t>
      </w:r>
      <w:r w:rsidR="00CD439F" w:rsidRPr="00CD439F">
        <w:rPr>
          <w:rStyle w:val="Fotnotereferanse"/>
        </w:rPr>
        <w:footnoteReference w:id="205"/>
      </w:r>
      <w:r>
        <w:t xml:space="preserve"> </w:t>
      </w:r>
      <w:r w:rsidRPr="1200894C">
        <w:t xml:space="preserve">Det er verdt å merke seg at mens det henvises til </w:t>
      </w:r>
      <w:r w:rsidRPr="00A92B41">
        <w:t>internasjonale miljøforpliktelser</w:t>
      </w:r>
      <w:r w:rsidRPr="1200894C">
        <w:t xml:space="preserve"> i form av Bernkonvensjonen, er </w:t>
      </w:r>
      <w:r>
        <w:t xml:space="preserve">det </w:t>
      </w:r>
      <w:r w:rsidRPr="1200894C">
        <w:t>ikke sagt</w:t>
      </w:r>
      <w:r>
        <w:t xml:space="preserve"> noe</w:t>
      </w:r>
      <w:r w:rsidRPr="1200894C">
        <w:t xml:space="preserve"> om internasjonale urfolksforpliktelser.</w:t>
      </w:r>
    </w:p>
    <w:p w14:paraId="10B86D59" w14:textId="6931E07A" w:rsidR="00303661" w:rsidRDefault="00011F71" w:rsidP="00011F71">
      <w:r w:rsidRPr="00693A45">
        <w:rPr>
          <w:lang w:val="nn-NO"/>
        </w:rPr>
        <w:t xml:space="preserve">I </w:t>
      </w:r>
      <w:r w:rsidR="00CD439F">
        <w:rPr>
          <w:lang w:val="nn-NO"/>
        </w:rPr>
        <w:t xml:space="preserve">Meld. St. </w:t>
      </w:r>
      <w:r w:rsidR="00CD439F" w:rsidRPr="00693A45">
        <w:rPr>
          <w:lang w:val="nn-NO"/>
        </w:rPr>
        <w:t>2</w:t>
      </w:r>
      <w:r w:rsidRPr="00693A45">
        <w:rPr>
          <w:lang w:val="nn-NO"/>
        </w:rPr>
        <w:t xml:space="preserve">1 (2015–2016) </w:t>
      </w:r>
      <w:r w:rsidRPr="00CD439F">
        <w:rPr>
          <w:rStyle w:val="kursiv"/>
          <w:lang w:val="nn-NO"/>
        </w:rPr>
        <w:t xml:space="preserve">Ulv i norsk natur. </w:t>
      </w:r>
      <w:r w:rsidRPr="00CD439F">
        <w:rPr>
          <w:rStyle w:val="kursiv"/>
        </w:rPr>
        <w:t>Bestandsmål for ulv og ulvesone</w:t>
      </w:r>
      <w:r>
        <w:t xml:space="preserve"> fremheves Bernkonvensjonen som den </w:t>
      </w:r>
      <w:r w:rsidR="00CD439F">
        <w:t>«</w:t>
      </w:r>
      <w:r>
        <w:t xml:space="preserve">mest sentrale miljøavtalen som direkte berører rovvilt i </w:t>
      </w:r>
      <w:r>
        <w:lastRenderedPageBreak/>
        <w:t>Norge</w:t>
      </w:r>
      <w:r w:rsidR="00CD439F">
        <w:t>»</w:t>
      </w:r>
      <w:r>
        <w:t>.</w:t>
      </w:r>
      <w:r w:rsidR="00CD439F" w:rsidRPr="00CD439F">
        <w:rPr>
          <w:rStyle w:val="Fotnotereferanse"/>
        </w:rPr>
        <w:footnoteReference w:id="206"/>
      </w:r>
      <w:r w:rsidR="00303661">
        <w:t xml:space="preserve"> </w:t>
      </w:r>
      <w:r>
        <w:t xml:space="preserve">De relevante artiklene gjennomgås, men uten at det drøftes hvilken nærmere betydning de </w:t>
      </w:r>
      <w:r w:rsidRPr="47A0B628">
        <w:t>har</w:t>
      </w:r>
      <w:r>
        <w:t xml:space="preserve"> for norsk rovviltpolitikk. Under avsnittet om urfolks rettigheter uttales det at FN-konvensjonen om sivile og politiske rettigheter artikkel 27 </w:t>
      </w:r>
      <w:r w:rsidR="00CD439F">
        <w:t>«</w:t>
      </w:r>
      <w:r>
        <w:t>er en sentral folkerettslig norm i samerettslig sammenheng</w:t>
      </w:r>
      <w:r w:rsidR="00CD439F">
        <w:t>»</w:t>
      </w:r>
      <w:r>
        <w:t>.</w:t>
      </w:r>
      <w:r w:rsidR="00CD439F" w:rsidRPr="00CD439F">
        <w:rPr>
          <w:rStyle w:val="Fotnotereferanse"/>
        </w:rPr>
        <w:footnoteReference w:id="207"/>
      </w:r>
      <w:r>
        <w:t xml:space="preserve"> Men det sies ikke noe om hvilke utslag bestemmelsen innebærer for innholdet i rovviltpolitikken. Det samme gjelder for behandlingen av ILO-konvensjon 169 om urfolks rettigheter. Men det konkluderes med at utformingen av ulvesonen sammen med andre tiltak </w:t>
      </w:r>
      <w:r w:rsidR="00CD439F">
        <w:t>«</w:t>
      </w:r>
      <w:r>
        <w:t>slik som de etablerte fellingsregimer og samisk representasjon i rovviltnemdene</w:t>
      </w:r>
      <w:r w:rsidR="00CD439F">
        <w:t>»</w:t>
      </w:r>
      <w:r>
        <w:t xml:space="preserve"> skal sikre at ulveforvaltningen er innenfor FN-konvensjonen artikkel 27. Det hevdes at forpliktelsene etter ILO-konvensjonen ikke går lengre enn det som følger av FN-konvensjonen. Endelig sies det at FN-erklæringen om urfolks rettigheter </w:t>
      </w:r>
      <w:r w:rsidR="00CD439F">
        <w:t>«</w:t>
      </w:r>
      <w:r>
        <w:t>legger viktige føringer i arbeidet for å fastslå hvilke rettigheter urfolk har</w:t>
      </w:r>
      <w:r w:rsidR="00CD439F">
        <w:t>»</w:t>
      </w:r>
      <w:r>
        <w:t>.</w:t>
      </w:r>
      <w:r w:rsidR="00CD439F" w:rsidRPr="00CD439F">
        <w:rPr>
          <w:rStyle w:val="Fotnotereferanse"/>
        </w:rPr>
        <w:footnoteReference w:id="208"/>
      </w:r>
    </w:p>
    <w:p w14:paraId="4D2AA44D" w14:textId="072D51C3" w:rsidR="00011F71" w:rsidRDefault="00011F71" w:rsidP="00011F71">
      <w:r>
        <w:t xml:space="preserve">I ulveforliket av 2016 viser komiteens flertall til de tidligere rovviltforlikene og mener at forlikene innebærer at </w:t>
      </w:r>
      <w:r w:rsidR="00CD439F">
        <w:t>«</w:t>
      </w:r>
      <w:r>
        <w:t>forvaltningen skal skje innenfor rammen av internasjonale forpliktelser etter Bernkonvensjonen</w:t>
      </w:r>
      <w:r w:rsidR="00CD439F">
        <w:t>»</w:t>
      </w:r>
      <w:r>
        <w:t>.</w:t>
      </w:r>
      <w:r w:rsidR="00CD439F" w:rsidRPr="00CD439F">
        <w:rPr>
          <w:rStyle w:val="Fotnotereferanse"/>
        </w:rPr>
        <w:footnoteReference w:id="209"/>
      </w:r>
      <w:r>
        <w:t xml:space="preserve"> Betydningen av denne konvensjonen behandles ikke nærmere, og, i likhet med forlikene av 2004 og 2011, nevnes ILO-konvensjonen om urfolks rettigheter heller ikke i dette forliket.</w:t>
      </w:r>
    </w:p>
    <w:p w14:paraId="6B7D450B" w14:textId="31E9B78A" w:rsidR="00303661" w:rsidRDefault="00011F71" w:rsidP="00011F71">
      <w:r>
        <w:t xml:space="preserve">Det kan etter dette konkluderes med at den norske rovviltforvaltningen bygger på en todelt målsetting: bevaring av rovvilt og beskyttelse av beitenæringene. </w:t>
      </w:r>
      <w:r w:rsidRPr="00693A45">
        <w:rPr>
          <w:lang w:val="nn-NO"/>
        </w:rPr>
        <w:t xml:space="preserve">I </w:t>
      </w:r>
      <w:r w:rsidR="00CD439F">
        <w:rPr>
          <w:lang w:val="nn-NO"/>
        </w:rPr>
        <w:t xml:space="preserve">St.meld. nr. </w:t>
      </w:r>
      <w:r w:rsidR="00CD439F" w:rsidRPr="00693A45">
        <w:rPr>
          <w:lang w:val="nn-NO"/>
        </w:rPr>
        <w:t>15</w:t>
      </w:r>
      <w:r w:rsidRPr="00693A45">
        <w:rPr>
          <w:lang w:val="nn-NO"/>
        </w:rPr>
        <w:t xml:space="preserve"> (2003</w:t>
      </w:r>
      <w:r w:rsidR="007B7151">
        <w:rPr>
          <w:lang w:val="nn-NO"/>
        </w:rPr>
        <w:t>–</w:t>
      </w:r>
      <w:r w:rsidRPr="00693A45">
        <w:rPr>
          <w:lang w:val="nn-NO"/>
        </w:rPr>
        <w:t xml:space="preserve">2004) </w:t>
      </w:r>
      <w:r w:rsidRPr="00CD439F">
        <w:rPr>
          <w:rStyle w:val="kursiv"/>
          <w:lang w:val="nn-NO"/>
        </w:rPr>
        <w:t>Rovvilt i norsk natur</w:t>
      </w:r>
      <w:r w:rsidRPr="00693A45">
        <w:rPr>
          <w:lang w:val="nn-NO"/>
        </w:rPr>
        <w:t xml:space="preserve"> og i </w:t>
      </w:r>
      <w:r w:rsidR="00CD439F">
        <w:rPr>
          <w:lang w:val="nn-NO"/>
        </w:rPr>
        <w:t xml:space="preserve">Meld. St. </w:t>
      </w:r>
      <w:r w:rsidR="00CD439F" w:rsidRPr="00693A45">
        <w:rPr>
          <w:lang w:val="nn-NO"/>
        </w:rPr>
        <w:t>2</w:t>
      </w:r>
      <w:r w:rsidRPr="00693A45">
        <w:rPr>
          <w:lang w:val="nn-NO"/>
        </w:rPr>
        <w:t xml:space="preserve">1 (2015–2016) </w:t>
      </w:r>
      <w:r w:rsidRPr="00CD439F">
        <w:rPr>
          <w:rStyle w:val="kursiv"/>
          <w:lang w:val="nn-NO"/>
        </w:rPr>
        <w:t>Ulv i norsk natur. Bestandsmål for ulv og ulvesone</w:t>
      </w:r>
      <w:r w:rsidRPr="00693A45">
        <w:rPr>
          <w:lang w:val="nn-NO"/>
        </w:rPr>
        <w:t xml:space="preserve"> </w:t>
      </w:r>
      <w:proofErr w:type="spellStart"/>
      <w:r w:rsidRPr="00693A45">
        <w:rPr>
          <w:lang w:val="nn-NO"/>
        </w:rPr>
        <w:t>refereres</w:t>
      </w:r>
      <w:proofErr w:type="spellEnd"/>
      <w:r w:rsidRPr="00693A45">
        <w:rPr>
          <w:lang w:val="nn-NO"/>
        </w:rPr>
        <w:t xml:space="preserve"> det til Norges </w:t>
      </w:r>
      <w:proofErr w:type="spellStart"/>
      <w:r w:rsidRPr="00693A45">
        <w:rPr>
          <w:lang w:val="nn-NO"/>
        </w:rPr>
        <w:t>folkerettslige</w:t>
      </w:r>
      <w:proofErr w:type="spellEnd"/>
      <w:r w:rsidRPr="00693A45">
        <w:rPr>
          <w:lang w:val="nn-NO"/>
        </w:rPr>
        <w:t xml:space="preserve"> </w:t>
      </w:r>
      <w:proofErr w:type="spellStart"/>
      <w:r w:rsidRPr="00693A45">
        <w:rPr>
          <w:lang w:val="nn-NO"/>
        </w:rPr>
        <w:t>forpliktelser</w:t>
      </w:r>
      <w:proofErr w:type="spellEnd"/>
      <w:r w:rsidRPr="00693A45">
        <w:rPr>
          <w:lang w:val="nn-NO"/>
        </w:rPr>
        <w:t xml:space="preserve"> når det gjelder urfolk. Men på tross av at </w:t>
      </w:r>
      <w:r w:rsidR="00CD439F">
        <w:rPr>
          <w:lang w:val="nn-NO"/>
        </w:rPr>
        <w:t xml:space="preserve">St.meld. nr. </w:t>
      </w:r>
      <w:r w:rsidR="00CD439F" w:rsidRPr="00693A45">
        <w:rPr>
          <w:lang w:val="nn-NO"/>
        </w:rPr>
        <w:t>15</w:t>
      </w:r>
      <w:r w:rsidRPr="00693A45">
        <w:rPr>
          <w:lang w:val="nn-NO"/>
        </w:rPr>
        <w:t xml:space="preserve"> viser til plikten til å ivareta samisk </w:t>
      </w:r>
      <w:proofErr w:type="spellStart"/>
      <w:r w:rsidRPr="00693A45">
        <w:rPr>
          <w:lang w:val="nn-NO"/>
        </w:rPr>
        <w:t>kulturutøvelse</w:t>
      </w:r>
      <w:proofErr w:type="spellEnd"/>
      <w:r w:rsidRPr="00693A45">
        <w:rPr>
          <w:lang w:val="nn-NO"/>
        </w:rPr>
        <w:t xml:space="preserve"> i det enkelte område, </w:t>
      </w:r>
      <w:proofErr w:type="spellStart"/>
      <w:r w:rsidRPr="00693A45">
        <w:rPr>
          <w:lang w:val="nn-NO"/>
        </w:rPr>
        <w:t>konkluderes</w:t>
      </w:r>
      <w:proofErr w:type="spellEnd"/>
      <w:r w:rsidRPr="00693A45">
        <w:rPr>
          <w:lang w:val="nn-NO"/>
        </w:rPr>
        <w:t xml:space="preserve"> det, </w:t>
      </w:r>
      <w:proofErr w:type="spellStart"/>
      <w:r w:rsidRPr="00693A45">
        <w:rPr>
          <w:lang w:val="nn-NO"/>
        </w:rPr>
        <w:t>uten</w:t>
      </w:r>
      <w:proofErr w:type="spellEnd"/>
      <w:r w:rsidRPr="00693A45">
        <w:rPr>
          <w:lang w:val="nn-NO"/>
        </w:rPr>
        <w:t xml:space="preserve"> </w:t>
      </w:r>
      <w:proofErr w:type="spellStart"/>
      <w:r w:rsidRPr="00693A45">
        <w:rPr>
          <w:lang w:val="nn-NO"/>
        </w:rPr>
        <w:t>nærmere</w:t>
      </w:r>
      <w:proofErr w:type="spellEnd"/>
      <w:r w:rsidRPr="00693A45">
        <w:rPr>
          <w:lang w:val="nn-NO"/>
        </w:rPr>
        <w:t xml:space="preserve"> </w:t>
      </w:r>
      <w:proofErr w:type="spellStart"/>
      <w:r w:rsidRPr="00693A45">
        <w:rPr>
          <w:lang w:val="nn-NO"/>
        </w:rPr>
        <w:t>undersøkelse</w:t>
      </w:r>
      <w:proofErr w:type="spellEnd"/>
      <w:r w:rsidRPr="00693A45">
        <w:rPr>
          <w:lang w:val="nn-NO"/>
        </w:rPr>
        <w:t xml:space="preserve"> av </w:t>
      </w:r>
      <w:proofErr w:type="spellStart"/>
      <w:r w:rsidRPr="00693A45">
        <w:rPr>
          <w:lang w:val="nn-NO"/>
        </w:rPr>
        <w:t>virkningene</w:t>
      </w:r>
      <w:proofErr w:type="spellEnd"/>
      <w:r w:rsidRPr="00693A45">
        <w:rPr>
          <w:lang w:val="nn-NO"/>
        </w:rPr>
        <w:t xml:space="preserve"> av rovviltpolitikken for </w:t>
      </w:r>
      <w:proofErr w:type="spellStart"/>
      <w:r w:rsidRPr="00693A45">
        <w:rPr>
          <w:lang w:val="nn-NO"/>
        </w:rPr>
        <w:t>reindriften</w:t>
      </w:r>
      <w:proofErr w:type="spellEnd"/>
      <w:r w:rsidRPr="00693A45">
        <w:rPr>
          <w:lang w:val="nn-NO"/>
        </w:rPr>
        <w:t xml:space="preserve"> lokalt, med at urfolksforpliktelsene </w:t>
      </w:r>
      <w:proofErr w:type="spellStart"/>
      <w:r w:rsidRPr="00693A45">
        <w:rPr>
          <w:lang w:val="nn-NO"/>
        </w:rPr>
        <w:t>oppfylles</w:t>
      </w:r>
      <w:proofErr w:type="spellEnd"/>
      <w:r w:rsidRPr="00693A45">
        <w:rPr>
          <w:lang w:val="nn-NO"/>
        </w:rPr>
        <w:t>.</w:t>
      </w:r>
      <w:r w:rsidR="00303661">
        <w:rPr>
          <w:lang w:val="nn-NO"/>
        </w:rPr>
        <w:t xml:space="preserve"> </w:t>
      </w:r>
      <w:r>
        <w:t>I Stortingets rovviltforlik nevnes bare Bernkonvensjonen, ikke urfolksforpliktelsene.</w:t>
      </w:r>
    </w:p>
    <w:p w14:paraId="3850CF3A" w14:textId="0E47971F" w:rsidR="00F25F89" w:rsidRDefault="00F25F89" w:rsidP="00F25F89">
      <w:pPr>
        <w:pStyle w:val="Overskrift4"/>
      </w:pPr>
      <w:r>
        <w:t>Nasjonale bestandsmål</w:t>
      </w:r>
    </w:p>
    <w:p w14:paraId="76E14215" w14:textId="730D54E5" w:rsidR="00303661" w:rsidRDefault="00F25F89" w:rsidP="00F25F89">
      <w:r w:rsidRPr="00F25F89">
        <w:t xml:space="preserve">Bernkonvensjonen artikkel 2 fastsetter en plikt til å </w:t>
      </w:r>
      <w:r w:rsidR="00CD439F">
        <w:t>«</w:t>
      </w:r>
      <w:r w:rsidRPr="00F25F89">
        <w:t>opprettholde</w:t>
      </w:r>
      <w:r w:rsidR="00CD439F">
        <w:t>»</w:t>
      </w:r>
      <w:r w:rsidRPr="00F25F89">
        <w:t xml:space="preserve"> eller </w:t>
      </w:r>
      <w:r w:rsidR="00CD439F">
        <w:t>«</w:t>
      </w:r>
      <w:r w:rsidRPr="00F25F89">
        <w:t>tilpasse</w:t>
      </w:r>
      <w:r w:rsidR="00CD439F">
        <w:t>»</w:t>
      </w:r>
      <w:r w:rsidRPr="00F25F89">
        <w:t xml:space="preserve"> rovviltbestandene til et nivå som </w:t>
      </w:r>
      <w:r w:rsidR="00CD439F">
        <w:t>«</w:t>
      </w:r>
      <w:r w:rsidRPr="00CD439F">
        <w:rPr>
          <w:rStyle w:val="kursiv"/>
        </w:rPr>
        <w:t>særlig</w:t>
      </w:r>
      <w:r w:rsidRPr="00F25F89">
        <w:t xml:space="preserve"> samsvarer med økologiske, vitenskapelige og kulturelle krav, samtidig som </w:t>
      </w:r>
      <w:r w:rsidRPr="00F36883">
        <w:t xml:space="preserve">det </w:t>
      </w:r>
      <w:r w:rsidRPr="00CD439F">
        <w:rPr>
          <w:rStyle w:val="kursiv"/>
        </w:rPr>
        <w:t>tas hensyn til</w:t>
      </w:r>
      <w:r w:rsidRPr="00F36883">
        <w:t xml:space="preserve"> økonomiske og </w:t>
      </w:r>
      <w:proofErr w:type="spellStart"/>
      <w:r w:rsidRPr="00F36883">
        <w:t>rekreasjonsmessige</w:t>
      </w:r>
      <w:proofErr w:type="spellEnd"/>
      <w:r w:rsidRPr="00F36883">
        <w:t xml:space="preserve"> behov og behovene til underarter, varieteter eller former som er lokalt truet</w:t>
      </w:r>
      <w:r w:rsidR="00CD439F">
        <w:t>»</w:t>
      </w:r>
      <w:r w:rsidRPr="003E09C2">
        <w:rPr>
          <w:rFonts w:cs="Times New Roman"/>
        </w:rPr>
        <w:t xml:space="preserve"> (uthevet </w:t>
      </w:r>
      <w:r w:rsidRPr="003E09C2">
        <w:rPr>
          <w:rFonts w:cs="Times New Roman"/>
        </w:rPr>
        <w:lastRenderedPageBreak/>
        <w:t>her)</w:t>
      </w:r>
      <w:r w:rsidRPr="003E09C2">
        <w:t xml:space="preserve">. </w:t>
      </w:r>
      <w:r w:rsidRPr="00054879">
        <w:t xml:space="preserve">Det er verdt å legge merke til at vekten legges på </w:t>
      </w:r>
      <w:r w:rsidR="00CD439F">
        <w:rPr>
          <w:rFonts w:cs="Times New Roman"/>
        </w:rPr>
        <w:t>«</w:t>
      </w:r>
      <w:r w:rsidRPr="00F36883">
        <w:t>økologiske, vitenskapelige og kulturelle krav</w:t>
      </w:r>
      <w:r w:rsidR="00CD439F">
        <w:t>»</w:t>
      </w:r>
      <w:r w:rsidRPr="00054879">
        <w:t xml:space="preserve"> fremfor </w:t>
      </w:r>
      <w:r w:rsidR="00CD439F">
        <w:t>«</w:t>
      </w:r>
      <w:r w:rsidRPr="00F36883">
        <w:t xml:space="preserve">økonomiske og </w:t>
      </w:r>
      <w:proofErr w:type="spellStart"/>
      <w:r w:rsidRPr="00F36883">
        <w:t>rekreasjonsmessige</w:t>
      </w:r>
      <w:proofErr w:type="spellEnd"/>
      <w:r w:rsidRPr="00F36883">
        <w:t xml:space="preserve"> behov</w:t>
      </w:r>
      <w:r w:rsidR="00CD439F">
        <w:t>»</w:t>
      </w:r>
      <w:r w:rsidRPr="00054879">
        <w:t>.</w:t>
      </w:r>
    </w:p>
    <w:p w14:paraId="38E55721" w14:textId="77777777" w:rsidR="00303661" w:rsidRDefault="00F25F89" w:rsidP="00F25F89">
      <w:r w:rsidRPr="00673D18">
        <w:t>Men artikkel 2 må også tolkes</w:t>
      </w:r>
      <w:r>
        <w:t xml:space="preserve"> systemisk,</w:t>
      </w:r>
      <w:r w:rsidRPr="00673D18">
        <w:t xml:space="preserve"> slik at andre folkerettslige </w:t>
      </w:r>
      <w:r>
        <w:t xml:space="preserve">forpliktelser også ivaretas, i vår sammenheng gjelder dette de folkerettslige urfolksforpliktelsene. </w:t>
      </w:r>
      <w:r w:rsidRPr="554CF858">
        <w:t xml:space="preserve">Dette innebærer at det må tas hensyn til de folkerettslige urfolksforpliktelsene når de nasjonale bestandsmålene for ulike arter av rovvilt skal fastsettes. </w:t>
      </w:r>
      <w:r>
        <w:t xml:space="preserve">På samme måte kan </w:t>
      </w:r>
      <w:r w:rsidRPr="001E1B48">
        <w:t xml:space="preserve">de folkerettslige pliktene til å verne rovdyr </w:t>
      </w:r>
      <w:r>
        <w:t xml:space="preserve">få betydning </w:t>
      </w:r>
      <w:r w:rsidRPr="001E1B48">
        <w:t>ved tolkningen av de urfolksforpliktelsene</w:t>
      </w:r>
      <w:r>
        <w:t>.</w:t>
      </w:r>
    </w:p>
    <w:p w14:paraId="78A1E0BF" w14:textId="142B9008" w:rsidR="00303661" w:rsidRDefault="00F25F89" w:rsidP="00F25F89">
      <w:r>
        <w:t xml:space="preserve">I </w:t>
      </w:r>
      <w:r w:rsidR="00CD439F">
        <w:t xml:space="preserve">St.meld. nr. </w:t>
      </w:r>
      <w:r w:rsidR="00CD439F" w:rsidRPr="005816B9">
        <w:t>15</w:t>
      </w:r>
      <w:r w:rsidRPr="005816B9">
        <w:t xml:space="preserve"> (2003</w:t>
      </w:r>
      <w:r w:rsidR="007B7151">
        <w:t>–</w:t>
      </w:r>
      <w:r w:rsidRPr="005816B9">
        <w:t>2004</w:t>
      </w:r>
      <w:r>
        <w:t xml:space="preserve">) </w:t>
      </w:r>
      <w:r w:rsidRPr="00CD439F">
        <w:rPr>
          <w:rStyle w:val="kursiv"/>
        </w:rPr>
        <w:t>Rovvilt i norsk natur</w:t>
      </w:r>
      <w:r>
        <w:t xml:space="preserve"> vises det til </w:t>
      </w:r>
      <w:r w:rsidR="00CD439F">
        <w:t xml:space="preserve">St.meld. nr. </w:t>
      </w:r>
      <w:r w:rsidR="00CD439F" w:rsidRPr="008E4685">
        <w:t>35</w:t>
      </w:r>
      <w:r w:rsidRPr="008E4685">
        <w:t xml:space="preserve"> (1996–97) </w:t>
      </w:r>
      <w:r w:rsidRPr="00CD439F">
        <w:rPr>
          <w:rStyle w:val="kursiv"/>
        </w:rPr>
        <w:t>Om rovviltforvaltning</w:t>
      </w:r>
      <w:r w:rsidRPr="008E4685">
        <w:t xml:space="preserve"> og rovviltforliket av 2004, hvor det ble fastsatt bestandsmål for de enkelte rovviltartene. De internasjonale forpliktelsene er angitt som ett av </w:t>
      </w:r>
      <w:r>
        <w:t>flere kriterier ved fastsettelsen av bestandsmålene.</w:t>
      </w:r>
      <w:r w:rsidR="00CD439F" w:rsidRPr="00CD439F">
        <w:rPr>
          <w:rStyle w:val="Fotnotereferanse"/>
        </w:rPr>
        <w:footnoteReference w:id="210"/>
      </w:r>
      <w:r>
        <w:t xml:space="preserve"> Det er imidlertid ikke nærmere spesifisert hvilken betydning henholdsvis de internasjonale miljøkonvensjonene, herunder Bernkonvensjonen, konvensjonen om biologisk mangfold, eller de internasjonale urfolksforpliktelsene, herunder konvensjonen om sivile og politiske rettigheter artikkel 27 og ILO-konvensjon 169 om urfolks rettigheter, har hatt for bestandsmålene.</w:t>
      </w:r>
    </w:p>
    <w:p w14:paraId="020CE1BF" w14:textId="70A50F48" w:rsidR="00303661" w:rsidRDefault="00F25F89" w:rsidP="00F25F89">
      <w:pPr>
        <w:rPr>
          <w:rFonts w:cs="Times New Roman"/>
        </w:rPr>
      </w:pPr>
      <w:r w:rsidRPr="00170EB1">
        <w:rPr>
          <w:rFonts w:cs="Times New Roman"/>
        </w:rPr>
        <w:t xml:space="preserve">Det er usikkert i hvilken grad økologiske og vitenskapelige krav ble tatt hensyn til ved fastsettelsen av bestandsmålene i Norge. </w:t>
      </w:r>
      <w:r>
        <w:rPr>
          <w:rFonts w:cs="Times New Roman"/>
        </w:rPr>
        <w:t xml:space="preserve">I Klima- og miljødepartementets brev til Utvalget av 28. januar 2026 vises det til </w:t>
      </w:r>
      <w:r w:rsidR="00CD439F">
        <w:t xml:space="preserve">St.meld. nr. </w:t>
      </w:r>
      <w:r w:rsidR="00CD439F" w:rsidRPr="008E4685">
        <w:t>35</w:t>
      </w:r>
      <w:r w:rsidRPr="008E4685">
        <w:t xml:space="preserve"> (1996–97) </w:t>
      </w:r>
      <w:r w:rsidRPr="00CD439F">
        <w:rPr>
          <w:rStyle w:val="kursiv"/>
        </w:rPr>
        <w:t>Om rovviltforvaltning</w:t>
      </w:r>
      <w:r>
        <w:t xml:space="preserve"> om at d</w:t>
      </w:r>
      <w:r w:rsidRPr="00D729D0">
        <w:rPr>
          <w:rFonts w:cs="Times New Roman"/>
        </w:rPr>
        <w:t xml:space="preserve">et </w:t>
      </w:r>
      <w:r>
        <w:rPr>
          <w:rFonts w:cs="Times New Roman"/>
        </w:rPr>
        <w:t>ble</w:t>
      </w:r>
      <w:r w:rsidRPr="00D729D0">
        <w:rPr>
          <w:rFonts w:cs="Times New Roman"/>
        </w:rPr>
        <w:t xml:space="preserve"> lagt vekt på å frembringe et oppdatert faglig grunnlag når det gjaldt vurderinger knyttet til rovviltbestandenes levedyktighet. </w:t>
      </w:r>
      <w:r>
        <w:rPr>
          <w:rFonts w:cs="Times New Roman"/>
        </w:rPr>
        <w:t>Det uttales</w:t>
      </w:r>
      <w:r w:rsidRPr="00D729D0">
        <w:rPr>
          <w:rFonts w:cs="Times New Roman"/>
        </w:rPr>
        <w:t xml:space="preserve"> at de nasjonale målene </w:t>
      </w:r>
      <w:r>
        <w:rPr>
          <w:rFonts w:cs="Times New Roman"/>
        </w:rPr>
        <w:t>ble</w:t>
      </w:r>
      <w:r w:rsidRPr="00D729D0">
        <w:rPr>
          <w:rFonts w:cs="Times New Roman"/>
        </w:rPr>
        <w:t xml:space="preserve"> utformet </w:t>
      </w:r>
      <w:r>
        <w:rPr>
          <w:rFonts w:cs="Times New Roman"/>
        </w:rPr>
        <w:t>ut fra</w:t>
      </w:r>
      <w:r w:rsidRPr="00D729D0">
        <w:rPr>
          <w:rFonts w:cs="Times New Roman"/>
        </w:rPr>
        <w:t xml:space="preserve"> at Norge deler rovviltbestander med naboland, og at det i første rekke er disse sammenhengende bestander som må legges til grunn når en skal vurdere de ulike bestandenes levedyktighet på lang sikt. Videre ble det vist til at Norge skiller seg fra Sverige ved at man i Norge har en omfattende utmarksbeiting av sau</w:t>
      </w:r>
      <w:r w:rsidRPr="1755F46F">
        <w:rPr>
          <w:rFonts w:cs="Times New Roman"/>
        </w:rPr>
        <w:t xml:space="preserve"> og tamrein.</w:t>
      </w:r>
    </w:p>
    <w:p w14:paraId="24C37E72" w14:textId="75380B0D" w:rsidR="00F25F89" w:rsidRDefault="00F25F89" w:rsidP="00F25F89">
      <w:r>
        <w:rPr>
          <w:rFonts w:cs="Times New Roman"/>
        </w:rPr>
        <w:t xml:space="preserve">I brevet påpekes det også at </w:t>
      </w:r>
      <w:r w:rsidRPr="00D729D0">
        <w:rPr>
          <w:rFonts w:cs="Times New Roman"/>
        </w:rPr>
        <w:t xml:space="preserve">Norge </w:t>
      </w:r>
      <w:r>
        <w:rPr>
          <w:rFonts w:cs="Times New Roman"/>
        </w:rPr>
        <w:t>jevnlig oppdaterer</w:t>
      </w:r>
      <w:r w:rsidRPr="00D729D0">
        <w:rPr>
          <w:rFonts w:cs="Times New Roman"/>
        </w:rPr>
        <w:t xml:space="preserve"> Norsk rødliste for arter. Det er Artsdatabanken som i samarbeid med fageksperter utarbeider oversikten. Artene vurderes basert på kriterier fra Den internasjonale naturvernunionen (IUCN), og får en vurdering av hvor stor risiko arten har for å dø ut. Av rovviltartene er ulv vurdert som kritisk truet, jerv, brunbjørn og gaupe vurdert som sterkt truet, og kongeørn vurdert som livskraftig. Uten en sterk bestandssituasjon i Sverige ville brunbjørn vært vurdert som kritisk truet</w:t>
      </w:r>
      <w:r>
        <w:rPr>
          <w:rFonts w:cs="Times New Roman"/>
        </w:rPr>
        <w:t>,</w:t>
      </w:r>
      <w:r w:rsidRPr="00D729D0">
        <w:rPr>
          <w:rFonts w:cs="Times New Roman"/>
        </w:rPr>
        <w:t xml:space="preserve"> i likhet med ulv.</w:t>
      </w:r>
    </w:p>
    <w:p w14:paraId="7AE59DAA" w14:textId="41B25175" w:rsidR="00F25F89" w:rsidRDefault="00F25F89" w:rsidP="00F25F89">
      <w:r>
        <w:rPr>
          <w:rFonts w:cs="Times New Roman"/>
        </w:rPr>
        <w:lastRenderedPageBreak/>
        <w:t xml:space="preserve">Samarbeidsplikten med naboland om delte bestander </w:t>
      </w:r>
      <w:r>
        <w:t xml:space="preserve">er erkjent i </w:t>
      </w:r>
      <w:r w:rsidR="00CD439F">
        <w:t>St.meld. nr. 35</w:t>
      </w:r>
      <w:r>
        <w:t xml:space="preserve"> (1996</w:t>
      </w:r>
      <w:r w:rsidR="007B7151">
        <w:t>–</w:t>
      </w:r>
      <w:r>
        <w:t xml:space="preserve">1997) </w:t>
      </w:r>
      <w:r w:rsidRPr="00CD439F">
        <w:rPr>
          <w:rStyle w:val="kursiv"/>
        </w:rPr>
        <w:t>Om rovviltforvaltning</w:t>
      </w:r>
      <w:r w:rsidR="00CD439F" w:rsidRPr="00CD439F">
        <w:rPr>
          <w:rStyle w:val="Fotnotereferanse"/>
        </w:rPr>
        <w:footnoteReference w:id="211"/>
      </w:r>
      <w:r>
        <w:t xml:space="preserve"> og av Høyesterett.</w:t>
      </w:r>
      <w:r w:rsidR="00CD439F" w:rsidRPr="00CD439F">
        <w:rPr>
          <w:rStyle w:val="Fotnotereferanse"/>
        </w:rPr>
        <w:footnoteReference w:id="212"/>
      </w:r>
      <w:r>
        <w:t xml:space="preserve"> </w:t>
      </w:r>
      <w:r w:rsidRPr="00D729D0">
        <w:rPr>
          <w:rFonts w:cs="Times New Roman"/>
        </w:rPr>
        <w:t>K</w:t>
      </w:r>
      <w:r>
        <w:rPr>
          <w:rFonts w:cs="Times New Roman"/>
        </w:rPr>
        <w:t xml:space="preserve">lima- og miljødepartementet har i brevet av 28. januar 2026 </w:t>
      </w:r>
      <w:r w:rsidRPr="00D729D0">
        <w:rPr>
          <w:rFonts w:cs="Times New Roman"/>
        </w:rPr>
        <w:t xml:space="preserve">opplyst </w:t>
      </w:r>
      <w:r>
        <w:rPr>
          <w:rFonts w:cs="Times New Roman"/>
        </w:rPr>
        <w:t>u</w:t>
      </w:r>
      <w:r w:rsidRPr="00D729D0">
        <w:rPr>
          <w:rFonts w:cs="Times New Roman"/>
        </w:rPr>
        <w:t>tvalget om at det er et godt samarbeid på tvers av landegrensen</w:t>
      </w:r>
      <w:r>
        <w:rPr>
          <w:rFonts w:cs="Times New Roman"/>
        </w:rPr>
        <w:t>e</w:t>
      </w:r>
      <w:r w:rsidRPr="00D729D0">
        <w:rPr>
          <w:rFonts w:cs="Times New Roman"/>
        </w:rPr>
        <w:t xml:space="preserve"> mellom Norge, Sverige og Finland når det gjelder utveksling av informasjon i forvaltningen på direktoratsnivå, overvåking av rovdyr, feltarbeid og forskning. Det er utarbeidet to felles dokument mellom direktoratene i de nevnte landene i 2020 og 2022, som i detalj beskriver samarbeidet som gjennomføres på ulv</w:t>
      </w:r>
      <w:r w:rsidR="00CD439F" w:rsidRPr="00CD439F">
        <w:rPr>
          <w:rStyle w:val="Fotnotereferanse"/>
        </w:rPr>
        <w:footnoteReference w:id="213"/>
      </w:r>
      <w:r w:rsidRPr="00D729D0">
        <w:rPr>
          <w:rFonts w:cs="Times New Roman"/>
        </w:rPr>
        <w:t xml:space="preserve"> og jerv.</w:t>
      </w:r>
      <w:r w:rsidR="00CD439F" w:rsidRPr="00CD439F">
        <w:rPr>
          <w:rStyle w:val="Fotnotereferanse"/>
        </w:rPr>
        <w:footnoteReference w:id="214"/>
      </w:r>
      <w:r w:rsidRPr="00D729D0">
        <w:rPr>
          <w:rFonts w:cs="Times New Roman"/>
        </w:rPr>
        <w:t xml:space="preserve"> Samarbeidet er basert på flere internasjonale avtaler mellom Norge, Sverige og Finland.</w:t>
      </w:r>
      <w:r w:rsidR="00CD439F" w:rsidRPr="00CD439F">
        <w:rPr>
          <w:rStyle w:val="Fotnotereferanse"/>
        </w:rPr>
        <w:footnoteReference w:id="215"/>
      </w:r>
    </w:p>
    <w:p w14:paraId="007E827E" w14:textId="49A92AC8" w:rsidR="00F25F89" w:rsidRDefault="00F25F89" w:rsidP="00F25F89">
      <w:r w:rsidRPr="00D729D0">
        <w:rPr>
          <w:rFonts w:cs="Times New Roman"/>
        </w:rPr>
        <w:t xml:space="preserve">Når det gjelder ulv, foreligger det en samarbeidsavtale mellom Norge og Sverige om forvaltning av genetisk verdifulle individer av ulv. Det foreligger også en avtale om å utvikle samarbeidet mellom Sverige, Norge og Finland. Disse avtalene er omtalt i </w:t>
      </w:r>
      <w:r w:rsidR="00CD439F">
        <w:rPr>
          <w:rFonts w:cs="Times New Roman"/>
        </w:rPr>
        <w:t xml:space="preserve">Meld. St. </w:t>
      </w:r>
      <w:r w:rsidR="00CD439F" w:rsidRPr="00D729D0">
        <w:rPr>
          <w:rFonts w:cs="Times New Roman"/>
        </w:rPr>
        <w:t>2</w:t>
      </w:r>
      <w:r w:rsidRPr="00D729D0">
        <w:rPr>
          <w:rFonts w:cs="Times New Roman"/>
        </w:rPr>
        <w:t>1 (2015</w:t>
      </w:r>
      <w:r w:rsidR="007B7151">
        <w:rPr>
          <w:rFonts w:cs="Times New Roman"/>
        </w:rPr>
        <w:t>–</w:t>
      </w:r>
      <w:r w:rsidRPr="00D729D0">
        <w:rPr>
          <w:rFonts w:cs="Times New Roman"/>
        </w:rPr>
        <w:t xml:space="preserve">2016) </w:t>
      </w:r>
      <w:r w:rsidRPr="00CD439F">
        <w:rPr>
          <w:rStyle w:val="kursiv"/>
        </w:rPr>
        <w:t>Ulv i norsk natur. Bestandsmål for ulv og ulvesone</w:t>
      </w:r>
      <w:r w:rsidRPr="00D729D0">
        <w:rPr>
          <w:rFonts w:cs="Times New Roman"/>
        </w:rPr>
        <w:t>.</w:t>
      </w:r>
      <w:r w:rsidR="00CD439F" w:rsidRPr="00CD439F">
        <w:rPr>
          <w:rStyle w:val="Fotnotereferanse"/>
        </w:rPr>
        <w:footnoteReference w:id="216"/>
      </w:r>
    </w:p>
    <w:p w14:paraId="57309F36" w14:textId="04E79EBD" w:rsidR="00F25F89" w:rsidRDefault="00F25F89" w:rsidP="00F25F89">
      <w:r>
        <w:t xml:space="preserve">Ifølge Riksrevisjonens rapport </w:t>
      </w:r>
      <w:r w:rsidRPr="554CF858">
        <w:t xml:space="preserve">av 2018 ble de nasjonale bestandsmålene </w:t>
      </w:r>
      <w:r w:rsidR="00CD439F">
        <w:t>«</w:t>
      </w:r>
      <w:r w:rsidRPr="554CF858">
        <w:t>ikke utledet direkte på bakgrunn av de faglige rapportene som lå til grunn for stortingsmeldingen</w:t>
      </w:r>
      <w:r w:rsidR="00CD439F">
        <w:t>»</w:t>
      </w:r>
      <w:r w:rsidRPr="554CF858">
        <w:t>.</w:t>
      </w:r>
      <w:r w:rsidR="00CD439F" w:rsidRPr="00CD439F">
        <w:rPr>
          <w:rStyle w:val="Fotnotereferanse"/>
        </w:rPr>
        <w:footnoteReference w:id="217"/>
      </w:r>
      <w:r w:rsidRPr="554CF858">
        <w:t xml:space="preserve"> </w:t>
      </w:r>
      <w:r>
        <w:t xml:space="preserve">Om det faglige grunnlaget for bestandsmålet for </w:t>
      </w:r>
      <w:r w:rsidRPr="004C3C38">
        <w:t>bjørn</w:t>
      </w:r>
      <w:r>
        <w:t xml:space="preserve"> refererte Riksrevisjonen til intervju med Klima- og miljødepartementet hvor det fremgikk at </w:t>
      </w:r>
      <w:r w:rsidR="00CD439F">
        <w:t>«</w:t>
      </w:r>
      <w:r>
        <w:t xml:space="preserve">det ikke [lå] en egen faglig utredning til grunn for endringen i bestandsmålet, men departementet hentet inn en rapport fra det skandinaviske bjørneprosjektet om bjørnens status og økologi i Skandinavia som ble sendt til Stortinget i forkant av </w:t>
      </w:r>
      <w:r>
        <w:lastRenderedPageBreak/>
        <w:t>vedtaket</w:t>
      </w:r>
      <w:r w:rsidR="00CD439F">
        <w:t>»</w:t>
      </w:r>
      <w:r>
        <w:t>.</w:t>
      </w:r>
      <w:r w:rsidR="00CD439F" w:rsidRPr="00CD439F">
        <w:rPr>
          <w:rStyle w:val="Fotnotereferanse"/>
        </w:rPr>
        <w:footnoteReference w:id="218"/>
      </w:r>
      <w:r>
        <w:t xml:space="preserve"> I rovviltforliket av 2011 ble det uttalt at </w:t>
      </w:r>
      <w:r w:rsidR="00CD439F">
        <w:t>«</w:t>
      </w:r>
      <w:r>
        <w:t>[r]</w:t>
      </w:r>
      <w:proofErr w:type="spellStart"/>
      <w:r>
        <w:t>ovviltforvaltningen</w:t>
      </w:r>
      <w:proofErr w:type="spellEnd"/>
      <w:r>
        <w:t xml:space="preserve"> skal skje på en slik måte at </w:t>
      </w:r>
      <w:r w:rsidRPr="007F7394">
        <w:t>antallet ynglinger holdes så nær bestandsmålet som mulig</w:t>
      </w:r>
      <w:r w:rsidR="00CD439F">
        <w:t>»</w:t>
      </w:r>
      <w:r>
        <w:t xml:space="preserve">. Men Riksrevisjonen viser til intervju med NINA om at </w:t>
      </w:r>
      <w:r w:rsidR="00CD439F">
        <w:t>«</w:t>
      </w:r>
      <w:r>
        <w:t>rovdyrenes biologi [gjør] det tilnærmet umulig alltid å ligge rett på bestandsmålet</w:t>
      </w:r>
      <w:r w:rsidR="00CD439F">
        <w:t>»</w:t>
      </w:r>
      <w:r>
        <w:t>.</w:t>
      </w:r>
      <w:r w:rsidR="00CD439F" w:rsidRPr="00CD439F">
        <w:rPr>
          <w:rStyle w:val="Fotnotereferanse"/>
        </w:rPr>
        <w:footnoteReference w:id="219"/>
      </w:r>
    </w:p>
    <w:p w14:paraId="68F53E46" w14:textId="3108717A" w:rsidR="00F25F89" w:rsidRDefault="00F25F89" w:rsidP="00F25F89">
      <w:r w:rsidRPr="00F25F89">
        <w:t xml:space="preserve">Vi finner </w:t>
      </w:r>
      <w:r w:rsidRPr="47A0B628">
        <w:t xml:space="preserve">heller ingen nærmere drøftelse av betydningen av de internasjonale forpliktelsene for bestandsmålene i </w:t>
      </w:r>
      <w:r w:rsidR="00CD439F">
        <w:t xml:space="preserve">Meld. St. </w:t>
      </w:r>
      <w:r w:rsidR="00CD439F" w:rsidRPr="47A0B628">
        <w:t>2</w:t>
      </w:r>
      <w:r w:rsidRPr="47A0B628">
        <w:t>1 (2015</w:t>
      </w:r>
      <w:r w:rsidR="007B7151">
        <w:t>–</w:t>
      </w:r>
      <w:r w:rsidRPr="47A0B628">
        <w:t xml:space="preserve">2016) </w:t>
      </w:r>
      <w:r w:rsidRPr="00CD439F">
        <w:rPr>
          <w:rStyle w:val="kursiv"/>
        </w:rPr>
        <w:t>Ulv i norsk natur. Bestandsmål for ulv og ulvesone</w:t>
      </w:r>
      <w:r w:rsidRPr="47A0B628">
        <w:t xml:space="preserve">. I ulveforliket av 2016 heter det at </w:t>
      </w:r>
      <w:r w:rsidR="00CD439F">
        <w:t>«</w:t>
      </w:r>
      <w:r w:rsidRPr="47A0B628">
        <w:t>[b]</w:t>
      </w:r>
      <w:proofErr w:type="spellStart"/>
      <w:r w:rsidRPr="47A0B628">
        <w:t>estandsmålet</w:t>
      </w:r>
      <w:proofErr w:type="spellEnd"/>
      <w:r w:rsidRPr="47A0B628">
        <w:t xml:space="preserve"> for</w:t>
      </w:r>
      <w:r w:rsidRPr="00CD439F">
        <w:rPr>
          <w:rStyle w:val="halvfet"/>
        </w:rPr>
        <w:t xml:space="preserve"> </w:t>
      </w:r>
      <w:r w:rsidRPr="47A0B628">
        <w:t>ulv i Norge skal være 4–6 ynglinger per år, hvorav 3 skal være helnorske ynglinger, også ynglinger utenfor ulvesonen teller med. Ynglinger i grenserevir skal telle med på en faktor på 0,5.</w:t>
      </w:r>
      <w:r w:rsidR="00CD439F">
        <w:t>»</w:t>
      </w:r>
      <w:r w:rsidRPr="47A0B628">
        <w:t xml:space="preserve"> Riksrevisjonen skriver i sin rapport at </w:t>
      </w:r>
      <w:r w:rsidR="00CD439F">
        <w:t>«</w:t>
      </w:r>
      <w:r w:rsidRPr="47A0B628">
        <w:t>Miljødirektoratet opplyser i intervju at målet ikke ble endret fra 3 til 4</w:t>
      </w:r>
      <w:r w:rsidR="007B7151">
        <w:t>–</w:t>
      </w:r>
      <w:r w:rsidRPr="47A0B628">
        <w:t>6 ynglinger på bakgrunn av en egen levedyktighetsanalyse av den norske ulvebestanden. Bakgrunnen for endringen er en oppsummering av foreliggende rapporter og en føring om at grenseflokker skal inngå i det norske målet. Klima- og miljødepartementet viser i intervju til at utredninger gjennomført av svenske fagmiljøer utgjør et tilstrekkelig faggrunnlag siden den norske ulvebestanden forvaltes som en delbestand av den sørskandinaviske ulvebestanden.</w:t>
      </w:r>
      <w:r w:rsidR="00CD439F">
        <w:t>»</w:t>
      </w:r>
      <w:r w:rsidR="00CD439F" w:rsidRPr="00CD439F">
        <w:rPr>
          <w:rStyle w:val="Fotnotereferanse"/>
        </w:rPr>
        <w:footnoteReference w:id="220"/>
      </w:r>
    </w:p>
    <w:p w14:paraId="427EB9E1" w14:textId="6F8BE6B8" w:rsidR="00F25F89" w:rsidRPr="005816B9" w:rsidRDefault="00F25F89" w:rsidP="00F25F89">
      <w:r w:rsidRPr="005816B9">
        <w:t xml:space="preserve">I samsvar med Stortingets vedtak, fastsetter rovviltforskriften </w:t>
      </w:r>
      <w:r w:rsidR="00CD439F">
        <w:t>§ </w:t>
      </w:r>
      <w:r w:rsidR="00CD439F" w:rsidRPr="005816B9">
        <w:t>3</w:t>
      </w:r>
      <w:r w:rsidRPr="005816B9">
        <w:t>:</w:t>
      </w:r>
    </w:p>
    <w:p w14:paraId="30180865" w14:textId="1B7F6BF8" w:rsidR="00F25F89" w:rsidRPr="00CD439F" w:rsidRDefault="00CD439F" w:rsidP="00F25F89">
      <w:pPr>
        <w:pStyle w:val="blokksit"/>
        <w:ind w:left="757"/>
      </w:pPr>
      <w:r>
        <w:t>«</w:t>
      </w:r>
      <w:r w:rsidR="00F25F89" w:rsidRPr="00CD439F">
        <w:t>I Norge skal det årlig være 65 ynglinger av gaupe, 39 ynglinger av jerv og 13 ynglinger av bjørn. Det skal være 4–6 årlige ynglinger av ulv. 3 av disse skal ha skjedd i revir som i sin helhet ligger i Norge. Ynglinger utenfor ulvesonen skal medregnes. Der en del av reviret ligger i Sverige skal en yngling medregnes med en faktor på 0,5.</w:t>
      </w:r>
    </w:p>
    <w:p w14:paraId="1351F467" w14:textId="6453D977" w:rsidR="00F25F89" w:rsidRPr="00CD439F" w:rsidRDefault="00F25F89" w:rsidP="00F25F89">
      <w:pPr>
        <w:pStyle w:val="blokksit"/>
        <w:ind w:left="757"/>
      </w:pPr>
      <w:r w:rsidRPr="00CD439F">
        <w:t>Kongeørnbestanden skal forvaltes slik at bestanden opprettholdes på 850-1200 hekkende par i Norge.</w:t>
      </w:r>
      <w:r w:rsidR="00CD439F">
        <w:t>»</w:t>
      </w:r>
    </w:p>
    <w:p w14:paraId="0081344F" w14:textId="77777777" w:rsidR="00F25F89" w:rsidRDefault="00F25F89" w:rsidP="00F25F89">
      <w:r w:rsidRPr="2FB46E9B">
        <w:t>Det framgår etter dette verken hvordan Bernkonvensjonen artikkel 2 er tolket eller hvordan hensynet til urfolksforpliktelsene er ivaretatt ved Stortingets vedtakelse av rovviltforlikene. I vår sammenheng er imidlertid det avgjørende at de nasjonale bestandsmålene kan fordeles på ulike måter på de forskjellige regionene og at utformingen av den regionale forvaltningen kan variere. Dette innebærer at de nasjonale bestandsmålene i seg selv vanskelig kan sies å krenke de folkerettslige urfolksforpliktelsene. Det avgjørende vil være hvordan de nasjonale bestandsmålene fordeles på de ulike regionene og den regionale forvaltningen, og hvordan dette gir seg utslag i den lokale reindriften.</w:t>
      </w:r>
    </w:p>
    <w:p w14:paraId="16070073" w14:textId="3D2CF664" w:rsidR="00303661" w:rsidRDefault="00F25F89" w:rsidP="00F25F89">
      <w:r w:rsidRPr="16BFE32F">
        <w:lastRenderedPageBreak/>
        <w:t xml:space="preserve">Norge leverte sin nyeste nasjonale strategi og handlingsplan (NBSAP) under konvensjonen om biologisk mangfold den 25. september 2024 med tittelen </w:t>
      </w:r>
      <w:r w:rsidR="00CD439F">
        <w:t>«</w:t>
      </w:r>
      <w:r w:rsidRPr="16BFE32F">
        <w:t>Bærekraftig bruk og bevaring av natur; Norsk handlingsplan for naturmangfold</w:t>
      </w:r>
      <w:r w:rsidR="00CD439F">
        <w:t>»</w:t>
      </w:r>
      <w:r w:rsidRPr="16BFE32F">
        <w:t xml:space="preserve">. Men det må </w:t>
      </w:r>
      <w:r w:rsidRPr="7FD89EF3">
        <w:t xml:space="preserve">stilles spørsmål </w:t>
      </w:r>
      <w:r>
        <w:t xml:space="preserve">ved </w:t>
      </w:r>
      <w:r w:rsidRPr="7FD89EF3">
        <w:t xml:space="preserve">om og hvordan Norge har tatt hensyn til målsetning 4 under Kunming-Montreal rammeverket i sin NBSAP. Det er nemlig uklart hvilke </w:t>
      </w:r>
      <w:r w:rsidR="00CD439F">
        <w:t>«</w:t>
      </w:r>
      <w:proofErr w:type="spellStart"/>
      <w:r w:rsidRPr="7FD89EF3">
        <w:t>urgent</w:t>
      </w:r>
      <w:proofErr w:type="spellEnd"/>
      <w:r w:rsidRPr="7FD89EF3">
        <w:t xml:space="preserve"> management </w:t>
      </w:r>
      <w:proofErr w:type="spellStart"/>
      <w:r w:rsidRPr="7FD89EF3">
        <w:t>actions</w:t>
      </w:r>
      <w:proofErr w:type="spellEnd"/>
      <w:r w:rsidR="00CD439F">
        <w:t>»</w:t>
      </w:r>
      <w:r w:rsidRPr="7FD89EF3">
        <w:t xml:space="preserve"> som er på plass for </w:t>
      </w:r>
      <w:r w:rsidR="00CD439F">
        <w:t>«</w:t>
      </w:r>
      <w:proofErr w:type="spellStart"/>
      <w:r w:rsidRPr="7FD89EF3">
        <w:t>recovery</w:t>
      </w:r>
      <w:proofErr w:type="spellEnd"/>
      <w:r w:rsidRPr="7FD89EF3">
        <w:t xml:space="preserve"> and </w:t>
      </w:r>
      <w:proofErr w:type="spellStart"/>
      <w:r w:rsidRPr="7FD89EF3">
        <w:t>conservation</w:t>
      </w:r>
      <w:proofErr w:type="spellEnd"/>
      <w:r w:rsidRPr="7FD89EF3">
        <w:t xml:space="preserve"> </w:t>
      </w:r>
      <w:proofErr w:type="spellStart"/>
      <w:r w:rsidRPr="7FD89EF3">
        <w:t>of</w:t>
      </w:r>
      <w:proofErr w:type="spellEnd"/>
      <w:r w:rsidRPr="7FD89EF3">
        <w:t xml:space="preserve"> species</w:t>
      </w:r>
      <w:r w:rsidR="00CD439F">
        <w:t>»</w:t>
      </w:r>
      <w:r w:rsidRPr="7FD89EF3">
        <w:t xml:space="preserve"> som er utrydningstruede arter, særlig bjørn, jerv, gaupe, og ulv. </w:t>
      </w:r>
      <w:r w:rsidRPr="00811DB4">
        <w:t xml:space="preserve">Videre er </w:t>
      </w:r>
      <w:r w:rsidRPr="7FD89EF3">
        <w:t xml:space="preserve">det grunn til å etterlyse </w:t>
      </w:r>
      <w:r w:rsidRPr="00811DB4">
        <w:t xml:space="preserve">klare tiltak for å </w:t>
      </w:r>
      <w:r w:rsidR="00CD439F">
        <w:t>«</w:t>
      </w:r>
      <w:proofErr w:type="spellStart"/>
      <w:r w:rsidRPr="00811DB4">
        <w:t>effectively</w:t>
      </w:r>
      <w:proofErr w:type="spellEnd"/>
      <w:r w:rsidRPr="00811DB4">
        <w:t xml:space="preserve"> </w:t>
      </w:r>
      <w:proofErr w:type="spellStart"/>
      <w:r w:rsidRPr="00811DB4">
        <w:t>manage</w:t>
      </w:r>
      <w:proofErr w:type="spellEnd"/>
      <w:r w:rsidRPr="00811DB4">
        <w:t xml:space="preserve"> human-</w:t>
      </w:r>
      <w:proofErr w:type="spellStart"/>
      <w:r w:rsidRPr="00811DB4">
        <w:t>wildlife</w:t>
      </w:r>
      <w:proofErr w:type="spellEnd"/>
      <w:r w:rsidRPr="00811DB4">
        <w:t xml:space="preserve"> </w:t>
      </w:r>
      <w:proofErr w:type="spellStart"/>
      <w:r w:rsidRPr="00811DB4">
        <w:t>interactions</w:t>
      </w:r>
      <w:proofErr w:type="spellEnd"/>
      <w:r w:rsidRPr="00811DB4">
        <w:t xml:space="preserve"> to </w:t>
      </w:r>
      <w:proofErr w:type="spellStart"/>
      <w:r w:rsidRPr="00811DB4">
        <w:t>minimize</w:t>
      </w:r>
      <w:proofErr w:type="spellEnd"/>
      <w:r w:rsidRPr="00811DB4">
        <w:t xml:space="preserve"> human-</w:t>
      </w:r>
      <w:proofErr w:type="spellStart"/>
      <w:r w:rsidRPr="00811DB4">
        <w:t>wildlife</w:t>
      </w:r>
      <w:proofErr w:type="spellEnd"/>
      <w:r w:rsidRPr="00811DB4">
        <w:t xml:space="preserve"> </w:t>
      </w:r>
      <w:proofErr w:type="spellStart"/>
      <w:r w:rsidRPr="00811DB4">
        <w:t>conflict</w:t>
      </w:r>
      <w:proofErr w:type="spellEnd"/>
      <w:r w:rsidRPr="00811DB4">
        <w:t xml:space="preserve"> for co-</w:t>
      </w:r>
      <w:proofErr w:type="spellStart"/>
      <w:r w:rsidRPr="00811DB4">
        <w:t>existence</w:t>
      </w:r>
      <w:proofErr w:type="spellEnd"/>
      <w:r w:rsidR="00CD439F">
        <w:t>»</w:t>
      </w:r>
      <w:r w:rsidRPr="00811DB4">
        <w:t xml:space="preserve"> </w:t>
      </w:r>
      <w:r w:rsidRPr="7FD89EF3">
        <w:t xml:space="preserve">– altså å fremme </w:t>
      </w:r>
      <w:r w:rsidR="00CD439F">
        <w:t>«</w:t>
      </w:r>
      <w:r w:rsidRPr="7FD89EF3">
        <w:t>sameksistens</w:t>
      </w:r>
      <w:r w:rsidR="00CD439F">
        <w:t>»</w:t>
      </w:r>
      <w:r w:rsidR="00303661">
        <w:t xml:space="preserve"> – </w:t>
      </w:r>
      <w:r>
        <w:t xml:space="preserve">i </w:t>
      </w:r>
      <w:r w:rsidRPr="00811DB4">
        <w:t>de mest rovdyrutsatte områdene.</w:t>
      </w:r>
    </w:p>
    <w:p w14:paraId="2F74A17D" w14:textId="433CFEC7" w:rsidR="00F25F89" w:rsidRPr="00F25F89" w:rsidRDefault="00F25F89" w:rsidP="00F25F89">
      <w:pPr>
        <w:pStyle w:val="Overskrift4"/>
      </w:pPr>
      <w:r>
        <w:t>Regionale bestandsmål</w:t>
      </w:r>
    </w:p>
    <w:p w14:paraId="1E0FEEFB" w14:textId="65AD969C" w:rsidR="00F25F89" w:rsidRDefault="00F25F89" w:rsidP="00F25F89">
      <w:r w:rsidRPr="0E32E05E">
        <w:t xml:space="preserve">Virkningene av de </w:t>
      </w:r>
      <w:r>
        <w:t xml:space="preserve">nasjonale </w:t>
      </w:r>
      <w:r w:rsidRPr="0E32E05E">
        <w:t>bestandsmålene for den lokale samisk</w:t>
      </w:r>
      <w:r>
        <w:t>e</w:t>
      </w:r>
      <w:r w:rsidRPr="0E32E05E">
        <w:t xml:space="preserve"> reindriften avhenger av hvordan d</w:t>
      </w:r>
      <w:r>
        <w:t>isse</w:t>
      </w:r>
      <w:r w:rsidRPr="0E32E05E">
        <w:t xml:space="preserve"> målene fordeles regionalt. Rovviltforliket av 2004 bestemte at Norge skulle inndeles i åtte forvaltningsregioner for rovvilt.</w:t>
      </w:r>
      <w:r w:rsidR="00CD439F" w:rsidRPr="00CD439F">
        <w:rPr>
          <w:rStyle w:val="Fotnotereferanse"/>
        </w:rPr>
        <w:footnoteReference w:id="221"/>
      </w:r>
      <w:r w:rsidRPr="0E32E05E">
        <w:t xml:space="preserve"> De regionale bestandsmålene følger av rovviltforlikene av 2004 og 2011 og ulveforliket av 2016.</w:t>
      </w:r>
    </w:p>
    <w:p w14:paraId="5D653CFB" w14:textId="2CE237C8" w:rsidR="00303661" w:rsidRDefault="00F25F89" w:rsidP="00F25F89">
      <w:r>
        <w:t>Om begrunnelsen for fordelingen av bestandsmålene vises det i</w:t>
      </w:r>
      <w:r w:rsidRPr="005816B9">
        <w:t xml:space="preserve"> kommentarene til rovviltforskriften </w:t>
      </w:r>
      <w:r w:rsidR="00CD439F">
        <w:t>§ </w:t>
      </w:r>
      <w:r w:rsidR="00CD439F" w:rsidRPr="005816B9">
        <w:t>4</w:t>
      </w:r>
      <w:r>
        <w:t xml:space="preserve"> både til behovet for å sikre gode leveområder for de ulike artene og ønsket om å begrense ulempene for sau- og tamreindrift. Om kongeørn heter det at</w:t>
      </w:r>
      <w:r w:rsidR="00303661">
        <w:t xml:space="preserve"> </w:t>
      </w:r>
      <w:r>
        <w:t xml:space="preserve">siden det </w:t>
      </w:r>
      <w:r w:rsidR="00CD439F">
        <w:t>«</w:t>
      </w:r>
      <w:r w:rsidRPr="005816B9">
        <w:t>ikke legges opp til noen aktiv bestandsregulering av kongeørn, og det kun er hjemmel for skadefellingstillatelser rettet mot bestemte individer i konkrete skadesituasjoner, jf. forskriften</w:t>
      </w:r>
      <w:r w:rsidR="00303661">
        <w:t xml:space="preserve"> </w:t>
      </w:r>
      <w:r w:rsidR="00CD439F">
        <w:t>§ </w:t>
      </w:r>
      <w:r w:rsidR="00CD439F" w:rsidRPr="00E5699A">
        <w:t>1</w:t>
      </w:r>
      <w:r w:rsidRPr="00E5699A">
        <w:t>2</w:t>
      </w:r>
      <w:r w:rsidRPr="005816B9">
        <w:t>, har ikke departementet funnet det hensiktsmessig å fordele det samlede nasjonale måltallet på regionene.</w:t>
      </w:r>
      <w:r w:rsidR="00CD439F">
        <w:t>»</w:t>
      </w:r>
      <w:r w:rsidR="00CD439F" w:rsidRPr="00CD439F">
        <w:rPr>
          <w:rStyle w:val="Fotnotereferanse"/>
        </w:rPr>
        <w:footnoteReference w:id="222"/>
      </w:r>
      <w:r w:rsidRPr="005816B9">
        <w:t xml:space="preserve"> </w:t>
      </w:r>
      <w:r>
        <w:t>Det er verdt å merke seg at mens den regionale fordelingen er basert på flere kriterier, både biologiske og ønsket om å begrense konflikter med utmarksnæringer, herunder reindrift, henvises det ikke til behovet for å oppfylle de folkerettslige forpliktelsene om bevaring av rovvilt og overholdelse av urfolksforpliktelsene.</w:t>
      </w:r>
    </w:p>
    <w:p w14:paraId="72DB1CAA" w14:textId="44B712EC" w:rsidR="00F25F89" w:rsidRPr="005816B9" w:rsidRDefault="00F25F89" w:rsidP="00F25F89">
      <w:r>
        <w:t xml:space="preserve">Forvaltningsregionene og de regionale bestandsmålene for </w:t>
      </w:r>
      <w:r w:rsidRPr="005816B9">
        <w:t xml:space="preserve">gaupe, jerv, bjørn </w:t>
      </w:r>
      <w:r>
        <w:t>og</w:t>
      </w:r>
      <w:r w:rsidRPr="005816B9">
        <w:t xml:space="preserve"> ulv</w:t>
      </w:r>
      <w:r>
        <w:t xml:space="preserve"> fremgår av </w:t>
      </w:r>
      <w:r w:rsidRPr="005816B9">
        <w:t xml:space="preserve">rovviltforskriften </w:t>
      </w:r>
      <w:r w:rsidR="00CD439F">
        <w:t>§ </w:t>
      </w:r>
      <w:r w:rsidR="00CD439F" w:rsidRPr="005816B9">
        <w:t>4</w:t>
      </w:r>
      <w:r w:rsidRPr="005816B9">
        <w:t>:</w:t>
      </w:r>
    </w:p>
    <w:p w14:paraId="5AE7A6B5" w14:textId="0D4B808F" w:rsidR="00F25F89" w:rsidRPr="00CD439F" w:rsidRDefault="00CD439F" w:rsidP="00F25F89">
      <w:pPr>
        <w:pStyle w:val="blokksit"/>
        <w:ind w:left="757"/>
      </w:pPr>
      <w:r>
        <w:t>«</w:t>
      </w:r>
      <w:r w:rsidR="00F25F89" w:rsidRPr="00CD439F">
        <w:t xml:space="preserve">Region 1 – Rogaland fylke, </w:t>
      </w:r>
      <w:proofErr w:type="spellStart"/>
      <w:r w:rsidR="00F25F89" w:rsidRPr="00CD439F">
        <w:t>Vestland</w:t>
      </w:r>
      <w:proofErr w:type="spellEnd"/>
      <w:r w:rsidR="00F25F89" w:rsidRPr="00CD439F">
        <w:t xml:space="preserve"> fylke og Farsund, Flekkefjord, Hægebostad, Kristiansand, Kvinesdal, Lindesnes, Lyngdal, Sirdal, Vennesla og Åseral kommuner:</w:t>
      </w:r>
      <w:r w:rsidR="00303661" w:rsidRPr="00CD439F">
        <w:t xml:space="preserve"> </w:t>
      </w:r>
      <w:r w:rsidR="00F25F89" w:rsidRPr="00CD439F">
        <w:t>Ingen nasjonale mål for ynglinger av gaupe, jerv, bjørn eller ulv</w:t>
      </w:r>
    </w:p>
    <w:p w14:paraId="03F35ED3" w14:textId="08514782" w:rsidR="00F25F89" w:rsidRPr="00CD439F" w:rsidRDefault="00F25F89" w:rsidP="00F25F89">
      <w:pPr>
        <w:pStyle w:val="blokksit"/>
        <w:ind w:left="757"/>
      </w:pPr>
      <w:r w:rsidRPr="00CD439F">
        <w:lastRenderedPageBreak/>
        <w:t>Region 2 – Buskerud fylke, Telemark fylke, Vestfold fylke og Arendal, Birkenes, Bygland, Bykle, Evje og Hornnes, Froland, Gjerstad, Grimstad, Iveland, Lillesand, Risør, Tvedestrand, Valle, Vegårshei og Åmli kommuner:</w:t>
      </w:r>
      <w:r w:rsidR="00303661" w:rsidRPr="00CD439F">
        <w:t xml:space="preserve"> </w:t>
      </w:r>
      <w:r w:rsidRPr="00CD439F">
        <w:t>12 ynglinger av gaupe</w:t>
      </w:r>
    </w:p>
    <w:p w14:paraId="2A897BCD" w14:textId="3F66BA5F" w:rsidR="00F25F89" w:rsidRPr="00CD439F" w:rsidRDefault="00F25F89" w:rsidP="00F25F89">
      <w:pPr>
        <w:pStyle w:val="blokksit"/>
        <w:ind w:left="757"/>
      </w:pPr>
      <w:r w:rsidRPr="00CD439F">
        <w:t>Region 3 – Dovre, Etnedal, Gausdal, Gjøvik, Gran, Lesja, Lillehammer, Lom, Nord-Aurdal, Nord-Fron, Nordre Land, Ringebu, Sel, Skjåk, Søndre Land, Sør-Aurdal, Sør-Fron, Vang, Vestre Slidre, Vestre Toten, Vågå, Østre Toten, Øyer og Øystre Slidre kommuner:</w:t>
      </w:r>
      <w:r w:rsidR="00303661" w:rsidRPr="00CD439F">
        <w:t xml:space="preserve"> </w:t>
      </w:r>
      <w:r w:rsidRPr="00CD439F">
        <w:t>5 ynglinger av gaupe og 4 ynglinger av jerv</w:t>
      </w:r>
    </w:p>
    <w:p w14:paraId="775F3552" w14:textId="5FB08509" w:rsidR="00F25F89" w:rsidRPr="00CD439F" w:rsidRDefault="00F25F89" w:rsidP="00F25F89">
      <w:pPr>
        <w:pStyle w:val="blokksit"/>
        <w:ind w:left="757"/>
      </w:pPr>
      <w:r w:rsidRPr="00CD439F">
        <w:t>Region 4 – Oslo kommune, Akershus fylke og Østfold fylke:</w:t>
      </w:r>
      <w:r w:rsidR="00303661" w:rsidRPr="00CD439F">
        <w:t xml:space="preserve"> </w:t>
      </w:r>
      <w:r w:rsidRPr="00CD439F">
        <w:t>6 ynglinger av gaupe, samt, i samarbeid med region 5, 4-6 årlige ynglinger av ulv hvorav 3 skal ha skjedd i revir som i sin helhet ligger i Norge</w:t>
      </w:r>
    </w:p>
    <w:p w14:paraId="1A8D806E" w14:textId="3CFED087" w:rsidR="00F25F89" w:rsidRPr="00CD439F" w:rsidRDefault="00F25F89" w:rsidP="00F25F89">
      <w:pPr>
        <w:pStyle w:val="blokksit"/>
        <w:ind w:left="757"/>
      </w:pPr>
      <w:r w:rsidRPr="00CD439F">
        <w:t>Region 5 – Alvdal, Eidskog, Elverum, Engerdal, Folldal, Grue, Hamar, Kongsvinger, Løten, Nord-Odal, Os, Rendalen, Ringsaker, Stange, Stor-Elvdal, Sør-Odal, Tolga, Trysil, Tynset, Våler (Innlandet), Åmot og Åsnes kommuner:</w:t>
      </w:r>
      <w:r w:rsidR="00303661" w:rsidRPr="00CD439F">
        <w:t xml:space="preserve"> </w:t>
      </w:r>
      <w:r w:rsidRPr="00CD439F">
        <w:t>10 ynglinger av gaupe, 5 ynglinger av jerv og 3 ynglinger av bjørn, samt, i samarbeid med region 4, 4-6 årlige ynglinger av ulv hvorav 3 skal ha skjedd i revir som i sin helhet ligger i Norge</w:t>
      </w:r>
    </w:p>
    <w:p w14:paraId="4184B655" w14:textId="14B4EDCA" w:rsidR="00F25F89" w:rsidRPr="00CD439F" w:rsidRDefault="00F25F89" w:rsidP="00F25F89">
      <w:pPr>
        <w:pStyle w:val="blokksit"/>
        <w:ind w:left="757"/>
      </w:pPr>
      <w:r w:rsidRPr="00CD439F">
        <w:t>Region 6 – Møre og Romsdal fylke og Trøndelag fylke:</w:t>
      </w:r>
      <w:r w:rsidR="00303661" w:rsidRPr="00CD439F">
        <w:t xml:space="preserve"> </w:t>
      </w:r>
      <w:r w:rsidRPr="00CD439F">
        <w:t>12 ynglinger av gaupe, 10 ynglinger av jerv og 3 ynglinger av bjørn</w:t>
      </w:r>
    </w:p>
    <w:p w14:paraId="1B53A177" w14:textId="06CE467D" w:rsidR="00F25F89" w:rsidRPr="00CD439F" w:rsidRDefault="00F25F89" w:rsidP="00F25F89">
      <w:pPr>
        <w:pStyle w:val="blokksit"/>
        <w:ind w:left="757"/>
      </w:pPr>
      <w:r w:rsidRPr="00CD439F">
        <w:t>Region 7 – Nordland fylke:</w:t>
      </w:r>
      <w:r w:rsidR="00303661" w:rsidRPr="00CD439F">
        <w:t xml:space="preserve"> </w:t>
      </w:r>
      <w:r w:rsidRPr="00CD439F">
        <w:t>10 ynglinger av gaupe, 10 ynglinger av jerv og 1 yngling av bjørn</w:t>
      </w:r>
    </w:p>
    <w:p w14:paraId="726609C0" w14:textId="33F19E21" w:rsidR="00F25F89" w:rsidRPr="00CD439F" w:rsidRDefault="00F25F89" w:rsidP="00F25F89">
      <w:pPr>
        <w:pStyle w:val="blokksit"/>
        <w:ind w:left="757"/>
      </w:pPr>
      <w:r w:rsidRPr="00CD439F">
        <w:t>Region 8 – Troms fylke og Finnmark fylke:</w:t>
      </w:r>
      <w:r w:rsidR="00303661" w:rsidRPr="00CD439F">
        <w:t xml:space="preserve"> </w:t>
      </w:r>
      <w:r w:rsidRPr="00CD439F">
        <w:t>10 ynglinger av gaupe – hvorav 4 i Finnmark, 10 ynglinger av jerv – hvorav 3 i Finnmark og 6 ynglinger av bjørn.</w:t>
      </w:r>
      <w:r w:rsidR="00CD439F">
        <w:t>»</w:t>
      </w:r>
    </w:p>
    <w:p w14:paraId="32601608" w14:textId="276C7E19" w:rsidR="00371BA5" w:rsidRDefault="00F25F89" w:rsidP="00F25F89">
      <w:r>
        <w:t>Det er ikke fastsatt regionale bestandsmål for hekkende kongeørn.</w:t>
      </w:r>
      <w:r w:rsidR="00CD439F" w:rsidRPr="00CD439F">
        <w:rPr>
          <w:rStyle w:val="Fotnotereferanse"/>
        </w:rPr>
        <w:footnoteReference w:id="223"/>
      </w:r>
    </w:p>
    <w:p w14:paraId="4D984685" w14:textId="78B4B888" w:rsidR="00F25F89" w:rsidRPr="005816B9" w:rsidRDefault="00F25F89" w:rsidP="00F25F89">
      <w:r w:rsidRPr="2FB46E9B">
        <w:t xml:space="preserve">I en nasjonal byrdefordeling er det av interesse å merke seg at det ikke er fastsatt regionale bestandsmål for gaupe, jerv, bjørn og ulv i region 1 Vest-Norge, hvor det ikke er samisk reindrift, mens en forholdsvis stor andel av bestandsmålene for gaupe, jerv og bjørn skal oppfylles nord i landet, hvor vi har hovedtyngden av samisk reindrift. Det drives ikke samisk reindrift i region 1 til 4. I region 5 ligger kommunene Engerdal, Folldal, Os, Rendalen, Tolga og Tynset helt eller delvis innenfor det samiske reinbeiteområdet. I region 6 omfattes så godt som hele det gamle Nord-Trøndelag fylke, samt en mindre del av Sør-Trøndelag fylke og litt av Møre og Romsdal (Surnadal, Sunndal og Rindal). Mesteparten av samisk reindrift finner sted i region 7 og 8, det vil si i Nordland, Troms og Finnmark. Det er ikke fastsatt bestandsmål for ulv i regionene 6-8. Men for gaupe, jerv og bjørn i region 8 sies det i </w:t>
      </w:r>
      <w:r w:rsidR="00CD439F">
        <w:t xml:space="preserve">Meld. St. </w:t>
      </w:r>
      <w:r w:rsidR="00CD439F" w:rsidRPr="2FB46E9B">
        <w:t>3</w:t>
      </w:r>
      <w:r w:rsidRPr="2FB46E9B">
        <w:t xml:space="preserve">2 (2016–2017) </w:t>
      </w:r>
      <w:r w:rsidRPr="00CD439F">
        <w:rPr>
          <w:rStyle w:val="kursiv"/>
        </w:rPr>
        <w:t>Reindrift. Lang tradisjon – unike muligheter</w:t>
      </w:r>
      <w:r w:rsidRPr="2FB46E9B">
        <w:t>:</w:t>
      </w:r>
    </w:p>
    <w:p w14:paraId="64E00590" w14:textId="5CA501ED" w:rsidR="00F25F89" w:rsidRPr="00CD439F" w:rsidRDefault="00CD439F" w:rsidP="00371BA5">
      <w:pPr>
        <w:pStyle w:val="blokksit"/>
        <w:ind w:left="757"/>
      </w:pPr>
      <w:r>
        <w:lastRenderedPageBreak/>
        <w:t>«</w:t>
      </w:r>
      <w:r w:rsidR="00F25F89" w:rsidRPr="00CD439F">
        <w:t>Fastsatte mål for årlige ynglinger av jerv, gaupe og bjørn i region 8 utgjør henholdsvis ca. 1</w:t>
      </w:r>
      <w:r w:rsidRPr="00CD439F">
        <w:t>5</w:t>
      </w:r>
      <w:r>
        <w:t> pst.</w:t>
      </w:r>
      <w:r w:rsidR="00F25F89" w:rsidRPr="00CD439F">
        <w:t>, ca. 2</w:t>
      </w:r>
      <w:r w:rsidRPr="00CD439F">
        <w:t>5</w:t>
      </w:r>
      <w:r>
        <w:t> pst.</w:t>
      </w:r>
      <w:r w:rsidR="00F25F89" w:rsidRPr="00CD439F">
        <w:t xml:space="preserve"> og ca. 4</w:t>
      </w:r>
      <w:r w:rsidRPr="00CD439F">
        <w:t>5</w:t>
      </w:r>
      <w:r>
        <w:t> pst.</w:t>
      </w:r>
      <w:r w:rsidR="00F25F89" w:rsidRPr="00CD439F">
        <w:t xml:space="preserve"> av de nasjonale bestandsmålene for disse artene. Studier av rovvilt viser at jerv og gaupe i stor grad lever av rein i hele det nordlige Skandinavia, og disse artene står for om lag halvparten av det som erstattes som tap til rovvilt (…). </w:t>
      </w:r>
      <w:r w:rsidR="00303661" w:rsidRPr="00CD439F">
        <w:t>…</w:t>
      </w:r>
      <w:r w:rsidR="00F25F89" w:rsidRPr="00CD439F">
        <w:t xml:space="preserve"> Ut fra beregninger har en kvantifisert antallet rein som tas av de ulike rovviltartene. I enkelte år har miljømyndighetene erstattet opp mot halvparten av kalveproduksjonen som tap til rovvilt i de mest rovdyrbelastede områdene.</w:t>
      </w:r>
      <w:r>
        <w:t>»</w:t>
      </w:r>
      <w:r w:rsidRPr="00CD439F">
        <w:rPr>
          <w:rStyle w:val="Fotnotereferanse"/>
        </w:rPr>
        <w:footnoteReference w:id="224"/>
      </w:r>
    </w:p>
    <w:p w14:paraId="5330882F" w14:textId="4EDF4F42" w:rsidR="00303661" w:rsidRDefault="00F25F89" w:rsidP="00F25F89">
      <w:r w:rsidRPr="0E32E05E">
        <w:t>De regionale bestandsmålene legger klare føringer for</w:t>
      </w:r>
      <w:r>
        <w:t xml:space="preserve"> den regionale forvaltningen og får konsekvenser for lokale tap av rein til rovvilt, og dermed for mulighetene til å overholde de folkerettslige urfolksforpliktelsene. Riksrevisjonen påpeker i sin rapport av 2018 at </w:t>
      </w:r>
      <w:r w:rsidRPr="0E32E05E">
        <w:t xml:space="preserve">Miljødirektoratet anser det som en </w:t>
      </w:r>
      <w:r w:rsidR="00CD439F">
        <w:t>«</w:t>
      </w:r>
      <w:r w:rsidRPr="00382ABA">
        <w:t>primæroppgave</w:t>
      </w:r>
      <w:r w:rsidR="00CD439F">
        <w:t>»</w:t>
      </w:r>
      <w:r w:rsidRPr="0E32E05E">
        <w:t xml:space="preserve"> for rovviltnemdene å nå de regionale bestandsmålene. Klima- og miljødepartementet og Miljødirektoratet har gjennom uttalelser til regionale forvaltningsplaner for rovvilt og klagevedtak </w:t>
      </w:r>
      <w:r w:rsidR="00CD439F">
        <w:t>«</w:t>
      </w:r>
      <w:r w:rsidRPr="0E32E05E">
        <w:t>presisert overfor rovviltnemdene at en utforming av rovviltprioriterte soner som sannsynliggjør at bestandsmålet nås innenfor sonene er viktige for å kunne praktisere en tydelig soneforvaltning. Dersom bestandsmålene ikke nås innenfor sonene, innebærer dette at terskelen for å felle rovvilt i beiteprioritert sone må heves, og at yngling må tillates også her</w:t>
      </w:r>
      <w:r w:rsidR="00CD439F">
        <w:t>»</w:t>
      </w:r>
      <w:r w:rsidRPr="0E32E05E">
        <w:t>.</w:t>
      </w:r>
      <w:r w:rsidR="00CD439F" w:rsidRPr="00CD439F">
        <w:rPr>
          <w:rStyle w:val="Fotnotereferanse"/>
        </w:rPr>
        <w:footnoteReference w:id="225"/>
      </w:r>
      <w:r w:rsidRPr="0E32E05E">
        <w:t xml:space="preserve"> </w:t>
      </w:r>
      <w:r>
        <w:t xml:space="preserve">I følge Riksrevisjonen har </w:t>
      </w:r>
      <w:r w:rsidRPr="0E32E05E">
        <w:t xml:space="preserve">Landbruks- og matdepartementet på sin side presisert at </w:t>
      </w:r>
      <w:r w:rsidR="00CD439F">
        <w:t>«</w:t>
      </w:r>
      <w:r w:rsidRPr="0E32E05E">
        <w:t>i tråd med det todelte målet skal rovviltnemdene ta hensyn til at også beiteområdene har en plassering, størrelse og form som oppfyller landbruks- og reindriftsfaglige forutsetninger for levedyktige beitenæringer</w:t>
      </w:r>
      <w:r w:rsidR="00CD439F">
        <w:t>»</w:t>
      </w:r>
      <w:r w:rsidRPr="0E32E05E">
        <w:t>.</w:t>
      </w:r>
      <w:r w:rsidR="00CD439F" w:rsidRPr="00CD439F">
        <w:rPr>
          <w:rStyle w:val="Fotnotereferanse"/>
        </w:rPr>
        <w:footnoteReference w:id="226"/>
      </w:r>
      <w:r w:rsidRPr="0E32E05E">
        <w:t xml:space="preserve"> Dette departementet viser videre til at </w:t>
      </w:r>
      <w:r w:rsidR="00CD439F">
        <w:t>«</w:t>
      </w:r>
      <w:r w:rsidRPr="0E32E05E">
        <w:t>det er utfordrende at det todelte målet består av konkrete bestandsmål for rovviltet, mens målene for beitenæringene er langt mindre konkrete og dermed ikke like målbare</w:t>
      </w:r>
      <w:r w:rsidR="00CD439F">
        <w:t>»</w:t>
      </w:r>
      <w:r w:rsidRPr="0E32E05E">
        <w:t>.</w:t>
      </w:r>
      <w:r w:rsidR="00CD439F" w:rsidRPr="00CD439F">
        <w:rPr>
          <w:rStyle w:val="Fotnotereferanse"/>
        </w:rPr>
        <w:footnoteReference w:id="227"/>
      </w:r>
      <w:r w:rsidR="00303661">
        <w:t xml:space="preserve"> </w:t>
      </w:r>
      <w:r>
        <w:t xml:space="preserve">Riksrevisjonen konkluderer med at </w:t>
      </w:r>
      <w:r w:rsidR="00CD439F">
        <w:t>«</w:t>
      </w:r>
      <w:r>
        <w:t>[e]</w:t>
      </w:r>
      <w:r w:rsidRPr="0E32E05E">
        <w:t>n hensiktsmessig fordeling av bestandsmålene er en forutsetning for å innrette rovviltforvaltningen på en måte som ivaretar både rovviltet, sauenæringen og reindriftsnæringen</w:t>
      </w:r>
      <w:r w:rsidR="00CD439F">
        <w:t>»</w:t>
      </w:r>
      <w:r w:rsidRPr="0E32E05E">
        <w:t>.</w:t>
      </w:r>
      <w:r w:rsidR="00CD439F" w:rsidRPr="00CD439F">
        <w:rPr>
          <w:rStyle w:val="Fotnotereferanse"/>
        </w:rPr>
        <w:footnoteReference w:id="228"/>
      </w:r>
    </w:p>
    <w:p w14:paraId="5D022F90" w14:textId="31FE45B8" w:rsidR="00F25F89" w:rsidRDefault="00F25F89" w:rsidP="00F25F89">
      <w:r w:rsidRPr="47A0B628">
        <w:t>Et av tiltakene i Tiltakspakke</w:t>
      </w:r>
      <w:r w:rsidRPr="005816B9">
        <w:t xml:space="preserve"> for reindrift og energi (2023) </w:t>
      </w:r>
      <w:r>
        <w:t xml:space="preserve">er at regjeringen </w:t>
      </w:r>
      <w:r w:rsidRPr="005C011F">
        <w:t xml:space="preserve">vil se på behovet for reduserte bestandsmål for gaupe og jerv i de tre nordligste forvaltningsregionene for rovvilt. </w:t>
      </w:r>
      <w:r w:rsidRPr="00612642">
        <w:t xml:space="preserve">Det vil si i region 6 (Trøndelag/Møre og Romsdal), 7 (Nordland) og 8 (Troms og Finnmark). </w:t>
      </w:r>
      <w:r w:rsidRPr="00E268E4">
        <w:t>Miljødirektoratet har fått i oppdrag å gjennomføre utredningen, som ventes om kort tid</w:t>
      </w:r>
      <w:r>
        <w:t xml:space="preserve">. </w:t>
      </w:r>
      <w:r w:rsidRPr="00B66BB7">
        <w:t xml:space="preserve">Dersom regjeringen ønsker å fremme et forslag </w:t>
      </w:r>
      <w:r w:rsidRPr="00B66BB7">
        <w:lastRenderedPageBreak/>
        <w:t>om å endre bestandsmålene, vil dette foreslås for Stortinget.</w:t>
      </w:r>
      <w:r w:rsidR="00CD439F" w:rsidRPr="00CD439F">
        <w:rPr>
          <w:rStyle w:val="Fotnotereferanse"/>
        </w:rPr>
        <w:footnoteReference w:id="229"/>
      </w:r>
      <w:r w:rsidRPr="47A0B628">
        <w:t xml:space="preserve"> I en rapport fra Norsk Institutt for naturforskning (NINA) uttales det at:</w:t>
      </w:r>
    </w:p>
    <w:p w14:paraId="4912F2AA" w14:textId="6D27EEC2" w:rsidR="00F25F89" w:rsidRPr="00CD439F" w:rsidRDefault="00CD439F" w:rsidP="00371BA5">
      <w:pPr>
        <w:pStyle w:val="blokksit"/>
        <w:ind w:left="757"/>
        <w:rPr>
          <w:rFonts w:ascii="Segoe UI" w:hAnsi="Segoe UI" w:cs="Segoe UI"/>
          <w:szCs w:val="20"/>
        </w:rPr>
      </w:pPr>
      <w:r>
        <w:t>«</w:t>
      </w:r>
      <w:r w:rsidR="00F25F89" w:rsidRPr="00CD439F">
        <w:t>alternativet hvor de nasjonale bestandsmålene for gaupe og jerv opprettholdes uendret, men en omfordeling mellom rovviltregioner kan være aktuelt. Som et forslag har vi diskutert å redusere bestandsmålet med to familiegrupper og to ynglinger i region 8 og å fjerne kravet om fire familiegrupper og tre ynglinger i Finnmark. I tillegg har vi vurdert en reduksjon på to familiegrupper og to ynglinger i region 7. Effekten av en slik omfordeling av bestandsmålene er trolig begrenset for tapene i reindriften. Dette skyldes at forhold rundt ressursbegrensning betyr mer for tap enn størrelsen på rovviltbestandene. Slik sett er nullalternativet også et godt alternativ. Vi kan likevel forvente at belastningen for reindriften vil bli noe redusert med en slik omfordeling som her er foreslått.</w:t>
      </w:r>
      <w:r>
        <w:t>»</w:t>
      </w:r>
      <w:r w:rsidRPr="00CD439F">
        <w:rPr>
          <w:rStyle w:val="Fotnotereferanse"/>
        </w:rPr>
        <w:footnoteReference w:id="230"/>
      </w:r>
    </w:p>
    <w:p w14:paraId="76F4466F" w14:textId="77777777" w:rsidR="00F25F89" w:rsidRDefault="00F25F89" w:rsidP="00F25F89">
      <w:r>
        <w:t>Denne rapporten fremhever viktigheten av å nå bestandsmålene for rovvilt, og dermed oppfylle Bernkonvensjonens krav, mens de folkerettslige urfolksforpliktelsene ikke er behandlet.</w:t>
      </w:r>
    </w:p>
    <w:p w14:paraId="18C76D12" w14:textId="1BA6B599" w:rsidR="007D5846" w:rsidRDefault="007D5846" w:rsidP="007D5846">
      <w:pPr>
        <w:pStyle w:val="Overskrift3"/>
      </w:pPr>
      <w:bookmarkStart w:id="54" w:name="_Toc223433117"/>
      <w:r>
        <w:t>Regional forvaltning</w:t>
      </w:r>
      <w:bookmarkEnd w:id="54"/>
    </w:p>
    <w:p w14:paraId="17D5AF52" w14:textId="37016C12" w:rsidR="007D5846" w:rsidRDefault="007D5846" w:rsidP="007D5846">
      <w:pPr>
        <w:pStyle w:val="Overskrift4"/>
      </w:pPr>
      <w:r>
        <w:t>Soneforvaltning</w:t>
      </w:r>
    </w:p>
    <w:p w14:paraId="2F89A5FD" w14:textId="790D6BC4" w:rsidR="007D5846" w:rsidRDefault="007D5846" w:rsidP="007D5846">
      <w:pPr>
        <w:rPr>
          <w:rStyle w:val="Hyperkobling"/>
          <w:color w:val="auto"/>
          <w:u w:val="none"/>
        </w:rPr>
      </w:pPr>
      <w:r w:rsidRPr="007D5846">
        <w:rPr>
          <w:rStyle w:val="Hyperkobling"/>
          <w:color w:val="auto"/>
          <w:u w:val="none"/>
        </w:rPr>
        <w:t xml:space="preserve">Forvaltningsregimet er geografisk differensiert ikke bare ved at landet er inndelt i forskjellige rovviltregioner, men også ved at hver av rovviltnemdene skal vedta en forvaltningsplan for rovvilt, med en geografisk differensiert forvaltning, innenfor sin region (rovviltforskriften </w:t>
      </w:r>
      <w:r w:rsidR="00CD439F">
        <w:rPr>
          <w:rStyle w:val="Hyperkobling"/>
          <w:color w:val="auto"/>
          <w:u w:val="none"/>
        </w:rPr>
        <w:t>§ </w:t>
      </w:r>
      <w:r w:rsidR="00CD439F" w:rsidRPr="007D5846">
        <w:rPr>
          <w:rStyle w:val="Hyperkobling"/>
          <w:color w:val="auto"/>
          <w:u w:val="none"/>
        </w:rPr>
        <w:t>6</w:t>
      </w:r>
      <w:r w:rsidRPr="007D5846">
        <w:rPr>
          <w:rStyle w:val="Hyperkobling"/>
          <w:color w:val="auto"/>
          <w:u w:val="none"/>
        </w:rPr>
        <w:t>).</w:t>
      </w:r>
    </w:p>
    <w:p w14:paraId="1ADCA3EA" w14:textId="348FD420" w:rsidR="007D5846" w:rsidRDefault="007D5846" w:rsidP="007D5846">
      <w:r w:rsidRPr="007D5846">
        <w:rPr>
          <w:rStyle w:val="Hyperkobling"/>
          <w:color w:val="auto"/>
          <w:u w:val="none"/>
        </w:rPr>
        <w:t xml:space="preserve">I </w:t>
      </w:r>
      <w:r w:rsidR="00CD439F">
        <w:rPr>
          <w:rStyle w:val="Hyperkobling"/>
          <w:color w:val="auto"/>
          <w:u w:val="none"/>
        </w:rPr>
        <w:t xml:space="preserve">St.meld. nr. </w:t>
      </w:r>
      <w:r w:rsidR="00CD439F" w:rsidRPr="007D5846">
        <w:rPr>
          <w:rStyle w:val="Hyperkobling"/>
          <w:color w:val="auto"/>
          <w:u w:val="none"/>
        </w:rPr>
        <w:t>15</w:t>
      </w:r>
      <w:r w:rsidRPr="007D5846">
        <w:rPr>
          <w:rStyle w:val="Hyperkobling"/>
          <w:color w:val="auto"/>
          <w:u w:val="none"/>
        </w:rPr>
        <w:t xml:space="preserve"> (2003</w:t>
      </w:r>
      <w:r w:rsidR="007B7151">
        <w:rPr>
          <w:rStyle w:val="Hyperkobling"/>
          <w:color w:val="auto"/>
          <w:u w:val="none"/>
        </w:rPr>
        <w:t>–</w:t>
      </w:r>
      <w:r w:rsidRPr="007D5846">
        <w:rPr>
          <w:rStyle w:val="Hyperkobling"/>
          <w:color w:val="auto"/>
          <w:u w:val="none"/>
        </w:rPr>
        <w:t xml:space="preserve">2004) </w:t>
      </w:r>
      <w:r w:rsidRPr="007D5846">
        <w:rPr>
          <w:rStyle w:val="Hyperkobling"/>
          <w:iCs/>
          <w:color w:val="auto"/>
          <w:u w:val="none"/>
        </w:rPr>
        <w:t>Rovvilt i norsk natur</w:t>
      </w:r>
      <w:r w:rsidRPr="007D5846">
        <w:rPr>
          <w:rStyle w:val="Hyperkobling"/>
          <w:color w:val="auto"/>
          <w:u w:val="none"/>
        </w:rPr>
        <w:t xml:space="preserve"> erkjennes det at områdeforvaltningen for reindrift må være annerledes enn for husdyr, og at vekten bør legges på beskatning av rovvilt i de viktigste reindriftsområdene, spesielt kalvings- og oppvekstområder.</w:t>
      </w:r>
      <w:r w:rsidR="00CD439F" w:rsidRPr="00CD439F">
        <w:rPr>
          <w:rStyle w:val="Fotnotereferanse"/>
        </w:rPr>
        <w:footnoteReference w:id="231"/>
      </w:r>
    </w:p>
    <w:p w14:paraId="6C3F769F" w14:textId="27AEE61C" w:rsidR="007D5846" w:rsidRPr="007D5846" w:rsidRDefault="007D5846" w:rsidP="007D5846">
      <w:pPr>
        <w:rPr>
          <w:rStyle w:val="Hyperkobling"/>
          <w:color w:val="auto"/>
          <w:u w:val="none"/>
        </w:rPr>
      </w:pPr>
      <w:r>
        <w:t xml:space="preserve">I rovdyrforliket av 2004 bestemte Stortinget at forvaltningen skulle være basert på en geografisk differensiering ved </w:t>
      </w:r>
      <w:r w:rsidR="00CD439F">
        <w:t>«</w:t>
      </w:r>
      <w:r w:rsidRPr="006E195B">
        <w:t>en forvaltning som i størst mulig grad skiller tamrein fra rovviltbestandene</w:t>
      </w:r>
      <w:r w:rsidR="00CD439F">
        <w:t>»</w:t>
      </w:r>
      <w:r w:rsidRPr="006E195B">
        <w:t xml:space="preserve"> og at </w:t>
      </w:r>
      <w:r w:rsidR="00CD439F">
        <w:t>«</w:t>
      </w:r>
      <w:r w:rsidRPr="006E195B">
        <w:t>hensynet til tamreindriften må veie tungt ved forvaltningen av rovviltbestandene</w:t>
      </w:r>
      <w:r w:rsidR="00CD439F">
        <w:t>»</w:t>
      </w:r>
      <w:r w:rsidRPr="006E195B">
        <w:t xml:space="preserve">. Det ble derfor forutsatt et </w:t>
      </w:r>
      <w:r w:rsidR="00CD439F">
        <w:t>«</w:t>
      </w:r>
      <w:r w:rsidRPr="006E195B">
        <w:t>raskt uttak av rovdyr når disse kommer inn i tamreinområder og gjør skade.</w:t>
      </w:r>
      <w:r w:rsidR="00CD439F">
        <w:t>»</w:t>
      </w:r>
      <w:r w:rsidR="00CD439F" w:rsidRPr="00CD439F">
        <w:rPr>
          <w:rStyle w:val="Fotnotereferanse"/>
        </w:rPr>
        <w:footnoteReference w:id="232"/>
      </w:r>
      <w:r>
        <w:t xml:space="preserve"> Også i </w:t>
      </w:r>
      <w:r w:rsidRPr="00E40EF2">
        <w:t xml:space="preserve">rovviltforliket av 2011 vektla Stortinget behovet for en </w:t>
      </w:r>
      <w:r w:rsidRPr="005B22A1">
        <w:t>tydelig forvaltning av soneinndelingen</w:t>
      </w:r>
      <w:r w:rsidRPr="00E40EF2">
        <w:t xml:space="preserve"> mellom rovvilt- og beiteområder. </w:t>
      </w:r>
      <w:r w:rsidRPr="00E40EF2">
        <w:lastRenderedPageBreak/>
        <w:t xml:space="preserve">Det ble presisert at det ikke skal være rovdyr </w:t>
      </w:r>
      <w:r w:rsidRPr="005B22A1">
        <w:t xml:space="preserve">som representerer et skadepotensial i </w:t>
      </w:r>
      <w:proofErr w:type="spellStart"/>
      <w:r w:rsidRPr="005B22A1">
        <w:t>kalvingsområde</w:t>
      </w:r>
      <w:proofErr w:type="spellEnd"/>
      <w:r w:rsidRPr="005B22A1">
        <w:t xml:space="preserve"> for tamrein</w:t>
      </w:r>
      <w:r w:rsidRPr="00E40EF2">
        <w:t>:</w:t>
      </w:r>
    </w:p>
    <w:p w14:paraId="5168BBF5" w14:textId="2BF674B4" w:rsidR="007D5846" w:rsidRPr="00CD439F" w:rsidRDefault="00CD439F" w:rsidP="007D5846">
      <w:pPr>
        <w:pStyle w:val="blokksit"/>
        <w:ind w:left="757"/>
      </w:pPr>
      <w:r>
        <w:t>«</w:t>
      </w:r>
      <w:r w:rsidR="007D5846" w:rsidRPr="00CD439F">
        <w:t xml:space="preserve">Det er et felles mål at tapstallene for beitenæringen må ned. Soneinndelingen må forvaltes tydelig. I prioriterte beiteområder skal uttak av dyr som gjør skade på beitedyr gjøres raskt, og i slike områder skal miljøforvaltningen i større grad enn i dag bidra til å effektivisere slikt uttak, uavhengig av om bestandsmålet er nådd. I prioriterte rovviltområder skal saueproduksjon og andre produksjoner basert på utmarksbeite tilpasses gjennom forebyggende tiltak og omstilling, med utgangspunkt i forekomsten av rovvilt i beiteområdet. Det skal ikke være rovdyr som representerer et skadepotensial i prioriterte beiteområder for husdyr og </w:t>
      </w:r>
      <w:proofErr w:type="spellStart"/>
      <w:r w:rsidR="007D5846" w:rsidRPr="00CD439F">
        <w:t>kalvingsområde</w:t>
      </w:r>
      <w:proofErr w:type="spellEnd"/>
      <w:r w:rsidR="007D5846" w:rsidRPr="00CD439F">
        <w:t xml:space="preserve"> for tamrein.</w:t>
      </w:r>
      <w:r>
        <w:t>»</w:t>
      </w:r>
      <w:r w:rsidRPr="00CD439F">
        <w:rPr>
          <w:rStyle w:val="Fotnotereferanse"/>
        </w:rPr>
        <w:footnoteReference w:id="233"/>
      </w:r>
    </w:p>
    <w:p w14:paraId="191D7B8D" w14:textId="24BAAF53" w:rsidR="007D5846" w:rsidRPr="007D5846" w:rsidRDefault="007D5846" w:rsidP="007D5846">
      <w:pPr>
        <w:rPr>
          <w:rStyle w:val="Hyperkobling"/>
          <w:color w:val="auto"/>
          <w:u w:val="none"/>
        </w:rPr>
      </w:pPr>
      <w:r w:rsidRPr="007D5846">
        <w:rPr>
          <w:rStyle w:val="Hyperkobling"/>
          <w:color w:val="auto"/>
          <w:u w:val="none"/>
        </w:rPr>
        <w:t xml:space="preserve">I </w:t>
      </w:r>
      <w:r w:rsidR="00CD439F">
        <w:rPr>
          <w:rStyle w:val="Hyperkobling"/>
          <w:color w:val="auto"/>
          <w:u w:val="none"/>
        </w:rPr>
        <w:t xml:space="preserve">Meld. St. </w:t>
      </w:r>
      <w:r w:rsidR="00CD439F" w:rsidRPr="007D5846">
        <w:rPr>
          <w:rStyle w:val="Hyperkobling"/>
          <w:color w:val="auto"/>
          <w:u w:val="none"/>
        </w:rPr>
        <w:t>2</w:t>
      </w:r>
      <w:r w:rsidRPr="007D5846">
        <w:rPr>
          <w:rStyle w:val="Hyperkobling"/>
          <w:color w:val="auto"/>
          <w:u w:val="none"/>
        </w:rPr>
        <w:t>1 (2015</w:t>
      </w:r>
      <w:r w:rsidR="007B7151">
        <w:rPr>
          <w:rStyle w:val="Hyperkobling"/>
          <w:color w:val="auto"/>
          <w:u w:val="none"/>
        </w:rPr>
        <w:t>–</w:t>
      </w:r>
      <w:r w:rsidRPr="007D5846">
        <w:rPr>
          <w:rStyle w:val="Hyperkobling"/>
          <w:color w:val="auto"/>
          <w:u w:val="none"/>
        </w:rPr>
        <w:t xml:space="preserve">2016) </w:t>
      </w:r>
      <w:r w:rsidRPr="007D5846">
        <w:rPr>
          <w:rStyle w:val="Hyperkobling"/>
          <w:iCs/>
          <w:color w:val="auto"/>
          <w:u w:val="none"/>
        </w:rPr>
        <w:t>Ulv i norsk natur, Bestandsmål for ulv og ulvesone</w:t>
      </w:r>
      <w:r w:rsidRPr="007D5846">
        <w:rPr>
          <w:rStyle w:val="Hyperkobling"/>
          <w:color w:val="auto"/>
          <w:u w:val="none"/>
        </w:rPr>
        <w:t xml:space="preserve"> påpekes betydningen av den geografiske differensieringen for felling av rovvilt:</w:t>
      </w:r>
    </w:p>
    <w:p w14:paraId="3CB31DA4" w14:textId="47838F59" w:rsidR="007D5846" w:rsidRPr="00CD439F" w:rsidRDefault="00CD439F" w:rsidP="007D5846">
      <w:pPr>
        <w:pStyle w:val="blokksit"/>
        <w:ind w:left="757"/>
        <w:rPr>
          <w:rStyle w:val="Hyperkobling"/>
          <w:color w:val="auto"/>
          <w:u w:val="none"/>
        </w:rPr>
      </w:pPr>
      <w:r>
        <w:t>«</w:t>
      </w:r>
      <w:r w:rsidR="007D5846" w:rsidRPr="00CD439F">
        <w:t xml:space="preserve">I forvaltningsplanene definerer rovviltnemndene hvilke områder som er såkalte prioriterte yngleområder for rovvilt, der man fortrinnsvis skal oppfylle regionens bestandsmål, samt prioriterte beiteområder, der hensynet til beitedyr skal veie tyngst. </w:t>
      </w:r>
      <w:r w:rsidR="00303661" w:rsidRPr="00CD439F">
        <w:t>…</w:t>
      </w:r>
      <w:r w:rsidR="007D5846" w:rsidRPr="00CD439F">
        <w:t xml:space="preserve"> I prioriterte beiteområder skal terskelen for iverksetting av fellingstillatelser være lav, mens i prioriterte rovviltområder vil terskelen for uttak av rovdyr være tilsvarende høyere, og beitenæringen og andre interesser skal tilpasse seg rovdyrenes tilstedeværelse i disse områdene.</w:t>
      </w:r>
      <w:r>
        <w:t>»</w:t>
      </w:r>
      <w:r w:rsidRPr="00CD439F">
        <w:rPr>
          <w:rStyle w:val="Fotnotereferanse"/>
        </w:rPr>
        <w:footnoteReference w:id="234"/>
      </w:r>
    </w:p>
    <w:p w14:paraId="4D481C1B" w14:textId="6C25710B" w:rsidR="007D5846" w:rsidRDefault="007D5846" w:rsidP="007D5846">
      <w:r w:rsidRPr="007D5846">
        <w:rPr>
          <w:rStyle w:val="Hyperkobling"/>
          <w:color w:val="auto"/>
          <w:u w:val="none"/>
        </w:rPr>
        <w:t>I denne meldingen bestemmes det at det er større geografiske restriksjoner på utbredelsen av bjørn og ulv, sammenliknet med gaupe, jerv og kongeørn.</w:t>
      </w:r>
      <w:r w:rsidR="00CD439F" w:rsidRPr="00CD439F">
        <w:rPr>
          <w:rStyle w:val="Fotnotereferanse"/>
        </w:rPr>
        <w:footnoteReference w:id="235"/>
      </w:r>
      <w:r w:rsidRPr="007D5846">
        <w:t xml:space="preserve"> Det fremheves at det er </w:t>
      </w:r>
      <w:r w:rsidR="00CD439F">
        <w:t>«</w:t>
      </w:r>
      <w:r w:rsidRPr="007D5846">
        <w:t>et klart geografisk skille mellom samiske tamreinområder og ulvesonen. Dette er gjort av hensyn til samisk tamreindrift. Tapsomfanget i reindriften som skyldes ulv er svært begrenset.</w:t>
      </w:r>
      <w:r w:rsidR="00CD439F">
        <w:t>»</w:t>
      </w:r>
      <w:r w:rsidR="00CD439F" w:rsidRPr="00CD439F">
        <w:rPr>
          <w:rStyle w:val="Fotnotereferanse"/>
        </w:rPr>
        <w:footnoteReference w:id="236"/>
      </w:r>
    </w:p>
    <w:p w14:paraId="695E6A1F" w14:textId="5BFC500A" w:rsidR="007D5846" w:rsidRPr="005816B9" w:rsidRDefault="007D5846" w:rsidP="007D5846">
      <w:r w:rsidRPr="005816B9">
        <w:t xml:space="preserve">I </w:t>
      </w:r>
      <w:r w:rsidR="00CD439F">
        <w:t xml:space="preserve">Meld. St. </w:t>
      </w:r>
      <w:r w:rsidR="00CD439F" w:rsidRPr="005816B9">
        <w:t>3</w:t>
      </w:r>
      <w:r w:rsidRPr="005816B9">
        <w:t xml:space="preserve">2 (2016–2017) </w:t>
      </w:r>
      <w:r w:rsidRPr="00CD439F">
        <w:rPr>
          <w:rStyle w:val="kursiv"/>
        </w:rPr>
        <w:t>Reindrift. Lang tradisjon – unike muligheter</w:t>
      </w:r>
      <w:r w:rsidRPr="005816B9">
        <w:t xml:space="preserve"> påpekes problemet med overlappende reinbeite- og rovviltområder og behovet for å beskytte </w:t>
      </w:r>
      <w:proofErr w:type="spellStart"/>
      <w:r w:rsidRPr="005816B9">
        <w:t>kalvingsområder</w:t>
      </w:r>
      <w:proofErr w:type="spellEnd"/>
      <w:r>
        <w:t xml:space="preserve">. Men det fremholdes </w:t>
      </w:r>
      <w:r w:rsidRPr="005816B9">
        <w:t xml:space="preserve">at reindriften </w:t>
      </w:r>
      <w:r>
        <w:t>må</w:t>
      </w:r>
      <w:r w:rsidRPr="005816B9">
        <w:t xml:space="preserve"> tilpasses </w:t>
      </w:r>
      <w:r>
        <w:t xml:space="preserve">behovet for å sikre oppnåelsen av bestandsmålene for </w:t>
      </w:r>
      <w:r w:rsidRPr="005816B9">
        <w:t>rovvilt:</w:t>
      </w:r>
    </w:p>
    <w:p w14:paraId="1141163F" w14:textId="618E3338" w:rsidR="007D5846" w:rsidRPr="00CD439F" w:rsidRDefault="00CD439F" w:rsidP="007D5846">
      <w:pPr>
        <w:pStyle w:val="blokksit"/>
        <w:ind w:left="757"/>
      </w:pPr>
      <w:r>
        <w:t>«</w:t>
      </w:r>
      <w:r w:rsidR="007D5846" w:rsidRPr="00CD439F">
        <w:t xml:space="preserve">Prinsippet om geografisk differensiering, det vil si at en søker å skille mellom rovviltprioriterte og beitedyrprioriterte områder, er i forskjellig grad lagt til grunn i forvaltningsplanene. En evaluering av regional forvaltning viser at hovedtyngden </w:t>
      </w:r>
      <w:r w:rsidR="007D5846" w:rsidRPr="00CD439F">
        <w:lastRenderedPageBreak/>
        <w:t xml:space="preserve">av rovviltet skal ha ynglinger i det samiske tamreinområdet, og at det er betydelig overlapp mellom </w:t>
      </w:r>
      <w:proofErr w:type="spellStart"/>
      <w:r w:rsidR="007D5846" w:rsidRPr="00CD439F">
        <w:t>kalvingsområder</w:t>
      </w:r>
      <w:proofErr w:type="spellEnd"/>
      <w:r w:rsidR="007D5846" w:rsidRPr="00CD439F">
        <w:t xml:space="preserve"> og områdebruken til de ulike rovviltartene. I tråd med rovviltforliket av 2011 pkt. 2.2.19 er det et mål at saueproduksjon og andre produksjoner basert på utmarksbeite skal tilpasses rovviltforekomsten i prioriterte rovviltområder. Dette gjelder også reindriften. Det er derfor utfordringer</w:t>
      </w:r>
      <w:r w:rsidR="007D5846" w:rsidRPr="00CD439F">
        <w:rPr>
          <w:rStyle w:val="halvfet"/>
        </w:rPr>
        <w:t xml:space="preserve"> </w:t>
      </w:r>
      <w:r w:rsidR="007D5846" w:rsidRPr="00CD439F">
        <w:t xml:space="preserve">med å få ned tapene av tamrein til rovvilt samtidig som vi sikrer at de nasjonale bestandsmålene nås. Det er et mål å beskytte reinens </w:t>
      </w:r>
      <w:proofErr w:type="spellStart"/>
      <w:r w:rsidR="007D5846" w:rsidRPr="00CD439F">
        <w:t>kalvingsområder</w:t>
      </w:r>
      <w:proofErr w:type="spellEnd"/>
      <w:r w:rsidR="007D5846" w:rsidRPr="00CD439F">
        <w:t xml:space="preserve"> mot skadevoldende rovvilt, jf. pkt. 2.2.19 i Stortingets rovviltforlik av 2011. For sauenæringen er det gjort et storskala geografisk skille mellom de viktige saueområdene på Vestlandet (region 1) som i sin helhet er prioritert til beitedyr, og områder med målsetting om yngling av rovvilt. Når det gjelder forvaltningen av ulv, har man tatt et særlig hensyn til</w:t>
      </w:r>
      <w:r w:rsidR="007D5846" w:rsidRPr="00CD439F">
        <w:rPr>
          <w:rStyle w:val="halvfet"/>
        </w:rPr>
        <w:t xml:space="preserve"> </w:t>
      </w:r>
      <w:r w:rsidR="007D5846" w:rsidRPr="00CD439F">
        <w:t>reindriften, ved at ulvens prioriterte leveområde ikke overlapper med produksjonsområdene for reindrift.</w:t>
      </w:r>
      <w:r>
        <w:t>»</w:t>
      </w:r>
      <w:r w:rsidRPr="00CD439F">
        <w:rPr>
          <w:rStyle w:val="Fotnotereferanse"/>
        </w:rPr>
        <w:footnoteReference w:id="237"/>
      </w:r>
    </w:p>
    <w:p w14:paraId="08FF2909" w14:textId="39843E2A" w:rsidR="007D5846" w:rsidRDefault="007D5846" w:rsidP="007D5846">
      <w:r>
        <w:t xml:space="preserve">I konsultasjonene om denne Stortingsmeldingen </w:t>
      </w:r>
      <w:r w:rsidRPr="47A0B628">
        <w:t>reiste</w:t>
      </w:r>
      <w:r>
        <w:t xml:space="preserve"> </w:t>
      </w:r>
      <w:r w:rsidRPr="005816B9">
        <w:t xml:space="preserve">Sametinget og NRL tvil om rovdyrpolitikken sikrer det materielle grunnlaget for samisk kultur – som </w:t>
      </w:r>
      <w:r w:rsidRPr="00A92B41">
        <w:t>er avgjørende</w:t>
      </w:r>
      <w:r w:rsidRPr="0012174F">
        <w:t xml:space="preserve"> </w:t>
      </w:r>
      <w:r w:rsidRPr="005816B9">
        <w:t xml:space="preserve">for om </w:t>
      </w:r>
      <w:r w:rsidRPr="47A0B628">
        <w:rPr>
          <w:rFonts w:asciiTheme="majorBidi" w:hAnsiTheme="majorBidi" w:cstheme="majorBidi"/>
        </w:rPr>
        <w:t>FNs konvensjon om sivile og politiske rettigheter</w:t>
      </w:r>
      <w:r w:rsidRPr="005816B9">
        <w:t xml:space="preserve"> art</w:t>
      </w:r>
      <w:r>
        <w:t>ikkel</w:t>
      </w:r>
      <w:r w:rsidRPr="005816B9">
        <w:t xml:space="preserve"> 27 er overtrådt</w:t>
      </w:r>
      <w:r>
        <w:t>.</w:t>
      </w:r>
      <w:r w:rsidR="00CD439F" w:rsidRPr="00CD439F">
        <w:rPr>
          <w:rStyle w:val="Fotnotereferanse"/>
        </w:rPr>
        <w:footnoteReference w:id="238"/>
      </w:r>
      <w:r>
        <w:t xml:space="preserve"> </w:t>
      </w:r>
      <w:r w:rsidRPr="0E32E05E">
        <w:t xml:space="preserve">Stortingsflertallet ba i sin behandling av meldingen om at </w:t>
      </w:r>
      <w:r w:rsidR="00CD439F">
        <w:t>«</w:t>
      </w:r>
      <w:r w:rsidRPr="00A92B41">
        <w:t xml:space="preserve">det gjøres en </w:t>
      </w:r>
      <w:r w:rsidRPr="00777496">
        <w:t>ny gjennomgang</w:t>
      </w:r>
      <w:r w:rsidRPr="00CD439F">
        <w:rPr>
          <w:rStyle w:val="halvfet"/>
        </w:rPr>
        <w:t xml:space="preserve"> </w:t>
      </w:r>
      <w:r w:rsidRPr="00A92B41">
        <w:t>av rovdyr- og beiteprioriterte områder</w:t>
      </w:r>
      <w:r w:rsidR="00CD439F">
        <w:t>»</w:t>
      </w:r>
      <w:r w:rsidRPr="00A92B41">
        <w:t>.</w:t>
      </w:r>
      <w:r w:rsidR="00CD439F" w:rsidRPr="00CD439F">
        <w:rPr>
          <w:rStyle w:val="Fotnotereferanse"/>
        </w:rPr>
        <w:footnoteReference w:id="239"/>
      </w:r>
    </w:p>
    <w:p w14:paraId="0D63012A" w14:textId="07FCEC16" w:rsidR="007D5846" w:rsidRDefault="007D5846" w:rsidP="007D5846">
      <w:r>
        <w:t>Riksrevisjonen påpekte i sin rapport fra 2018 problemene med at store deler av bestandene av jerv og gaupe lever utenfor rovviltprioriterte soner.</w:t>
      </w:r>
      <w:r w:rsidR="00CD439F" w:rsidRPr="00CD439F">
        <w:rPr>
          <w:rStyle w:val="Fotnotereferanse"/>
        </w:rPr>
        <w:footnoteReference w:id="240"/>
      </w:r>
      <w:r>
        <w:t xml:space="preserve"> Det ble konkludert med at </w:t>
      </w:r>
      <w:r w:rsidR="00CD439F">
        <w:t>«</w:t>
      </w:r>
      <w:r>
        <w:t>[f]</w:t>
      </w:r>
      <w:proofErr w:type="spellStart"/>
      <w:r w:rsidRPr="0E32E05E">
        <w:t>orutsetningene</w:t>
      </w:r>
      <w:proofErr w:type="spellEnd"/>
      <w:r w:rsidRPr="0E32E05E">
        <w:t xml:space="preserve"> om soneforvaltning er bare delvis innfridd, og </w:t>
      </w:r>
      <w:r w:rsidRPr="00BA143B">
        <w:t>soneforvaltningen er særlig lite egnet for å ivareta reindriftsnæringen</w:t>
      </w:r>
      <w:r w:rsidRPr="0E32E05E">
        <w:t>.</w:t>
      </w:r>
      <w:r w:rsidR="00CD439F">
        <w:t>»</w:t>
      </w:r>
      <w:r w:rsidR="00CD439F" w:rsidRPr="00CD439F">
        <w:rPr>
          <w:rStyle w:val="Fotnotereferanse"/>
        </w:rPr>
        <w:footnoteReference w:id="241"/>
      </w:r>
    </w:p>
    <w:p w14:paraId="328E53C7" w14:textId="4AB91B96" w:rsidR="007D5846" w:rsidRDefault="007D5846" w:rsidP="007D5846">
      <w:r w:rsidRPr="005816B9">
        <w:t xml:space="preserve">I forskningsrapporten </w:t>
      </w:r>
      <w:r w:rsidRPr="00CD439F">
        <w:rPr>
          <w:rStyle w:val="kursiv"/>
        </w:rPr>
        <w:t xml:space="preserve">Kartlegging av forskning på reindriftsområdet – kunnskapsgrunnlag og forskningsbehov </w:t>
      </w:r>
      <w:r w:rsidRPr="005816B9">
        <w:t xml:space="preserve">(2021) </w:t>
      </w:r>
      <w:r>
        <w:t xml:space="preserve">sies det at </w:t>
      </w:r>
      <w:r w:rsidR="00CD439F">
        <w:t>«</w:t>
      </w:r>
      <w:r>
        <w:t>[h]</w:t>
      </w:r>
      <w:proofErr w:type="spellStart"/>
      <w:r w:rsidRPr="005816B9">
        <w:t>alvparten</w:t>
      </w:r>
      <w:proofErr w:type="spellEnd"/>
      <w:r w:rsidRPr="005816B9">
        <w:t xml:space="preserve"> av området der det drives samisk reindrift ligger innenfor forvaltningsområdene for rovvilt, og det er betydelig geografisk sammenfall mellom forvaltningsområdene for rovvilt og områder som reinen utnytter når den er på det mest sårbare på vårvinteren og under kalvinga. En målsetting om å ha levedyktige bestander av våre rovviltarter, gjør det umulig å se for seg en reindriftsnæring uten tap av dyr til rovvilt.</w:t>
      </w:r>
      <w:r w:rsidR="00CD439F">
        <w:t>»</w:t>
      </w:r>
      <w:r w:rsidR="00CD439F" w:rsidRPr="00CD439F">
        <w:rPr>
          <w:rStyle w:val="Fotnotereferanse"/>
        </w:rPr>
        <w:footnoteReference w:id="242"/>
      </w:r>
      <w:r>
        <w:t xml:space="preserve"> I </w:t>
      </w:r>
      <w:proofErr w:type="spellStart"/>
      <w:r w:rsidR="00CD439F" w:rsidRPr="009C1D3D">
        <w:t>Prop</w:t>
      </w:r>
      <w:proofErr w:type="spellEnd"/>
      <w:r w:rsidR="00CD439F" w:rsidRPr="009C1D3D">
        <w:t>. 143</w:t>
      </w:r>
      <w:r w:rsidR="00CD439F">
        <w:t xml:space="preserve"> </w:t>
      </w:r>
      <w:r w:rsidR="00CD439F" w:rsidRPr="009C1D3D">
        <w:t xml:space="preserve">S </w:t>
      </w:r>
      <w:r w:rsidRPr="009C1D3D">
        <w:t xml:space="preserve">2024–2025 </w:t>
      </w:r>
      <w:r w:rsidRPr="00CD439F">
        <w:rPr>
          <w:rStyle w:val="kursiv"/>
        </w:rPr>
        <w:t xml:space="preserve">Endringer i </w:t>
      </w:r>
      <w:r w:rsidRPr="00CD439F">
        <w:rPr>
          <w:rStyle w:val="kursiv"/>
        </w:rPr>
        <w:lastRenderedPageBreak/>
        <w:t>statsbudsjettet 2025 under Landbruks- og matdepartementet. (Reindriftsavtalen 2025/2026)</w:t>
      </w:r>
      <w:r>
        <w:t xml:space="preserve"> spesifiseres omfanget av overlapping nærmere:</w:t>
      </w:r>
    </w:p>
    <w:p w14:paraId="7E6BD030" w14:textId="5A9FD77C" w:rsidR="007D5846" w:rsidRPr="00CD439F" w:rsidRDefault="00CD439F" w:rsidP="007D5846">
      <w:pPr>
        <w:pStyle w:val="blokksit"/>
        <w:ind w:left="757"/>
      </w:pPr>
      <w:r>
        <w:t>«</w:t>
      </w:r>
      <w:r w:rsidR="007D5846" w:rsidRPr="00CD439F">
        <w:t xml:space="preserve">I områder der det er overlapp mellom prioriterte rovviltområde og </w:t>
      </w:r>
      <w:proofErr w:type="spellStart"/>
      <w:r w:rsidR="007D5846" w:rsidRPr="00CD439F">
        <w:t>kalvingsområder</w:t>
      </w:r>
      <w:proofErr w:type="spellEnd"/>
      <w:r w:rsidR="007D5846" w:rsidRPr="00CD439F">
        <w:t xml:space="preserve"> for rein, vil det være større risiko for tap av rein til rovvilt. Totalt er 57,6 prosent av </w:t>
      </w:r>
      <w:proofErr w:type="spellStart"/>
      <w:r w:rsidR="007D5846" w:rsidRPr="00CD439F">
        <w:t>kalvingsområdene</w:t>
      </w:r>
      <w:proofErr w:type="spellEnd"/>
      <w:r w:rsidR="007D5846" w:rsidRPr="00CD439F">
        <w:t xml:space="preserve"> innenfor et prioritert rovviltområde. I Øst-Finnmark er andelen 23,8 prosent, i Vest-Finnmark 47,8 prosent, i Troms 11,1 prosent, i Nordland 99,8 prosent, i Nord-Trøndelag 93,5 prosent, og i Sør-Trøndelag/Hedmark reinbeiteområde er andelen 92,4 prosent.</w:t>
      </w:r>
      <w:r>
        <w:t>»</w:t>
      </w:r>
      <w:r w:rsidRPr="00CD439F">
        <w:rPr>
          <w:rStyle w:val="Fotnotereferanse"/>
        </w:rPr>
        <w:footnoteReference w:id="243"/>
      </w:r>
    </w:p>
    <w:p w14:paraId="0203E759" w14:textId="77777777" w:rsidR="00303661" w:rsidRDefault="007D5846" w:rsidP="007D5846">
      <w:pPr>
        <w:rPr>
          <w:rStyle w:val="Hyperkobling"/>
          <w:color w:val="auto"/>
          <w:u w:val="none"/>
        </w:rPr>
      </w:pPr>
      <w:r w:rsidRPr="007D5846">
        <w:rPr>
          <w:rStyle w:val="Hyperkobling"/>
          <w:color w:val="auto"/>
          <w:u w:val="none"/>
        </w:rPr>
        <w:t xml:space="preserve">Disse tallene viser at den tydelige soneinndelingen mellom rovdyrområder og beite- og </w:t>
      </w:r>
      <w:proofErr w:type="spellStart"/>
      <w:r w:rsidRPr="007D5846">
        <w:rPr>
          <w:rStyle w:val="Hyperkobling"/>
          <w:color w:val="auto"/>
          <w:u w:val="none"/>
        </w:rPr>
        <w:t>kalvingsområder</w:t>
      </w:r>
      <w:proofErr w:type="spellEnd"/>
      <w:r w:rsidRPr="007D5846">
        <w:rPr>
          <w:rStyle w:val="Hyperkobling"/>
          <w:color w:val="auto"/>
          <w:u w:val="none"/>
        </w:rPr>
        <w:t xml:space="preserve"> for rein slik den var forutsatt i rovdyrforlikene av 2004 og 2011, ikke er gjennomført i praksis. Et unntak må gjøres for ulvesonen, som er utformet slik at ulv i liten grad fører til tap av tamrein. Det er også begrenset tap til bjørn på grunn av den geografiske begrensningen av bjørnesonen. Det er imidlertid ingen geografisk differensiering for kongeørn. Dette betyr at forvaltningsutfordringene når det gjelder soneforvaltningen først og fremst gjelder gaupe, jerv og kongeørn.</w:t>
      </w:r>
    </w:p>
    <w:p w14:paraId="0573672F" w14:textId="07E547E6" w:rsidR="007D5846" w:rsidRPr="00D52BD6" w:rsidRDefault="007D5846" w:rsidP="007D5846">
      <w:pPr>
        <w:rPr>
          <w:rStyle w:val="Hyperkobling"/>
          <w:color w:val="auto"/>
          <w:u w:val="none"/>
        </w:rPr>
      </w:pPr>
      <w:r w:rsidRPr="007D5846">
        <w:rPr>
          <w:rStyle w:val="Hyperkobling"/>
          <w:color w:val="auto"/>
          <w:u w:val="none"/>
        </w:rPr>
        <w:t xml:space="preserve">Som ledd i </w:t>
      </w:r>
      <w:r w:rsidRPr="007D5846">
        <w:rPr>
          <w:rStyle w:val="Hyperkobling"/>
          <w:iCs/>
          <w:color w:val="auto"/>
          <w:u w:val="none"/>
        </w:rPr>
        <w:t>Tiltakspakke for reindrift og energi</w:t>
      </w:r>
      <w:r w:rsidRPr="007D5846">
        <w:rPr>
          <w:rStyle w:val="Hyperkobling"/>
          <w:color w:val="auto"/>
          <w:u w:val="none"/>
        </w:rPr>
        <w:t xml:space="preserve"> (2023) fikk Miljødirektoratet og Landbruksdirektoratet i oppdrag å vurdere og foreslå tiltak som kan redusere rovdyrtrykket i reinbeiteområdene. Rapporten fra 2024 viser vanskelighetene med å skille mellom prioriterte rovviltområder og prioriterte beiteområder for tamrein. Det synes å være en glidende språkbruk ved at prioriterte beiteområder for tamrein blir omtalt som reinbeiteområder mens de overlappende rovviltområdene omtales som prioriterte rovviltområder. I de overlappende områdene skal rovviltet prioriteres:</w:t>
      </w:r>
    </w:p>
    <w:p w14:paraId="31E40682" w14:textId="34B23DE9" w:rsidR="007D5846" w:rsidRPr="00CD439F" w:rsidRDefault="00CD439F" w:rsidP="00D52BD6">
      <w:pPr>
        <w:pStyle w:val="blokksit"/>
        <w:ind w:left="757"/>
      </w:pPr>
      <w:r>
        <w:t>«</w:t>
      </w:r>
      <w:r w:rsidR="007D5846" w:rsidRPr="00CD439F">
        <w:t>Den politiske føringen om tydelig soneforvaltning mellom prioriterte rovviltområder og prioriterte beiteområder gjelder også for tamrein. I prioriterte rovviltområder skal det legges til rette for tiltak som gjør at tamreindrift kan kombineres med å oppnå bestandsmålene for rovdyr. Hvis et reinbeiteområde befinner seg i et prioritert rovviltområde, er utgangspunktet at reindriften skal tilpasses rovviltforekomsten.</w:t>
      </w:r>
      <w:r w:rsidRPr="00CD439F">
        <w:rPr>
          <w:rStyle w:val="Fotnotereferanse"/>
        </w:rPr>
        <w:footnoteReference w:id="244"/>
      </w:r>
    </w:p>
    <w:p w14:paraId="419DCC71" w14:textId="65C16103" w:rsidR="007D5846" w:rsidRPr="00A92B41" w:rsidRDefault="007D5846" w:rsidP="007D5846">
      <w:r>
        <w:t xml:space="preserve">Det påpekes at omfanget av overlapping mellom rovdyr- og reinbeiteområder skyldes at en </w:t>
      </w:r>
      <w:r w:rsidR="00CD439F">
        <w:t>«</w:t>
      </w:r>
      <w:r>
        <w:t>betydelig andel</w:t>
      </w:r>
      <w:r w:rsidR="00CD439F">
        <w:t>»</w:t>
      </w:r>
      <w:r>
        <w:t xml:space="preserve"> av bestandsmålene for jerv, bjørn og gaupe er lagt til de nordlige landsdelene.</w:t>
      </w:r>
      <w:r w:rsidR="00CD439F" w:rsidRPr="00CD439F">
        <w:rPr>
          <w:rStyle w:val="Fotnotereferanse"/>
        </w:rPr>
        <w:footnoteReference w:id="245"/>
      </w:r>
      <w:r>
        <w:t xml:space="preserve"> Det hevdes at rovviltområdene ikke kan reduseres dersom bestandsmålene skal oppnås:</w:t>
      </w:r>
    </w:p>
    <w:p w14:paraId="193A701D" w14:textId="43FDF409" w:rsidR="007D5846" w:rsidRPr="00CD439F" w:rsidRDefault="00CD439F" w:rsidP="00D52BD6">
      <w:pPr>
        <w:pStyle w:val="blokksit"/>
        <w:ind w:left="757"/>
      </w:pPr>
      <w:r>
        <w:lastRenderedPageBreak/>
        <w:t>«</w:t>
      </w:r>
      <w:r w:rsidR="007D5846" w:rsidRPr="00CD439F">
        <w:t>Reindriften vil i de aller fleste tilfeller befinne seg i områder som i tillegg til å være beiteområde for rein også er forvaltningsområde for en eller flere rovviltarter. Det fins eksempel på forsøk på å differensiere også for rein, men med unntak av region 5 (der en mindre del av regionen er reinbeiteområde) har dette gitt fragmenterte forvaltningsområder for rovvilt der det ikke er sannsynlighet for å nå bestandsmålene utelukkende innenfor de kartfesta forvaltningsområdene for rovvilt.</w:t>
      </w:r>
      <w:r>
        <w:t>»</w:t>
      </w:r>
      <w:r w:rsidRPr="00CD439F">
        <w:rPr>
          <w:rStyle w:val="Fotnotereferanse"/>
        </w:rPr>
        <w:footnoteReference w:id="246"/>
      </w:r>
    </w:p>
    <w:p w14:paraId="71EBD58F" w14:textId="77777777" w:rsidR="007D5846" w:rsidRDefault="007D5846" w:rsidP="007D5846">
      <w:r>
        <w:t>Det er grunn til å påpeke at også denne rapporten fremhever viktigheten av å nå bestandsmålene for rovvilt, og dermed oppfylle Bernkonvensjonens krav, mens de folkerettslige urfolksforpliktelsene ikke er nevnt.</w:t>
      </w:r>
    </w:p>
    <w:p w14:paraId="1620404B" w14:textId="319CAACC" w:rsidR="00D52BD6" w:rsidRDefault="00D52BD6" w:rsidP="00D52BD6">
      <w:pPr>
        <w:pStyle w:val="Overskrift4"/>
      </w:pPr>
      <w:r>
        <w:t>Jakt og felling</w:t>
      </w:r>
    </w:p>
    <w:p w14:paraId="21A38E97" w14:textId="66F8442D" w:rsidR="00303661" w:rsidRDefault="00D52BD6" w:rsidP="00D52BD6">
      <w:r>
        <w:t xml:space="preserve">Bernkonvensjonen fastsetter i artikkel 9 at felling av rovdyr unntaksvis kan tillates dersom det ikke finnes noen </w:t>
      </w:r>
      <w:r w:rsidR="00CD439F">
        <w:t>«</w:t>
      </w:r>
      <w:proofErr w:type="spellStart"/>
      <w:r>
        <w:t>other</w:t>
      </w:r>
      <w:proofErr w:type="spellEnd"/>
      <w:r>
        <w:t xml:space="preserve"> </w:t>
      </w:r>
      <w:proofErr w:type="spellStart"/>
      <w:r>
        <w:t>satisfactory</w:t>
      </w:r>
      <w:proofErr w:type="spellEnd"/>
      <w:r>
        <w:t xml:space="preserve"> </w:t>
      </w:r>
      <w:proofErr w:type="spellStart"/>
      <w:r>
        <w:t>solution</w:t>
      </w:r>
      <w:proofErr w:type="spellEnd"/>
      <w:r w:rsidR="00CD439F">
        <w:t>»</w:t>
      </w:r>
      <w:r>
        <w:t xml:space="preserve"> og at uttaket </w:t>
      </w:r>
      <w:r w:rsidR="00CD439F">
        <w:t>«</w:t>
      </w:r>
      <w:proofErr w:type="spellStart"/>
      <w:r>
        <w:t>will</w:t>
      </w:r>
      <w:proofErr w:type="spellEnd"/>
      <w:r>
        <w:t xml:space="preserve"> not be </w:t>
      </w:r>
      <w:proofErr w:type="spellStart"/>
      <w:r>
        <w:t>detrimental</w:t>
      </w:r>
      <w:proofErr w:type="spellEnd"/>
      <w:r>
        <w:t xml:space="preserve"> to </w:t>
      </w:r>
      <w:proofErr w:type="spellStart"/>
      <w:r>
        <w:t>the</w:t>
      </w:r>
      <w:proofErr w:type="spellEnd"/>
      <w:r>
        <w:t xml:space="preserve"> </w:t>
      </w:r>
      <w:proofErr w:type="spellStart"/>
      <w:r>
        <w:t>survival</w:t>
      </w:r>
      <w:proofErr w:type="spellEnd"/>
      <w:r>
        <w:t xml:space="preserve"> </w:t>
      </w:r>
      <w:proofErr w:type="spellStart"/>
      <w:r>
        <w:t>of</w:t>
      </w:r>
      <w:proofErr w:type="spellEnd"/>
      <w:r>
        <w:t xml:space="preserve"> </w:t>
      </w:r>
      <w:proofErr w:type="spellStart"/>
      <w:r>
        <w:t>the</w:t>
      </w:r>
      <w:proofErr w:type="spellEnd"/>
      <w:r>
        <w:t xml:space="preserve"> </w:t>
      </w:r>
      <w:proofErr w:type="spellStart"/>
      <w:r>
        <w:t>population</w:t>
      </w:r>
      <w:proofErr w:type="spellEnd"/>
      <w:r>
        <w:t xml:space="preserve"> </w:t>
      </w:r>
      <w:proofErr w:type="spellStart"/>
      <w:r>
        <w:t>concerned</w:t>
      </w:r>
      <w:proofErr w:type="spellEnd"/>
      <w:r w:rsidR="00CD439F">
        <w:t>»</w:t>
      </w:r>
      <w:r>
        <w:t xml:space="preserve">. </w:t>
      </w:r>
      <w:proofErr w:type="spellStart"/>
      <w:r w:rsidRPr="000F78D3">
        <w:rPr>
          <w:lang w:val="en-US"/>
        </w:rPr>
        <w:t>Artikkel</w:t>
      </w:r>
      <w:proofErr w:type="spellEnd"/>
      <w:r w:rsidRPr="000F78D3">
        <w:rPr>
          <w:lang w:val="en-US"/>
        </w:rPr>
        <w:t xml:space="preserve"> 9 nr. 1 </w:t>
      </w:r>
      <w:proofErr w:type="spellStart"/>
      <w:r w:rsidRPr="000F78D3">
        <w:rPr>
          <w:lang w:val="en-US"/>
        </w:rPr>
        <w:t>andre</w:t>
      </w:r>
      <w:proofErr w:type="spellEnd"/>
      <w:r w:rsidRPr="000F78D3">
        <w:rPr>
          <w:lang w:val="en-US"/>
        </w:rPr>
        <w:t xml:space="preserve"> </w:t>
      </w:r>
      <w:proofErr w:type="spellStart"/>
      <w:r w:rsidRPr="000F78D3">
        <w:rPr>
          <w:lang w:val="en-US"/>
        </w:rPr>
        <w:t>strekpunkt</w:t>
      </w:r>
      <w:proofErr w:type="spellEnd"/>
      <w:r w:rsidRPr="000F78D3">
        <w:rPr>
          <w:lang w:val="en-US"/>
        </w:rPr>
        <w:t xml:space="preserve"> </w:t>
      </w:r>
      <w:proofErr w:type="spellStart"/>
      <w:r w:rsidRPr="000F78D3">
        <w:rPr>
          <w:lang w:val="en-US"/>
        </w:rPr>
        <w:t>tillater</w:t>
      </w:r>
      <w:proofErr w:type="spellEnd"/>
      <w:r w:rsidRPr="000F78D3">
        <w:rPr>
          <w:lang w:val="en-US"/>
        </w:rPr>
        <w:t xml:space="preserve"> felling </w:t>
      </w:r>
      <w:r w:rsidR="00CD439F">
        <w:rPr>
          <w:lang w:val="en-US"/>
        </w:rPr>
        <w:t>«</w:t>
      </w:r>
      <w:r w:rsidRPr="000F78D3">
        <w:rPr>
          <w:lang w:val="en-US"/>
        </w:rPr>
        <w:t>to prevent serious damage to … livestock</w:t>
      </w:r>
      <w:r w:rsidR="00CD439F">
        <w:rPr>
          <w:lang w:val="en-US"/>
        </w:rPr>
        <w:t>»</w:t>
      </w:r>
      <w:r w:rsidRPr="000F78D3">
        <w:rPr>
          <w:lang w:val="en-US"/>
        </w:rPr>
        <w:t xml:space="preserve"> </w:t>
      </w:r>
      <w:proofErr w:type="spellStart"/>
      <w:r w:rsidRPr="000F78D3">
        <w:rPr>
          <w:lang w:val="en-US"/>
        </w:rPr>
        <w:t>mens</w:t>
      </w:r>
      <w:proofErr w:type="spellEnd"/>
      <w:r w:rsidRPr="000F78D3">
        <w:rPr>
          <w:lang w:val="en-US"/>
        </w:rPr>
        <w:t xml:space="preserve"> </w:t>
      </w:r>
      <w:proofErr w:type="spellStart"/>
      <w:r w:rsidRPr="000F78D3">
        <w:rPr>
          <w:lang w:val="en-US"/>
        </w:rPr>
        <w:t>tredje</w:t>
      </w:r>
      <w:proofErr w:type="spellEnd"/>
      <w:r w:rsidRPr="000F78D3">
        <w:rPr>
          <w:lang w:val="en-US"/>
        </w:rPr>
        <w:t xml:space="preserve"> </w:t>
      </w:r>
      <w:proofErr w:type="spellStart"/>
      <w:r w:rsidRPr="000F78D3">
        <w:rPr>
          <w:lang w:val="en-US"/>
        </w:rPr>
        <w:t>strekpunkt</w:t>
      </w:r>
      <w:proofErr w:type="spellEnd"/>
      <w:r w:rsidRPr="000F78D3">
        <w:rPr>
          <w:lang w:val="en-US"/>
        </w:rPr>
        <w:t xml:space="preserve"> </w:t>
      </w:r>
      <w:proofErr w:type="spellStart"/>
      <w:r w:rsidRPr="000F78D3">
        <w:rPr>
          <w:lang w:val="en-US"/>
        </w:rPr>
        <w:t>tillater</w:t>
      </w:r>
      <w:proofErr w:type="spellEnd"/>
      <w:r w:rsidRPr="000F78D3">
        <w:rPr>
          <w:lang w:val="en-US"/>
        </w:rPr>
        <w:t xml:space="preserve"> </w:t>
      </w:r>
      <w:proofErr w:type="spellStart"/>
      <w:r w:rsidRPr="000F78D3">
        <w:rPr>
          <w:lang w:val="en-US"/>
        </w:rPr>
        <w:t>uttak</w:t>
      </w:r>
      <w:proofErr w:type="spellEnd"/>
      <w:r w:rsidRPr="000F78D3">
        <w:rPr>
          <w:lang w:val="en-US"/>
        </w:rPr>
        <w:t xml:space="preserve"> </w:t>
      </w:r>
      <w:r w:rsidR="00CD439F">
        <w:rPr>
          <w:lang w:val="en-US"/>
        </w:rPr>
        <w:t>«</w:t>
      </w:r>
      <w:r w:rsidRPr="000F78D3">
        <w:rPr>
          <w:lang w:val="en-US"/>
        </w:rPr>
        <w:t>in the interests of public health and safety, air safety or other overriding public interests</w:t>
      </w:r>
      <w:r w:rsidR="00CD439F">
        <w:rPr>
          <w:lang w:val="en-US"/>
        </w:rPr>
        <w:t>»</w:t>
      </w:r>
      <w:r w:rsidRPr="000F78D3">
        <w:rPr>
          <w:lang w:val="en-US"/>
        </w:rPr>
        <w:t xml:space="preserve">. </w:t>
      </w:r>
      <w:r>
        <w:t xml:space="preserve">Disse kravene er drøftet i </w:t>
      </w:r>
      <w:r w:rsidR="00CD439F">
        <w:t>Meld. St. 2</w:t>
      </w:r>
      <w:r>
        <w:t>1 (2015</w:t>
      </w:r>
      <w:r w:rsidR="007B7151">
        <w:t>–</w:t>
      </w:r>
      <w:r>
        <w:t xml:space="preserve">2016) og ulveforliket av 2016, og ble for norsk retts vedkommende avklart av Høyesterett i sakene </w:t>
      </w:r>
      <w:r w:rsidRPr="00CD439F">
        <w:rPr>
          <w:rStyle w:val="kursiv"/>
        </w:rPr>
        <w:t>Ulvefelling I</w:t>
      </w:r>
      <w:r w:rsidRPr="00EE6050">
        <w:t xml:space="preserve"> (HR-2021-662-A)</w:t>
      </w:r>
      <w:r>
        <w:t xml:space="preserve"> og </w:t>
      </w:r>
      <w:r w:rsidRPr="00CD439F">
        <w:rPr>
          <w:rStyle w:val="kursiv"/>
        </w:rPr>
        <w:t>Ulvefelling II</w:t>
      </w:r>
      <w:r w:rsidRPr="00EE6050">
        <w:t xml:space="preserve"> (HR-2023-936-A)</w:t>
      </w:r>
      <w:r>
        <w:t xml:space="preserve"> i forbindelse med tolkningen av de tilsvarende vilkårene i naturmangfoldloven </w:t>
      </w:r>
      <w:r w:rsidR="00CD439F">
        <w:t>§ 1</w:t>
      </w:r>
      <w:r>
        <w:t>8.</w:t>
      </w:r>
    </w:p>
    <w:p w14:paraId="64CAA86B" w14:textId="1B89CB0C" w:rsidR="00D52BD6" w:rsidRDefault="00D52BD6" w:rsidP="00D52BD6">
      <w:r>
        <w:t xml:space="preserve">Utvalget legger til grunn at nødvendig felling av rovdyr for å beskytte reindrift kan begrunnes enten ut fra å hindre </w:t>
      </w:r>
      <w:r w:rsidR="00CD439F">
        <w:t>«</w:t>
      </w:r>
      <w:proofErr w:type="spellStart"/>
      <w:r>
        <w:t>serious</w:t>
      </w:r>
      <w:proofErr w:type="spellEnd"/>
      <w:r>
        <w:t xml:space="preserve"> </w:t>
      </w:r>
      <w:proofErr w:type="spellStart"/>
      <w:r>
        <w:t>damage</w:t>
      </w:r>
      <w:proofErr w:type="spellEnd"/>
      <w:r w:rsidR="00CD439F">
        <w:t>»</w:t>
      </w:r>
      <w:r>
        <w:t xml:space="preserve"> på de aktuelle reinflokkene eller ut fra at overholdelse av folkerettslige urfolksforpliktelser er å anse som </w:t>
      </w:r>
      <w:r w:rsidR="00CD439F">
        <w:t>«</w:t>
      </w:r>
      <w:proofErr w:type="spellStart"/>
      <w:r>
        <w:t>other</w:t>
      </w:r>
      <w:proofErr w:type="spellEnd"/>
      <w:r>
        <w:t xml:space="preserve"> overriding </w:t>
      </w:r>
      <w:proofErr w:type="spellStart"/>
      <w:r>
        <w:t>public</w:t>
      </w:r>
      <w:proofErr w:type="spellEnd"/>
      <w:r>
        <w:t xml:space="preserve"> </w:t>
      </w:r>
      <w:proofErr w:type="spellStart"/>
      <w:r>
        <w:t>interests</w:t>
      </w:r>
      <w:proofErr w:type="spellEnd"/>
      <w:r w:rsidR="00CD439F">
        <w:t>»</w:t>
      </w:r>
      <w:r>
        <w:t>. Nytten av jakt og felling av rovdyr for vern av reindriften avhenger imidlertid av, for det første, terskelen for tillatelse av uttak og dernest av saksbehandlingstiden for søknader om uttak. I rovviltforvaltningen skilles det mellom kvotejakt, lisensfelling og skadefelling</w:t>
      </w:r>
      <w:r w:rsidRPr="47A0B628">
        <w:t xml:space="preserve"> (se rovviltforskriften </w:t>
      </w:r>
      <w:r w:rsidR="00CD439F">
        <w:t>§ </w:t>
      </w:r>
      <w:r w:rsidR="00CD439F" w:rsidRPr="47A0B628">
        <w:t>3</w:t>
      </w:r>
      <w:r w:rsidRPr="47A0B628">
        <w:t>)</w:t>
      </w:r>
      <w:r>
        <w:t xml:space="preserve">. Riksrevisjonen konkluderte i sin rapport fra 2018 med at </w:t>
      </w:r>
      <w:r w:rsidR="00CD439F">
        <w:t>«</w:t>
      </w:r>
      <w:r>
        <w:t>lisensfelling fungerer som virkemiddel for å regulere de fleste rovviltbestandene</w:t>
      </w:r>
      <w:r w:rsidR="00CD439F">
        <w:t>»</w:t>
      </w:r>
      <w:r w:rsidR="00CD439F" w:rsidRPr="00CD439F">
        <w:rPr>
          <w:rStyle w:val="Fotnotereferanse"/>
        </w:rPr>
        <w:footnoteReference w:id="247"/>
      </w:r>
      <w:r>
        <w:t xml:space="preserve"> mens </w:t>
      </w:r>
      <w:r w:rsidR="00CD439F">
        <w:t>«</w:t>
      </w:r>
      <w:r>
        <w:t>Stortingets forutsetning om en effektiv skadefelling i liten grad er oppfylt</w:t>
      </w:r>
      <w:r w:rsidR="00CD439F">
        <w:t>»</w:t>
      </w:r>
      <w:r>
        <w:t>.</w:t>
      </w:r>
      <w:r w:rsidR="00CD439F" w:rsidRPr="00CD439F">
        <w:rPr>
          <w:rStyle w:val="Fotnotereferanse"/>
        </w:rPr>
        <w:footnoteReference w:id="248"/>
      </w:r>
    </w:p>
    <w:p w14:paraId="616CD7C4" w14:textId="14530695" w:rsidR="00D52BD6" w:rsidRDefault="00D52BD6" w:rsidP="00D52BD6">
      <w:r>
        <w:t xml:space="preserve">Det framgår av utredningen </w:t>
      </w:r>
      <w:r w:rsidRPr="00CD439F">
        <w:rPr>
          <w:rStyle w:val="kursiv"/>
        </w:rPr>
        <w:t>Oppdrag rovvilt og tamrein</w:t>
      </w:r>
      <w:r w:rsidRPr="005816B9">
        <w:t xml:space="preserve"> (2024)</w:t>
      </w:r>
      <w:r>
        <w:t>, utført av</w:t>
      </w:r>
      <w:r w:rsidRPr="005816B9">
        <w:t xml:space="preserve"> Miljødirektoratet og Landbruksdirektoratet</w:t>
      </w:r>
      <w:r>
        <w:t>,</w:t>
      </w:r>
      <w:r w:rsidRPr="005816B9">
        <w:t xml:space="preserve"> </w:t>
      </w:r>
      <w:r>
        <w:t>at d</w:t>
      </w:r>
      <w:r w:rsidRPr="008E46C7">
        <w:t xml:space="preserve">et skal være en lavere </w:t>
      </w:r>
      <w:r w:rsidRPr="006D15A0">
        <w:t>terskel</w:t>
      </w:r>
      <w:r w:rsidRPr="008E46C7">
        <w:t xml:space="preserve"> for uttak av rovvilt i </w:t>
      </w:r>
      <w:r>
        <w:t xml:space="preserve">reinens </w:t>
      </w:r>
      <w:proofErr w:type="spellStart"/>
      <w:r w:rsidRPr="008E46C7">
        <w:t>kalvingsområder</w:t>
      </w:r>
      <w:proofErr w:type="spellEnd"/>
      <w:r w:rsidRPr="008E46C7">
        <w:t xml:space="preserve">, men </w:t>
      </w:r>
      <w:r>
        <w:t>at terskelen</w:t>
      </w:r>
      <w:r w:rsidRPr="008E46C7">
        <w:t xml:space="preserve"> </w:t>
      </w:r>
      <w:r>
        <w:t xml:space="preserve">også </w:t>
      </w:r>
      <w:r w:rsidRPr="008E46C7">
        <w:t xml:space="preserve">avhenger av </w:t>
      </w:r>
      <w:r>
        <w:t xml:space="preserve">om det aktuelle bestandsmålet er </w:t>
      </w:r>
      <w:r>
        <w:lastRenderedPageBreak/>
        <w:t>nådd.</w:t>
      </w:r>
      <w:r w:rsidR="00CD439F" w:rsidRPr="00CD439F">
        <w:rPr>
          <w:rStyle w:val="Fotnotereferanse"/>
        </w:rPr>
        <w:footnoteReference w:id="249"/>
      </w:r>
      <w:r>
        <w:t xml:space="preserve"> I brevet av 12. november 2015 </w:t>
      </w:r>
      <w:r w:rsidRPr="00CD439F">
        <w:rPr>
          <w:rStyle w:val="kursiv"/>
        </w:rPr>
        <w:t>Praktisering av rovviltforliket</w:t>
      </w:r>
      <w:r>
        <w:t xml:space="preserve"> fra Klima- og miljødepartementet vises det til at departementet i brev av 9. juli 2014 har klargjort vilkår og vurdering av skadefelling av rovdyr og hva som ligger i begrepet </w:t>
      </w:r>
      <w:r w:rsidR="00CD439F">
        <w:t>«</w:t>
      </w:r>
      <w:r>
        <w:t>skadepotensial</w:t>
      </w:r>
      <w:r w:rsidR="00CD439F">
        <w:t>»</w:t>
      </w:r>
      <w:r>
        <w:t xml:space="preserve">. I det sistnevnte brevet står det ikke noe om tilstedeværelse av rovvilt i kalvings- og oppvekstområder som kriterier for felling. Og i brev av 12. mars 2015 har departementet </w:t>
      </w:r>
      <w:r w:rsidR="00CD439F">
        <w:t>«</w:t>
      </w:r>
      <w:r>
        <w:t xml:space="preserve">synliggjort hvilke avveininger som skal gjøres der det er </w:t>
      </w:r>
      <w:proofErr w:type="spellStart"/>
      <w:r>
        <w:t>kalvingsområder</w:t>
      </w:r>
      <w:proofErr w:type="spellEnd"/>
      <w:r>
        <w:t xml:space="preserve"> for tamrein i prioriterte rovviltområder</w:t>
      </w:r>
      <w:r w:rsidR="00CD439F">
        <w:t>»</w:t>
      </w:r>
      <w:r>
        <w:t>. I dette brevet åpnes det for en lavere terskel for å ta ut rovdyr i kalvingstida, men det er bestandsmålene for rovdyra som skal være førende:</w:t>
      </w:r>
    </w:p>
    <w:p w14:paraId="0443CB0C" w14:textId="679329CD" w:rsidR="00D52BD6" w:rsidRPr="00CD439F" w:rsidRDefault="00CD439F" w:rsidP="00D52BD6">
      <w:pPr>
        <w:pStyle w:val="blokksit"/>
        <w:ind w:left="757"/>
      </w:pPr>
      <w:r>
        <w:t>«</w:t>
      </w:r>
      <w:r w:rsidR="00D52BD6" w:rsidRPr="00CD439F">
        <w:t xml:space="preserve">Befinner et </w:t>
      </w:r>
      <w:proofErr w:type="spellStart"/>
      <w:r w:rsidR="00D52BD6" w:rsidRPr="00CD439F">
        <w:t>kalvingsområde</w:t>
      </w:r>
      <w:proofErr w:type="spellEnd"/>
      <w:r w:rsidR="00D52BD6" w:rsidRPr="00CD439F">
        <w:t xml:space="preserve"> seg i et prioritert yngleområde for rovdyr fastsatt i forvaltningsplanen er utgangspunktet at reindrifta skal tilpasses rovviltforekomsten i området. Det er derfor viktig at det arbeides videre med forebyggende tiltak i slike områder.</w:t>
      </w:r>
    </w:p>
    <w:p w14:paraId="6F14440D" w14:textId="04D596C9" w:rsidR="00D52BD6" w:rsidRPr="00CD439F" w:rsidRDefault="00D52BD6" w:rsidP="00D52BD6">
      <w:pPr>
        <w:pStyle w:val="blokksit"/>
        <w:ind w:left="757"/>
      </w:pPr>
      <w:proofErr w:type="spellStart"/>
      <w:r w:rsidRPr="00CD439F">
        <w:t>Kalvingsområdene</w:t>
      </w:r>
      <w:proofErr w:type="spellEnd"/>
      <w:r w:rsidRPr="00CD439F">
        <w:t xml:space="preserve"> for tamrein er imidlertid i en spesiell situasjon, da kalvingstida er en særlig sårbar periode for rovdyrskader. Det er derfor viktig både med langsiktig arbeid og planlegging, men også en høy beredskap med mål om rask avklaring av akutte skadesituasjoner. Dette innebærer at det for å forebygge rovdyrskader skal være en lavere terskel for å ta ut rovdyr i kalvingstida også i prioriterte yngleområder enn det ellers ville ha vært i slike områder. Når det foreligger rom innenfor rammen av bestandsmålet</w:t>
      </w:r>
      <w:r w:rsidRPr="00CD439F">
        <w:rPr>
          <w:rStyle w:val="halvfet"/>
        </w:rPr>
        <w:t xml:space="preserve"> </w:t>
      </w:r>
      <w:r w:rsidRPr="00CD439F">
        <w:t xml:space="preserve">for aktuell rovviltart, og øvrige omstendigheter taler for at det ikke finnes noen annen tilfredsstillende løsning, skal felling av skadegjører i </w:t>
      </w:r>
      <w:proofErr w:type="spellStart"/>
      <w:r w:rsidRPr="00CD439F">
        <w:t>kalvingsområdene</w:t>
      </w:r>
      <w:proofErr w:type="spellEnd"/>
      <w:r w:rsidRPr="00CD439F">
        <w:t xml:space="preserve"> vurderes</w:t>
      </w:r>
      <w:r w:rsidRPr="00CD439F">
        <w:rPr>
          <w:rStyle w:val="halvfet"/>
        </w:rPr>
        <w:t xml:space="preserve"> </w:t>
      </w:r>
      <w:r w:rsidRPr="00CD439F">
        <w:t>også i tilfeller hvor området samtidig er et prioritert yngleområde for rovdyr.</w:t>
      </w:r>
      <w:r w:rsidR="00CD439F">
        <w:t>»</w:t>
      </w:r>
      <w:r w:rsidRPr="00CD439F">
        <w:t xml:space="preserve"> (uthevet her)</w:t>
      </w:r>
    </w:p>
    <w:p w14:paraId="11541C17" w14:textId="2F972335" w:rsidR="00D52BD6" w:rsidRDefault="00D52BD6" w:rsidP="00D52BD6">
      <w:r>
        <w:t xml:space="preserve">I brevet av 12. november 2015 gis det uttrykk også for en prioritering av rovvilt når det understrekes </w:t>
      </w:r>
      <w:r w:rsidR="00CD439F">
        <w:t>«</w:t>
      </w:r>
      <w:r>
        <w:t>at beitebruk i de rovviltprioriterte områdene må tilpasse seg forekomsten av rovvilt, jf. rovviltforliket.</w:t>
      </w:r>
      <w:r w:rsidR="00CD439F">
        <w:t>»</w:t>
      </w:r>
      <w:r>
        <w:t xml:space="preserve"> Det er etter dette uklart for Utvalget om terskelen, særlig i kalvings- og oppvekstområder for rein, er senket så vidt mye at reindriften har et effektivt vern, slik at de internasjonale urfolksforpliktelsene kan ivaretas, og hvordan rovviltorganene skal forholde seg til en eventuell konflikt mellom Bernkonvensjonen og urfolksforpliktelsene.</w:t>
      </w:r>
    </w:p>
    <w:p w14:paraId="6BABBC27" w14:textId="4206A8EB" w:rsidR="00D52BD6" w:rsidRDefault="00D52BD6" w:rsidP="00D52BD6">
      <w:r>
        <w:t xml:space="preserve">Betydningen av fellingsregimet avhenger også av hvilke krav som stilles til </w:t>
      </w:r>
      <w:r w:rsidRPr="00D6799A">
        <w:t>dokumentasjon</w:t>
      </w:r>
      <w:r>
        <w:t xml:space="preserve"> av skadepotensialet og hvor lang tid saksbehandlingen tar. </w:t>
      </w:r>
      <w:r w:rsidRPr="005816B9">
        <w:t xml:space="preserve">I rovviltforliket av 2011 </w:t>
      </w:r>
      <w:r>
        <w:t>stilte</w:t>
      </w:r>
      <w:r w:rsidRPr="005816B9">
        <w:t xml:space="preserve"> Stortinget</w:t>
      </w:r>
      <w:r>
        <w:t xml:space="preserve"> krav om at </w:t>
      </w:r>
      <w:r w:rsidR="00CD439F">
        <w:t>«</w:t>
      </w:r>
      <w:r>
        <w:t>[d]</w:t>
      </w:r>
      <w:r w:rsidRPr="005816B9">
        <w:t xml:space="preserve">et skal være en </w:t>
      </w:r>
      <w:r w:rsidRPr="00CD439F">
        <w:rPr>
          <w:rStyle w:val="kursiv"/>
        </w:rPr>
        <w:t>rask behandling</w:t>
      </w:r>
      <w:r w:rsidRPr="005816B9">
        <w:t xml:space="preserve"> av skadefellingssøknader </w:t>
      </w:r>
      <w:r w:rsidRPr="00CD439F">
        <w:rPr>
          <w:rStyle w:val="kursiv"/>
        </w:rPr>
        <w:t>i beitesesongen</w:t>
      </w:r>
      <w:r w:rsidRPr="005816B9">
        <w:t xml:space="preserve">. For søknader og klager knyttet til lisensfelling, kvotejakt og skadefellinger </w:t>
      </w:r>
      <w:r w:rsidRPr="00CD439F">
        <w:rPr>
          <w:rStyle w:val="kursiv"/>
        </w:rPr>
        <w:t>utenfor beitesesongen</w:t>
      </w:r>
      <w:r w:rsidRPr="005816B9">
        <w:t xml:space="preserve"> skal forvaltningen så langt det er mulig </w:t>
      </w:r>
      <w:r w:rsidRPr="005816B9">
        <w:lastRenderedPageBreak/>
        <w:t xml:space="preserve">gjennomføre en så rask behandling at saken </w:t>
      </w:r>
      <w:r w:rsidRPr="00CD439F">
        <w:rPr>
          <w:rStyle w:val="kursiv"/>
        </w:rPr>
        <w:t>ikke mister aktualitet</w:t>
      </w:r>
      <w:r w:rsidRPr="005816B9">
        <w:t>.</w:t>
      </w:r>
      <w:r w:rsidR="00CD439F" w:rsidRPr="00CD439F">
        <w:rPr>
          <w:rStyle w:val="Fotnotereferanse"/>
        </w:rPr>
        <w:footnoteReference w:id="250"/>
      </w:r>
      <w:r>
        <w:t xml:space="preserve"> </w:t>
      </w:r>
      <w:r w:rsidRPr="005816B9">
        <w:t xml:space="preserve">I forskningsrapporten </w:t>
      </w:r>
      <w:r w:rsidRPr="00CD439F">
        <w:rPr>
          <w:rStyle w:val="kursiv"/>
        </w:rPr>
        <w:t>Tap av tamrein</w:t>
      </w:r>
      <w:r w:rsidR="00303661" w:rsidRPr="00CD439F">
        <w:rPr>
          <w:rStyle w:val="kursiv"/>
        </w:rPr>
        <w:t xml:space="preserve"> – </w:t>
      </w:r>
      <w:r w:rsidRPr="00CD439F">
        <w:rPr>
          <w:rStyle w:val="kursiv"/>
        </w:rPr>
        <w:t>et kunnskapsgrunnlag</w:t>
      </w:r>
      <w:r w:rsidRPr="005816B9">
        <w:t xml:space="preserve"> (2019) påpekes </w:t>
      </w:r>
      <w:r>
        <w:t xml:space="preserve">betydningen av at </w:t>
      </w:r>
      <w:r w:rsidR="00CD439F">
        <w:t>«</w:t>
      </w:r>
      <w:r>
        <w:t>fellingsforsøket skjer raskt (fortrinnsvis innen to døgn) etter at reinen er drept</w:t>
      </w:r>
      <w:r w:rsidR="00CD439F">
        <w:t>»</w:t>
      </w:r>
      <w:r>
        <w:t>.</w:t>
      </w:r>
      <w:r w:rsidR="00CD439F" w:rsidRPr="00CD439F">
        <w:rPr>
          <w:rStyle w:val="Fotnotereferanse"/>
        </w:rPr>
        <w:footnoteReference w:id="251"/>
      </w:r>
    </w:p>
    <w:p w14:paraId="7D74257B" w14:textId="5A5AA61A" w:rsidR="00D52BD6" w:rsidRDefault="00D52BD6" w:rsidP="00D52BD6">
      <w:r w:rsidRPr="005816B9">
        <w:t xml:space="preserve">I utredningen </w:t>
      </w:r>
      <w:r w:rsidRPr="00CD439F">
        <w:rPr>
          <w:rStyle w:val="kursiv"/>
        </w:rPr>
        <w:t>Oppdrag rovvilt og tamrein</w:t>
      </w:r>
      <w:r>
        <w:t xml:space="preserve"> ble det konkludert med at </w:t>
      </w:r>
      <w:r w:rsidRPr="005816B9">
        <w:t xml:space="preserve">det er vanskelig å </w:t>
      </w:r>
      <w:r w:rsidRPr="00840F29">
        <w:t>effektivisere</w:t>
      </w:r>
      <w:r w:rsidRPr="005816B9">
        <w:t xml:space="preserve"> behandlingen av skadefellingstillatelser i første instans, men at dette er mulig i klagebehandlingen – forutsatt tilføring av økte ressurser.</w:t>
      </w:r>
      <w:r w:rsidR="00CD439F" w:rsidRPr="00CD439F">
        <w:rPr>
          <w:rStyle w:val="Fotnotereferanse"/>
        </w:rPr>
        <w:footnoteReference w:id="252"/>
      </w:r>
      <w:r w:rsidRPr="005816B9">
        <w:t xml:space="preserve"> </w:t>
      </w:r>
      <w:r>
        <w:t>I utredningen framgår det at en relativt stor andel av søknadene om skadefelling blir avslått i førsteinstansen (86 avslag og 116 tillatelser i 2023), og at det</w:t>
      </w:r>
      <w:r w:rsidR="00303661">
        <w:t xml:space="preserve"> </w:t>
      </w:r>
      <w:r w:rsidR="00CD439F">
        <w:t>«</w:t>
      </w:r>
      <w:r w:rsidRPr="00A92B41">
        <w:t>er relativt sjelden at saker som angår akutte skadesituasjoner blir ferdig behandlet av andreinstans mens situasjonen fortsatt er pågående</w:t>
      </w:r>
      <w:r w:rsidR="00CD439F">
        <w:t>»</w:t>
      </w:r>
      <w:r>
        <w:t>.</w:t>
      </w:r>
      <w:r w:rsidR="00CD439F" w:rsidRPr="00CD439F">
        <w:rPr>
          <w:rStyle w:val="Fotnotereferanse"/>
        </w:rPr>
        <w:footnoteReference w:id="253"/>
      </w:r>
      <w:r>
        <w:t xml:space="preserve"> </w:t>
      </w:r>
      <w:r w:rsidRPr="0E32E05E">
        <w:t xml:space="preserve">Det påpekes videre at </w:t>
      </w:r>
      <w:r w:rsidR="00CD439F">
        <w:t>«</w:t>
      </w:r>
      <w:r w:rsidRPr="00A92B41">
        <w:t>perioden mellom 15. februar og 1. juni er yngletid for rovviltartene. I denne perioden bør det generelt være en høyere terskel for uttak</w:t>
      </w:r>
      <w:r w:rsidR="00CD439F">
        <w:t>»</w:t>
      </w:r>
      <w:r w:rsidRPr="0E32E05E">
        <w:t>.</w:t>
      </w:r>
      <w:r w:rsidR="00CD439F" w:rsidRPr="00CD439F">
        <w:rPr>
          <w:rStyle w:val="Fotnotereferanse"/>
        </w:rPr>
        <w:footnoteReference w:id="254"/>
      </w:r>
      <w:r w:rsidRPr="0E32E05E">
        <w:t xml:space="preserve"> Men, som påpekt i </w:t>
      </w:r>
      <w:r w:rsidR="00CD439F">
        <w:t>Meld. St. 2</w:t>
      </w:r>
      <w:r>
        <w:t xml:space="preserve">1 (2015–2016) </w:t>
      </w:r>
      <w:r w:rsidRPr="00CD439F">
        <w:rPr>
          <w:rStyle w:val="kursiv"/>
        </w:rPr>
        <w:t>Ulv i norsk natur. Bestandsmål for ulv og ulvesone</w:t>
      </w:r>
      <w:r>
        <w:t xml:space="preserve">, er reinen </w:t>
      </w:r>
      <w:r w:rsidR="00CD439F">
        <w:t>«</w:t>
      </w:r>
      <w:r w:rsidRPr="00A92B41">
        <w:t>særlig sårbar for tap til rovdyr på senvinteren og i kalvingsperioden om våren</w:t>
      </w:r>
      <w:r w:rsidR="00CD439F">
        <w:t>»</w:t>
      </w:r>
      <w:r>
        <w:t>.</w:t>
      </w:r>
      <w:r w:rsidR="00CD439F" w:rsidRPr="00CD439F">
        <w:rPr>
          <w:rStyle w:val="Fotnotereferanse"/>
        </w:rPr>
        <w:footnoteReference w:id="255"/>
      </w:r>
      <w:r>
        <w:t xml:space="preserve"> Denne problemstillingen nevnes ikke i rapporten.</w:t>
      </w:r>
    </w:p>
    <w:p w14:paraId="0C56E8CF" w14:textId="652DD3D0" w:rsidR="00D52BD6" w:rsidRDefault="00D52BD6" w:rsidP="00D52BD6">
      <w:r>
        <w:t xml:space="preserve">Utvalget minner om Riksrevisjonens konklusjon om at </w:t>
      </w:r>
      <w:r w:rsidR="00CD439F">
        <w:t>«</w:t>
      </w:r>
      <w:r>
        <w:t>Stortingets forutsetning om en effektiv skadefelling i liten grad er oppfylt</w:t>
      </w:r>
      <w:r w:rsidR="00CD439F">
        <w:t>»</w:t>
      </w:r>
      <w:r>
        <w:t>. Det er mye som tyder på at Stortingets forutsetninger heller ikke er oppfylt i dag. Dette begrenser også skadefelling som virkemiddel til å oppfylle de folkerettslige urfolksforpliktelsene.</w:t>
      </w:r>
    </w:p>
    <w:p w14:paraId="788CEEEF" w14:textId="2997C201" w:rsidR="00D52BD6" w:rsidRDefault="00D52BD6" w:rsidP="00D52BD6">
      <w:pPr>
        <w:pStyle w:val="Overskrift4"/>
      </w:pPr>
      <w:r>
        <w:t>Forebyggende tiltak</w:t>
      </w:r>
    </w:p>
    <w:p w14:paraId="52DAF734" w14:textId="0813BA2B" w:rsidR="00303661" w:rsidRDefault="00D52BD6" w:rsidP="00D52BD6">
      <w:r w:rsidRPr="00E63E0D">
        <w:t xml:space="preserve">Det er etter Bernkonvensjonen et krav om at felling av rovdyr bare kan skje dersom det er </w:t>
      </w:r>
      <w:r w:rsidR="00CD439F">
        <w:t>«</w:t>
      </w:r>
      <w:proofErr w:type="spellStart"/>
      <w:r w:rsidRPr="00E63E0D">
        <w:t>no</w:t>
      </w:r>
      <w:proofErr w:type="spellEnd"/>
      <w:r w:rsidRPr="00E63E0D">
        <w:t xml:space="preserve"> </w:t>
      </w:r>
      <w:proofErr w:type="spellStart"/>
      <w:r w:rsidRPr="00E63E0D">
        <w:t>other</w:t>
      </w:r>
      <w:proofErr w:type="spellEnd"/>
      <w:r w:rsidRPr="00E63E0D">
        <w:t xml:space="preserve"> </w:t>
      </w:r>
      <w:proofErr w:type="spellStart"/>
      <w:r w:rsidRPr="00E63E0D">
        <w:t>satisfactory</w:t>
      </w:r>
      <w:proofErr w:type="spellEnd"/>
      <w:r w:rsidRPr="00E63E0D">
        <w:t xml:space="preserve"> </w:t>
      </w:r>
      <w:proofErr w:type="spellStart"/>
      <w:r w:rsidRPr="00E63E0D">
        <w:t>solution</w:t>
      </w:r>
      <w:proofErr w:type="spellEnd"/>
      <w:r w:rsidR="00CD439F">
        <w:t>»</w:t>
      </w:r>
      <w:r w:rsidRPr="00E63E0D">
        <w:t>. Dette innebærer at i den grad forebyggende tiltak mot angrep fra rovvilt er tilgjengelige, må slike tiltak iverksettes før felling kan tillates. Staten har etter FN-konvensjonen artikkel 27 en plikt til å iverksette positive tiltak for å beskytte den samiske kulturen, og dette må også omfatte vern mot rovvilt.</w:t>
      </w:r>
    </w:p>
    <w:p w14:paraId="00E59F02" w14:textId="5B462FCB" w:rsidR="00303661" w:rsidRDefault="00D52BD6" w:rsidP="00D52BD6">
      <w:pPr>
        <w:rPr>
          <w:rFonts w:cs="Times New Roman"/>
        </w:rPr>
      </w:pPr>
      <w:r w:rsidRPr="00E63E0D">
        <w:rPr>
          <w:rFonts w:cs="Times New Roman"/>
        </w:rPr>
        <w:t>Krav om forebyggende tiltak følger videre av hensynet til dyrevelferd. I regjeringens dyrevelferdsmelding (</w:t>
      </w:r>
      <w:r w:rsidR="00CD439F">
        <w:rPr>
          <w:rFonts w:cs="Times New Roman"/>
        </w:rPr>
        <w:t xml:space="preserve">Meld. St. </w:t>
      </w:r>
      <w:r w:rsidR="00CD439F" w:rsidRPr="00E63E0D">
        <w:rPr>
          <w:rFonts w:cs="Times New Roman"/>
        </w:rPr>
        <w:t>8</w:t>
      </w:r>
      <w:r w:rsidRPr="00E63E0D">
        <w:rPr>
          <w:rFonts w:cs="Times New Roman"/>
        </w:rPr>
        <w:t xml:space="preserve"> (2024–2025) sies det: </w:t>
      </w:r>
      <w:r w:rsidR="00CD439F">
        <w:rPr>
          <w:rFonts w:cs="Times New Roman"/>
        </w:rPr>
        <w:t>«</w:t>
      </w:r>
      <w:r w:rsidRPr="00E63E0D">
        <w:rPr>
          <w:rFonts w:cs="Times New Roman"/>
        </w:rPr>
        <w:t>Det er store lidelser forbundet med tap på beite, og tapstallene er i enkelte områder uakseptabelt høye.</w:t>
      </w:r>
      <w:r w:rsidR="00CD439F">
        <w:rPr>
          <w:rFonts w:cs="Times New Roman"/>
        </w:rPr>
        <w:t>»</w:t>
      </w:r>
      <w:r w:rsidR="00CD439F" w:rsidRPr="00CD439F">
        <w:rPr>
          <w:rStyle w:val="Fotnotereferanse"/>
        </w:rPr>
        <w:footnoteReference w:id="256"/>
      </w:r>
      <w:r w:rsidRPr="00E63E0D">
        <w:rPr>
          <w:rFonts w:cs="Times New Roman"/>
        </w:rPr>
        <w:t xml:space="preserve"> </w:t>
      </w:r>
      <w:r w:rsidRPr="00E63E0D">
        <w:t xml:space="preserve">Reineier og </w:t>
      </w:r>
      <w:r w:rsidRPr="00E63E0D">
        <w:lastRenderedPageBreak/>
        <w:t xml:space="preserve">andre med ansvar for dyr skal sikre at reinen har tilfredsstillende velferd og ikke utsettes for unødig smerte. Dyrevelferdsloven (LOV-2009-06-19-97) </w:t>
      </w:r>
      <w:r w:rsidR="00CD439F">
        <w:t>§ </w:t>
      </w:r>
      <w:r w:rsidR="00CD439F" w:rsidRPr="00E63E0D">
        <w:t>3</w:t>
      </w:r>
      <w:r w:rsidRPr="00E63E0D">
        <w:t xml:space="preserve"> slår fast at </w:t>
      </w:r>
      <w:r w:rsidR="00CD439F">
        <w:t>«</w:t>
      </w:r>
      <w:r w:rsidRPr="00E63E0D">
        <w:rPr>
          <w:rFonts w:cs="Times New Roman"/>
        </w:rPr>
        <w:t>Dyr skal behandles godt og beskyttes mot fare for unødige påkjenninger og belastninger</w:t>
      </w:r>
      <w:r w:rsidR="00CD439F">
        <w:rPr>
          <w:rFonts w:cs="Times New Roman"/>
        </w:rPr>
        <w:t>»</w:t>
      </w:r>
      <w:r w:rsidRPr="00E63E0D">
        <w:rPr>
          <w:rFonts w:cs="Times New Roman"/>
        </w:rPr>
        <w:t>.</w:t>
      </w:r>
    </w:p>
    <w:p w14:paraId="05F63AF9" w14:textId="1E56623A" w:rsidR="00D52BD6" w:rsidRPr="00E63E0D" w:rsidRDefault="00D52BD6" w:rsidP="00D52BD6">
      <w:pPr>
        <w:rPr>
          <w:rFonts w:cs="Times New Roman"/>
        </w:rPr>
      </w:pPr>
      <w:r w:rsidRPr="00E63E0D">
        <w:rPr>
          <w:rFonts w:cs="Times New Roman"/>
        </w:rPr>
        <w:t xml:space="preserve">For forholdet til tamrein på beite og dens beskyttelse mot rovdyr er særlig </w:t>
      </w:r>
      <w:r w:rsidR="00CD439F">
        <w:rPr>
          <w:rFonts w:cs="Times New Roman"/>
        </w:rPr>
        <w:t>§ </w:t>
      </w:r>
      <w:r w:rsidR="00CD439F" w:rsidRPr="00E63E0D">
        <w:rPr>
          <w:rFonts w:cs="Times New Roman"/>
        </w:rPr>
        <w:t>8</w:t>
      </w:r>
      <w:r w:rsidRPr="00E63E0D">
        <w:rPr>
          <w:rFonts w:cs="Times New Roman"/>
        </w:rPr>
        <w:t xml:space="preserve"> relevant. </w:t>
      </w:r>
      <w:r w:rsidR="00CD439F">
        <w:rPr>
          <w:rFonts w:cs="Times New Roman"/>
        </w:rPr>
        <w:t>§ </w:t>
      </w:r>
      <w:r w:rsidR="00CD439F" w:rsidRPr="00E63E0D">
        <w:rPr>
          <w:rFonts w:cs="Times New Roman"/>
        </w:rPr>
        <w:t>8</w:t>
      </w:r>
      <w:r w:rsidRPr="00E63E0D">
        <w:rPr>
          <w:rFonts w:cs="Times New Roman"/>
        </w:rPr>
        <w:t xml:space="preserve"> sier at </w:t>
      </w:r>
      <w:r w:rsidR="00CD439F">
        <w:rPr>
          <w:rFonts w:cs="Times New Roman"/>
        </w:rPr>
        <w:t>«</w:t>
      </w:r>
      <w:r w:rsidRPr="00E63E0D">
        <w:rPr>
          <w:rFonts w:cs="Times New Roman"/>
        </w:rPr>
        <w:t>Dyr som holdes varig eller regelmessig utendørs, skal om nødvendig og mulig, beskyttes mot ugunstige værforhold, rovdyr og andre helsefarer i området</w:t>
      </w:r>
      <w:r w:rsidR="00CD439F">
        <w:rPr>
          <w:rFonts w:cs="Times New Roman"/>
        </w:rPr>
        <w:t>»</w:t>
      </w:r>
      <w:r w:rsidRPr="00E63E0D">
        <w:rPr>
          <w:rFonts w:cs="Times New Roman"/>
        </w:rPr>
        <w:t>.</w:t>
      </w:r>
    </w:p>
    <w:p w14:paraId="36698B5C" w14:textId="77777777" w:rsidR="00303661" w:rsidRDefault="00D52BD6" w:rsidP="00D52BD6">
      <w:pPr>
        <w:rPr>
          <w:rFonts w:cs="Times New Roman"/>
        </w:rPr>
      </w:pPr>
      <w:r w:rsidRPr="00E63E0D">
        <w:rPr>
          <w:rFonts w:cs="Times New Roman"/>
        </w:rPr>
        <w:t>Denne bestemmelsen er basert på punkt 12 i vedlegget til direktiv 98/58/EF (produksjonsdyrdirektivet), som er del av EØS-avtalen:</w:t>
      </w:r>
    </w:p>
    <w:p w14:paraId="509EC885" w14:textId="7717749A" w:rsidR="00D52BD6" w:rsidRPr="00CD439F" w:rsidRDefault="00CD439F" w:rsidP="00E63E0D">
      <w:pPr>
        <w:pStyle w:val="blokksit"/>
        <w:ind w:left="757"/>
      </w:pPr>
      <w:r>
        <w:rPr>
          <w:rFonts w:cs="Times New Roman"/>
          <w:color w:val="032C2F"/>
        </w:rPr>
        <w:t>«</w:t>
      </w:r>
      <w:proofErr w:type="spellStart"/>
      <w:r w:rsidR="00D52BD6" w:rsidRPr="00CD439F">
        <w:t>Animals</w:t>
      </w:r>
      <w:proofErr w:type="spellEnd"/>
      <w:r w:rsidR="00D52BD6" w:rsidRPr="00CD439F">
        <w:t xml:space="preserve"> not </w:t>
      </w:r>
      <w:proofErr w:type="spellStart"/>
      <w:r w:rsidR="00D52BD6" w:rsidRPr="00CD439F">
        <w:t>kept</w:t>
      </w:r>
      <w:proofErr w:type="spellEnd"/>
      <w:r w:rsidR="00D52BD6" w:rsidRPr="00CD439F">
        <w:t xml:space="preserve"> in </w:t>
      </w:r>
      <w:proofErr w:type="spellStart"/>
      <w:r w:rsidR="00D52BD6" w:rsidRPr="00CD439F">
        <w:t>buildings</w:t>
      </w:r>
      <w:proofErr w:type="spellEnd"/>
      <w:r w:rsidR="00D52BD6" w:rsidRPr="00CD439F">
        <w:t xml:space="preserve"> </w:t>
      </w:r>
      <w:proofErr w:type="spellStart"/>
      <w:r w:rsidR="00D52BD6" w:rsidRPr="00CD439F">
        <w:t>shall</w:t>
      </w:r>
      <w:proofErr w:type="spellEnd"/>
      <w:r w:rsidR="00D52BD6" w:rsidRPr="00CD439F">
        <w:t xml:space="preserve"> </w:t>
      </w:r>
      <w:proofErr w:type="spellStart"/>
      <w:r w:rsidR="00D52BD6" w:rsidRPr="00CD439F">
        <w:t>where</w:t>
      </w:r>
      <w:proofErr w:type="spellEnd"/>
      <w:r w:rsidR="00D52BD6" w:rsidRPr="00CD439F">
        <w:t xml:space="preserve"> </w:t>
      </w:r>
      <w:proofErr w:type="spellStart"/>
      <w:r w:rsidR="00D52BD6" w:rsidRPr="00CD439F">
        <w:t>necessary</w:t>
      </w:r>
      <w:proofErr w:type="spellEnd"/>
      <w:r w:rsidR="00D52BD6" w:rsidRPr="00CD439F">
        <w:t xml:space="preserve"> and </w:t>
      </w:r>
      <w:proofErr w:type="spellStart"/>
      <w:r w:rsidR="00D52BD6" w:rsidRPr="00CD439F">
        <w:t>possible</w:t>
      </w:r>
      <w:proofErr w:type="spellEnd"/>
      <w:r w:rsidR="00D52BD6" w:rsidRPr="00CD439F">
        <w:t xml:space="preserve"> be given </w:t>
      </w:r>
      <w:proofErr w:type="spellStart"/>
      <w:r w:rsidR="00D52BD6" w:rsidRPr="00CD439F">
        <w:t>protection</w:t>
      </w:r>
      <w:proofErr w:type="spellEnd"/>
      <w:r w:rsidR="00D52BD6" w:rsidRPr="00CD439F">
        <w:t xml:space="preserve"> from </w:t>
      </w:r>
      <w:proofErr w:type="spellStart"/>
      <w:r w:rsidR="00D52BD6" w:rsidRPr="00CD439F">
        <w:t>adverse</w:t>
      </w:r>
      <w:proofErr w:type="spellEnd"/>
      <w:r w:rsidR="00D52BD6" w:rsidRPr="00CD439F">
        <w:t xml:space="preserve"> </w:t>
      </w:r>
      <w:proofErr w:type="spellStart"/>
      <w:r w:rsidR="00D52BD6" w:rsidRPr="00CD439F">
        <w:t>weather</w:t>
      </w:r>
      <w:proofErr w:type="spellEnd"/>
      <w:r w:rsidR="00D52BD6" w:rsidRPr="00CD439F">
        <w:t xml:space="preserve"> </w:t>
      </w:r>
      <w:proofErr w:type="spellStart"/>
      <w:r w:rsidR="00D52BD6" w:rsidRPr="00CD439F">
        <w:t>conditions</w:t>
      </w:r>
      <w:proofErr w:type="spellEnd"/>
      <w:r w:rsidR="00D52BD6" w:rsidRPr="00CD439F">
        <w:t xml:space="preserve">, predators and risks to </w:t>
      </w:r>
      <w:proofErr w:type="spellStart"/>
      <w:r w:rsidR="00D52BD6" w:rsidRPr="00CD439F">
        <w:t>their</w:t>
      </w:r>
      <w:proofErr w:type="spellEnd"/>
      <w:r w:rsidR="00D52BD6" w:rsidRPr="00CD439F">
        <w:t xml:space="preserve"> </w:t>
      </w:r>
      <w:proofErr w:type="spellStart"/>
      <w:r w:rsidR="00D52BD6" w:rsidRPr="00CD439F">
        <w:t>health</w:t>
      </w:r>
      <w:proofErr w:type="spellEnd"/>
      <w:r w:rsidR="00D52BD6" w:rsidRPr="00CD439F">
        <w:t>.</w:t>
      </w:r>
      <w:r>
        <w:rPr>
          <w:rFonts w:cs="Times New Roman"/>
          <w:color w:val="032C2F"/>
        </w:rPr>
        <w:t>»</w:t>
      </w:r>
    </w:p>
    <w:p w14:paraId="15909715" w14:textId="46A91BC6" w:rsidR="00D52BD6" w:rsidRDefault="00D52BD6" w:rsidP="00D52BD6">
      <w:r w:rsidRPr="00E63E0D">
        <w:rPr>
          <w:rFonts w:cs="Times New Roman"/>
        </w:rPr>
        <w:t>Reineierne har derfor en rettslig plikt til å beskytte dyrene sine mot rovdyr dersom det er nødvendig og mulig.</w:t>
      </w:r>
    </w:p>
    <w:p w14:paraId="41C2147D" w14:textId="1C876EBE" w:rsidR="00303661" w:rsidRDefault="00D52BD6" w:rsidP="00D52BD6">
      <w:r w:rsidRPr="005816B9">
        <w:t xml:space="preserve">Det ble allerede i </w:t>
      </w:r>
      <w:r w:rsidR="00CD439F">
        <w:t xml:space="preserve">St.meld. nr. </w:t>
      </w:r>
      <w:r w:rsidR="00CD439F" w:rsidRPr="005816B9">
        <w:t>15</w:t>
      </w:r>
      <w:r w:rsidRPr="005816B9">
        <w:t xml:space="preserve"> (2003</w:t>
      </w:r>
      <w:r w:rsidR="004679EC">
        <w:t>–</w:t>
      </w:r>
      <w:r w:rsidRPr="005816B9">
        <w:t xml:space="preserve">2004) </w:t>
      </w:r>
      <w:r w:rsidRPr="00CD439F">
        <w:rPr>
          <w:rStyle w:val="kursiv"/>
        </w:rPr>
        <w:t>Rovvilt i norsk natur</w:t>
      </w:r>
      <w:r w:rsidRPr="005816B9">
        <w:t xml:space="preserve"> uttalt</w:t>
      </w:r>
      <w:r>
        <w:t xml:space="preserve"> at </w:t>
      </w:r>
      <w:r w:rsidR="00CD439F">
        <w:t>«</w:t>
      </w:r>
      <w:r w:rsidRPr="00F752DA">
        <w:t>det finnes få kostnadseffektive tapsforebyggende tiltak</w:t>
      </w:r>
      <w:r w:rsidRPr="005816B9">
        <w:t xml:space="preserve"> som kan kombineres med reindriftens tradisjonelle driftsmønster og metoder</w:t>
      </w:r>
      <w:r w:rsidR="00CD439F">
        <w:t>»</w:t>
      </w:r>
      <w:r w:rsidRPr="005816B9">
        <w:t>.</w:t>
      </w:r>
      <w:r w:rsidR="00CD439F" w:rsidRPr="00CD439F">
        <w:rPr>
          <w:rStyle w:val="Fotnotereferanse"/>
        </w:rPr>
        <w:footnoteReference w:id="257"/>
      </w:r>
      <w:r>
        <w:t xml:space="preserve"> Tilsvarende sies det i </w:t>
      </w:r>
      <w:r w:rsidRPr="005816B9">
        <w:t xml:space="preserve">forskningsrapporten </w:t>
      </w:r>
      <w:r w:rsidRPr="00CD439F">
        <w:rPr>
          <w:rStyle w:val="kursiv"/>
        </w:rPr>
        <w:t>Tap av tamrein</w:t>
      </w:r>
      <w:r w:rsidR="00303661" w:rsidRPr="00CD439F">
        <w:rPr>
          <w:rStyle w:val="kursiv"/>
        </w:rPr>
        <w:t xml:space="preserve"> – </w:t>
      </w:r>
      <w:r w:rsidRPr="00CD439F">
        <w:rPr>
          <w:rStyle w:val="kursiv"/>
        </w:rPr>
        <w:t>et kunnskapsgrunnlag</w:t>
      </w:r>
      <w:r w:rsidRPr="005816B9">
        <w:t xml:space="preserve"> (2019) </w:t>
      </w:r>
      <w:r>
        <w:t xml:space="preserve">at </w:t>
      </w:r>
      <w:r w:rsidR="00CD439F">
        <w:t>«</w:t>
      </w:r>
      <w:r>
        <w:t>[d]</w:t>
      </w:r>
      <w:r w:rsidRPr="005816B9">
        <w:t>et er en utfordring å finne fram til effektive, skadeforebyggende tiltak i reindrifta</w:t>
      </w:r>
      <w:r w:rsidR="00CD439F">
        <w:t>»</w:t>
      </w:r>
      <w:r>
        <w:t>.</w:t>
      </w:r>
      <w:r w:rsidR="00CD439F" w:rsidRPr="00CD439F">
        <w:rPr>
          <w:rStyle w:val="Fotnotereferanse"/>
        </w:rPr>
        <w:footnoteReference w:id="258"/>
      </w:r>
      <w:r w:rsidRPr="005816B9">
        <w:t xml:space="preserve"> </w:t>
      </w:r>
      <w:r>
        <w:t xml:space="preserve">Eksempler på forebyggende tiltak kan være </w:t>
      </w:r>
      <w:r w:rsidRPr="00EB53DF">
        <w:t>økt tilsyn med reinflokkene</w:t>
      </w:r>
      <w:r>
        <w:t xml:space="preserve">, </w:t>
      </w:r>
      <w:r w:rsidRPr="00EB53DF">
        <w:t>fôring</w:t>
      </w:r>
      <w:r>
        <w:t xml:space="preserve"> i tryggere områder, </w:t>
      </w:r>
      <w:r w:rsidRPr="00EB53DF">
        <w:t>flytting av flokker fra et rovdyrutsatt til et mindre rovdyrutsatt område</w:t>
      </w:r>
      <w:r>
        <w:t xml:space="preserve">, midlertidige gjerder i </w:t>
      </w:r>
      <w:proofErr w:type="spellStart"/>
      <w:r>
        <w:t>kalvingsområder</w:t>
      </w:r>
      <w:proofErr w:type="spellEnd"/>
      <w:r>
        <w:t xml:space="preserve"> og </w:t>
      </w:r>
      <w:r w:rsidRPr="00EB53DF">
        <w:t>styrket overvåking (radiomerking av rein</w:t>
      </w:r>
      <w:r>
        <w:t>en</w:t>
      </w:r>
      <w:r w:rsidRPr="00EB53DF">
        <w:t>/</w:t>
      </w:r>
      <w:r>
        <w:t>bruk av GPS</w:t>
      </w:r>
      <w:r w:rsidRPr="00EB53DF">
        <w:t>).</w:t>
      </w:r>
      <w:r>
        <w:t xml:space="preserve"> Flere av disse tiltakene har imidlertid ulemper. Økt tilsyn kan føre til at flokken blir skremt og </w:t>
      </w:r>
      <w:r w:rsidRPr="00EB53DF">
        <w:t xml:space="preserve">flytting kan medføre at flokken kommer inn på områder der andre distrikter eller </w:t>
      </w:r>
      <w:proofErr w:type="spellStart"/>
      <w:r w:rsidRPr="00EB53DF">
        <w:t>siidaer</w:t>
      </w:r>
      <w:proofErr w:type="spellEnd"/>
      <w:r w:rsidRPr="00EB53DF">
        <w:t xml:space="preserve"> har beiterett</w:t>
      </w:r>
      <w:r>
        <w:t xml:space="preserve">. </w:t>
      </w:r>
      <w:r w:rsidRPr="00976038">
        <w:t>Det</w:t>
      </w:r>
      <w:r>
        <w:t xml:space="preserve"> har også vært påpekt at fôring kan føre til </w:t>
      </w:r>
      <w:r w:rsidR="00CD439F">
        <w:t>«</w:t>
      </w:r>
      <w:r w:rsidRPr="00CE162D">
        <w:t>nærmere kontakt mellom dyrene over tid, og dermed økt risiko for smitte</w:t>
      </w:r>
      <w:r w:rsidR="00CD439F">
        <w:t>»</w:t>
      </w:r>
      <w:r>
        <w:t>.</w:t>
      </w:r>
      <w:r w:rsidR="00CD439F" w:rsidRPr="00CD439F">
        <w:rPr>
          <w:rStyle w:val="Fotnotereferanse"/>
        </w:rPr>
        <w:footnoteReference w:id="259"/>
      </w:r>
      <w:r>
        <w:t xml:space="preserve"> Det er derfor begrensninger i hva som kan oppnås i å begrense rovvilttapene ved forebyggende tiltak.</w:t>
      </w:r>
    </w:p>
    <w:p w14:paraId="3FFC132A" w14:textId="0A142452" w:rsidR="00E63E0D" w:rsidRDefault="00E63E0D" w:rsidP="00E63E0D">
      <w:pPr>
        <w:pStyle w:val="Overskrift4"/>
      </w:pPr>
      <w:r>
        <w:t>Kompenserende tiltak</w:t>
      </w:r>
    </w:p>
    <w:p w14:paraId="11F57220" w14:textId="71F3E189" w:rsidR="00E63E0D" w:rsidRPr="00A965E4" w:rsidRDefault="00E63E0D" w:rsidP="00E63E0D">
      <w:r>
        <w:t xml:space="preserve">Rovvilttapene har vært søkt </w:t>
      </w:r>
      <w:proofErr w:type="spellStart"/>
      <w:r>
        <w:t>avbøtet</w:t>
      </w:r>
      <w:proofErr w:type="spellEnd"/>
      <w:r>
        <w:t xml:space="preserve"> gjennom erstatning til de berørte reineierne. </w:t>
      </w:r>
      <w:r w:rsidRPr="009457E9">
        <w:t>Ifølge notat</w:t>
      </w:r>
      <w:r>
        <w:t xml:space="preserve"> Utvalget har mottatt</w:t>
      </w:r>
      <w:r w:rsidRPr="009457E9">
        <w:t xml:space="preserve"> fra </w:t>
      </w:r>
      <w:r>
        <w:t>Landbruksdirektoratet</w:t>
      </w:r>
      <w:r w:rsidRPr="009457E9">
        <w:t xml:space="preserve"> </w:t>
      </w:r>
      <w:r>
        <w:t xml:space="preserve">20. desember 2025 </w:t>
      </w:r>
      <w:r w:rsidRPr="009457E9">
        <w:t xml:space="preserve">er rovvilterstatning blitt den viktigste inntektskilden i flere distrikter. Direktoratet opplyser også at det er 11 distrikter som </w:t>
      </w:r>
      <w:r w:rsidR="00CD439F">
        <w:t>«</w:t>
      </w:r>
      <w:r w:rsidRPr="009457E9">
        <w:t>over flere år neste</w:t>
      </w:r>
      <w:r>
        <w:t>n</w:t>
      </w:r>
      <w:r w:rsidRPr="009457E9">
        <w:t xml:space="preserve"> ikke har slaktet kalv</w:t>
      </w:r>
      <w:r w:rsidR="00CD439F">
        <w:t>»</w:t>
      </w:r>
      <w:r w:rsidRPr="009457E9">
        <w:t xml:space="preserve"> og at disse distriktene uten rovvilterstatning ikke ville hatt grunnlag for videre drift. </w:t>
      </w:r>
      <w:r w:rsidRPr="79B9B88C">
        <w:lastRenderedPageBreak/>
        <w:t xml:space="preserve">Kompenserende tiltak i form av erstatning kan i konkrete tilfeller bidra til at forhold som uten erstatning kanskje ville vært i strid med </w:t>
      </w:r>
      <w:r>
        <w:t>FN-konvensjonen</w:t>
      </w:r>
      <w:r w:rsidRPr="79B9B88C">
        <w:t xml:space="preserve"> artikkel 27 ikke er det. For eksempel ved at erstatning (eventuelt i kombinasjon med ulike skadeforebyggende tiltak) gjør det mulig fortsatt å drive reindrift på en økonomisk regningssvarende måte i et område der dette ikke ville vært mulig uten erstatning/kompensasjon</w:t>
      </w:r>
      <w:r>
        <w:t xml:space="preserve">. Samtidig er det grenser for hvor langt erstatning kan kompensere for manglende mulighet til reindrift etter artikkel 27. </w:t>
      </w:r>
      <w:r w:rsidRPr="00A45708">
        <w:t xml:space="preserve">Utvalget har i kapittel 3 konkludert med at erstatning ikke kan avbøte tilfeller som ville </w:t>
      </w:r>
      <w:r w:rsidR="00CD439F">
        <w:rPr>
          <w:rFonts w:cs="Open Sans"/>
        </w:rPr>
        <w:t>«</w:t>
      </w:r>
      <w:proofErr w:type="spellStart"/>
      <w:r w:rsidRPr="00E63E0D">
        <w:rPr>
          <w:rFonts w:cs="Open Sans"/>
        </w:rPr>
        <w:t>endanger</w:t>
      </w:r>
      <w:proofErr w:type="spellEnd"/>
      <w:r w:rsidRPr="00E63E0D">
        <w:rPr>
          <w:rFonts w:cs="Open Sans"/>
        </w:rPr>
        <w:t xml:space="preserve"> </w:t>
      </w:r>
      <w:proofErr w:type="spellStart"/>
      <w:r w:rsidRPr="00E63E0D">
        <w:rPr>
          <w:rFonts w:cs="Open Sans"/>
        </w:rPr>
        <w:t>the</w:t>
      </w:r>
      <w:proofErr w:type="spellEnd"/>
      <w:r w:rsidRPr="00E63E0D">
        <w:rPr>
          <w:rFonts w:cs="Open Sans"/>
        </w:rPr>
        <w:t xml:space="preserve"> </w:t>
      </w:r>
      <w:proofErr w:type="spellStart"/>
      <w:r w:rsidRPr="00E63E0D">
        <w:rPr>
          <w:rFonts w:cs="Open Sans"/>
        </w:rPr>
        <w:t>very</w:t>
      </w:r>
      <w:proofErr w:type="spellEnd"/>
      <w:r w:rsidRPr="00E63E0D">
        <w:rPr>
          <w:rFonts w:cs="Open Sans"/>
        </w:rPr>
        <w:t xml:space="preserve"> </w:t>
      </w:r>
      <w:proofErr w:type="spellStart"/>
      <w:r w:rsidRPr="00E63E0D">
        <w:rPr>
          <w:rFonts w:cs="Open Sans"/>
        </w:rPr>
        <w:t>survival</w:t>
      </w:r>
      <w:proofErr w:type="spellEnd"/>
      <w:r w:rsidRPr="00E63E0D">
        <w:rPr>
          <w:rFonts w:cs="Open Sans"/>
        </w:rPr>
        <w:t xml:space="preserve"> </w:t>
      </w:r>
      <w:proofErr w:type="spellStart"/>
      <w:r w:rsidRPr="00E63E0D">
        <w:rPr>
          <w:rFonts w:cs="Open Sans"/>
        </w:rPr>
        <w:t>of</w:t>
      </w:r>
      <w:proofErr w:type="spellEnd"/>
      <w:r w:rsidRPr="00E63E0D">
        <w:rPr>
          <w:rFonts w:cs="Open Sans"/>
        </w:rPr>
        <w:t xml:space="preserve"> </w:t>
      </w:r>
      <w:proofErr w:type="spellStart"/>
      <w:r w:rsidRPr="00E63E0D">
        <w:rPr>
          <w:rFonts w:cs="Open Sans"/>
        </w:rPr>
        <w:t>the</w:t>
      </w:r>
      <w:proofErr w:type="spellEnd"/>
      <w:r w:rsidRPr="00E63E0D">
        <w:rPr>
          <w:rFonts w:cs="Open Sans"/>
        </w:rPr>
        <w:t xml:space="preserve"> </w:t>
      </w:r>
      <w:proofErr w:type="spellStart"/>
      <w:r w:rsidRPr="00E63E0D">
        <w:rPr>
          <w:rFonts w:cs="Open Sans"/>
        </w:rPr>
        <w:t>community</w:t>
      </w:r>
      <w:proofErr w:type="spellEnd"/>
      <w:r w:rsidRPr="00E63E0D">
        <w:rPr>
          <w:rFonts w:cs="Open Sans"/>
        </w:rPr>
        <w:t xml:space="preserve"> and </w:t>
      </w:r>
      <w:proofErr w:type="spellStart"/>
      <w:r w:rsidRPr="00E63E0D">
        <w:rPr>
          <w:rFonts w:cs="Open Sans"/>
        </w:rPr>
        <w:t>its</w:t>
      </w:r>
      <w:proofErr w:type="spellEnd"/>
      <w:r w:rsidRPr="00E63E0D">
        <w:rPr>
          <w:rFonts w:cs="Open Sans"/>
        </w:rPr>
        <w:t xml:space="preserve"> </w:t>
      </w:r>
      <w:proofErr w:type="spellStart"/>
      <w:r w:rsidRPr="00E63E0D">
        <w:rPr>
          <w:rFonts w:cs="Open Sans"/>
        </w:rPr>
        <w:t>members</w:t>
      </w:r>
      <w:proofErr w:type="spellEnd"/>
      <w:r w:rsidR="00CD439F">
        <w:rPr>
          <w:rFonts w:cs="Open Sans"/>
        </w:rPr>
        <w:t>»</w:t>
      </w:r>
      <w:r w:rsidRPr="00E63E0D">
        <w:rPr>
          <w:rFonts w:cs="Open Sans"/>
        </w:rPr>
        <w:t>.</w:t>
      </w:r>
      <w:r w:rsidR="00CD439F" w:rsidRPr="00CD439F">
        <w:rPr>
          <w:rStyle w:val="Fotnotereferanse"/>
        </w:rPr>
        <w:footnoteReference w:id="260"/>
      </w:r>
    </w:p>
    <w:p w14:paraId="7983188F" w14:textId="77777777" w:rsidR="00303661" w:rsidRDefault="00E63E0D" w:rsidP="00E63E0D">
      <w:pPr>
        <w:pStyle w:val="Overskrift4"/>
      </w:pPr>
      <w:r>
        <w:t>Bestandens overlevelse</w:t>
      </w:r>
    </w:p>
    <w:p w14:paraId="3F29B1A5" w14:textId="2D8CCD51" w:rsidR="00E63E0D" w:rsidRDefault="00E63E0D" w:rsidP="00E63E0D">
      <w:r>
        <w:t xml:space="preserve">Felling kan etter Bernkonvensjonen ikke skje dersom dette ville være </w:t>
      </w:r>
      <w:r w:rsidR="00CD439F">
        <w:t>«</w:t>
      </w:r>
      <w:proofErr w:type="spellStart"/>
      <w:r w:rsidRPr="005511B3">
        <w:t>detrimental</w:t>
      </w:r>
      <w:proofErr w:type="spellEnd"/>
      <w:r w:rsidRPr="005511B3">
        <w:t xml:space="preserve"> to </w:t>
      </w:r>
      <w:proofErr w:type="spellStart"/>
      <w:r w:rsidRPr="005511B3">
        <w:t>the</w:t>
      </w:r>
      <w:proofErr w:type="spellEnd"/>
      <w:r w:rsidRPr="005511B3">
        <w:t xml:space="preserve"> </w:t>
      </w:r>
      <w:proofErr w:type="spellStart"/>
      <w:r w:rsidRPr="005511B3">
        <w:t>survival</w:t>
      </w:r>
      <w:proofErr w:type="spellEnd"/>
      <w:r w:rsidRPr="005511B3">
        <w:t xml:space="preserve"> </w:t>
      </w:r>
      <w:proofErr w:type="spellStart"/>
      <w:r w:rsidRPr="005511B3">
        <w:t>of</w:t>
      </w:r>
      <w:proofErr w:type="spellEnd"/>
      <w:r w:rsidRPr="005511B3">
        <w:t xml:space="preserve"> </w:t>
      </w:r>
      <w:proofErr w:type="spellStart"/>
      <w:r w:rsidRPr="005511B3">
        <w:t>the</w:t>
      </w:r>
      <w:proofErr w:type="spellEnd"/>
      <w:r w:rsidRPr="005511B3">
        <w:t xml:space="preserve"> </w:t>
      </w:r>
      <w:proofErr w:type="spellStart"/>
      <w:r w:rsidRPr="005511B3">
        <w:t>population</w:t>
      </w:r>
      <w:proofErr w:type="spellEnd"/>
      <w:r w:rsidRPr="005511B3">
        <w:t xml:space="preserve"> </w:t>
      </w:r>
      <w:proofErr w:type="spellStart"/>
      <w:r w:rsidRPr="005511B3">
        <w:t>concerned</w:t>
      </w:r>
      <w:proofErr w:type="spellEnd"/>
      <w:r w:rsidR="00CD439F">
        <w:t>»</w:t>
      </w:r>
      <w:r>
        <w:t>. Oppfyllelse av de regionale bestandsmålene kan sette begrensinger for mulighetene til å få innvilget fellingstillatelse, på tross av fare for omfattende skader på voksne rein og kalver. Dette reiser spørsmål om i hvilken grad samiske rettigheter etter FN-konvensjonen artikkel 27 stiller krav til rovviltforvaltningen, jf. neste punkt.</w:t>
      </w:r>
    </w:p>
    <w:p w14:paraId="6B219E24" w14:textId="247B3C62" w:rsidR="00CC1AE8" w:rsidRDefault="00CC1AE8" w:rsidP="00CC1AE8">
      <w:pPr>
        <w:pStyle w:val="Overskrift2"/>
      </w:pPr>
      <w:bookmarkStart w:id="55" w:name="_Toc223433118"/>
      <w:r>
        <w:t>Beskyttelse av samisk kulturutøvelse</w:t>
      </w:r>
      <w:bookmarkEnd w:id="55"/>
    </w:p>
    <w:p w14:paraId="2C3AF028" w14:textId="77777777" w:rsidR="00303661" w:rsidRDefault="00CC1AE8" w:rsidP="00CC1AE8">
      <w:r w:rsidRPr="16BFE32F">
        <w:t xml:space="preserve">Vi har i kapittel 3 konkludert med at vurderingen av om </w:t>
      </w:r>
      <w:r>
        <w:t>FN-konvensjonen</w:t>
      </w:r>
      <w:r w:rsidRPr="16BFE32F">
        <w:t xml:space="preserve"> artikkel 27 er overtrådt,</w:t>
      </w:r>
      <w:r>
        <w:t xml:space="preserve"> er sammensatt</w:t>
      </w:r>
      <w:r w:rsidRPr="16BFE32F">
        <w:t>. Det avgjørende vil være omfanget av virkningene av et inngrep vil ha på den lokale reindriften, eller for enkelte reineiere i området.</w:t>
      </w:r>
    </w:p>
    <w:p w14:paraId="796D6D59" w14:textId="35522AA6" w:rsidR="00CC1AE8" w:rsidRDefault="00CC1AE8" w:rsidP="00CC1AE8">
      <w:r>
        <w:t xml:space="preserve">Staten har ikke bare en plikt til å avstå fra å iverksette tiltak som overskrider det tillatte omfanget av virkninger, men har også plikt til å iverksette positive tiltak for å hindre at urfolk blir utsatt for slike virkninger. Et nylig eksempel er at FNs menneskerettighetskomité i saken </w:t>
      </w:r>
      <w:r w:rsidRPr="00CD439F">
        <w:rPr>
          <w:rStyle w:val="kursiv"/>
        </w:rPr>
        <w:t>Daniel Billy m.fl. mot Australia</w:t>
      </w:r>
      <w:r>
        <w:t xml:space="preserve"> (2022) kom til at </w:t>
      </w:r>
      <w:r w:rsidRPr="00E27C5B">
        <w:t>Australia ikke i tilstrekkelig grad hadde iverksatt tiltak for å beskytte urbefolkningen på Torres Island mot de negative virkningene av klimaendringene, og at dette blant annet var et brudd på statens positive forpliktelser etter artikkel 27.</w:t>
      </w:r>
      <w:r>
        <w:t xml:space="preserve"> Tilsvarende må norske myndigheter hindre at reindriften utsettes for rovvilttap som kan true samisk kultur.</w:t>
      </w:r>
    </w:p>
    <w:p w14:paraId="50D72123" w14:textId="40CBB9FC" w:rsidR="00CC1AE8" w:rsidRDefault="00CC1AE8" w:rsidP="00CC1AE8">
      <w:r>
        <w:t xml:space="preserve">Når det gjelder omfanget av inngrep som skal til for at terskelen i artikkel 27 er overtrådt, har MRK uttalt at inngrep som </w:t>
      </w:r>
      <w:r w:rsidRPr="00CC1AE8">
        <w:rPr>
          <w:rFonts w:cs="Open Sans"/>
        </w:rPr>
        <w:t xml:space="preserve">har </w:t>
      </w:r>
      <w:r w:rsidR="00CD439F">
        <w:rPr>
          <w:rFonts w:cs="Open Sans"/>
        </w:rPr>
        <w:t>«</w:t>
      </w:r>
      <w:r w:rsidRPr="00CC1AE8">
        <w:rPr>
          <w:rFonts w:cs="Open Sans"/>
        </w:rPr>
        <w:t xml:space="preserve">a </w:t>
      </w:r>
      <w:proofErr w:type="spellStart"/>
      <w:r w:rsidRPr="00CC1AE8">
        <w:rPr>
          <w:rFonts w:cs="Open Sans"/>
        </w:rPr>
        <w:t>certain</w:t>
      </w:r>
      <w:proofErr w:type="spellEnd"/>
      <w:r w:rsidRPr="00CC1AE8">
        <w:rPr>
          <w:rFonts w:cs="Open Sans"/>
        </w:rPr>
        <w:t xml:space="preserve"> </w:t>
      </w:r>
      <w:proofErr w:type="spellStart"/>
      <w:r w:rsidRPr="00CC1AE8">
        <w:rPr>
          <w:rFonts w:cs="Open Sans"/>
        </w:rPr>
        <w:t>limited</w:t>
      </w:r>
      <w:proofErr w:type="spellEnd"/>
      <w:r w:rsidRPr="00CC1AE8">
        <w:rPr>
          <w:rFonts w:cs="Open Sans"/>
        </w:rPr>
        <w:t xml:space="preserve"> </w:t>
      </w:r>
      <w:proofErr w:type="spellStart"/>
      <w:r w:rsidRPr="00CC1AE8">
        <w:rPr>
          <w:rFonts w:cs="Open Sans"/>
        </w:rPr>
        <w:t>impact</w:t>
      </w:r>
      <w:proofErr w:type="spellEnd"/>
      <w:r w:rsidRPr="00CC1AE8">
        <w:rPr>
          <w:rFonts w:cs="Open Sans"/>
        </w:rPr>
        <w:t xml:space="preserve"> </w:t>
      </w:r>
      <w:proofErr w:type="spellStart"/>
      <w:r w:rsidRPr="00CC1AE8">
        <w:rPr>
          <w:rFonts w:cs="Open Sans"/>
        </w:rPr>
        <w:t>on</w:t>
      </w:r>
      <w:proofErr w:type="spellEnd"/>
      <w:r w:rsidRPr="00CC1AE8">
        <w:rPr>
          <w:rFonts w:cs="Open Sans"/>
        </w:rPr>
        <w:t xml:space="preserve"> </w:t>
      </w:r>
      <w:proofErr w:type="spellStart"/>
      <w:r w:rsidRPr="00CC1AE8">
        <w:rPr>
          <w:rFonts w:cs="Open Sans"/>
        </w:rPr>
        <w:t>the</w:t>
      </w:r>
      <w:proofErr w:type="spellEnd"/>
      <w:r w:rsidRPr="00CC1AE8">
        <w:rPr>
          <w:rFonts w:cs="Open Sans"/>
        </w:rPr>
        <w:t xml:space="preserve"> </w:t>
      </w:r>
      <w:proofErr w:type="spellStart"/>
      <w:r w:rsidRPr="00CC1AE8">
        <w:rPr>
          <w:rFonts w:cs="Open Sans"/>
        </w:rPr>
        <w:t>way</w:t>
      </w:r>
      <w:proofErr w:type="spellEnd"/>
      <w:r w:rsidRPr="00CC1AE8">
        <w:rPr>
          <w:rFonts w:cs="Open Sans"/>
        </w:rPr>
        <w:t xml:space="preserve"> </w:t>
      </w:r>
      <w:proofErr w:type="spellStart"/>
      <w:r w:rsidRPr="00CC1AE8">
        <w:rPr>
          <w:rFonts w:cs="Open Sans"/>
        </w:rPr>
        <w:t>of</w:t>
      </w:r>
      <w:proofErr w:type="spellEnd"/>
      <w:r w:rsidRPr="00CC1AE8">
        <w:rPr>
          <w:rFonts w:cs="Open Sans"/>
        </w:rPr>
        <w:t xml:space="preserve"> </w:t>
      </w:r>
      <w:proofErr w:type="spellStart"/>
      <w:r w:rsidRPr="00CC1AE8">
        <w:rPr>
          <w:rFonts w:cs="Open Sans"/>
        </w:rPr>
        <w:t>life</w:t>
      </w:r>
      <w:proofErr w:type="spellEnd"/>
      <w:r w:rsidRPr="00CC1AE8">
        <w:rPr>
          <w:rFonts w:cs="Open Sans"/>
        </w:rPr>
        <w:t xml:space="preserve"> </w:t>
      </w:r>
      <w:proofErr w:type="spellStart"/>
      <w:r w:rsidRPr="00CC1AE8">
        <w:rPr>
          <w:rFonts w:cs="Open Sans"/>
        </w:rPr>
        <w:t>of</w:t>
      </w:r>
      <w:proofErr w:type="spellEnd"/>
      <w:r w:rsidRPr="00CC1AE8">
        <w:rPr>
          <w:rFonts w:cs="Open Sans"/>
        </w:rPr>
        <w:t xml:space="preserve"> persons </w:t>
      </w:r>
      <w:proofErr w:type="spellStart"/>
      <w:r w:rsidRPr="00CC1AE8">
        <w:rPr>
          <w:rFonts w:cs="Open Sans"/>
        </w:rPr>
        <w:t>belonging</w:t>
      </w:r>
      <w:proofErr w:type="spellEnd"/>
      <w:r w:rsidRPr="00CC1AE8">
        <w:rPr>
          <w:rFonts w:cs="Open Sans"/>
        </w:rPr>
        <w:t xml:space="preserve"> to a </w:t>
      </w:r>
      <w:proofErr w:type="spellStart"/>
      <w:r w:rsidRPr="00CC1AE8">
        <w:rPr>
          <w:rFonts w:cs="Open Sans"/>
        </w:rPr>
        <w:t>minority</w:t>
      </w:r>
      <w:proofErr w:type="spellEnd"/>
      <w:r w:rsidR="00CD439F">
        <w:rPr>
          <w:rFonts w:cs="Open Sans"/>
        </w:rPr>
        <w:t>»</w:t>
      </w:r>
      <w:r w:rsidRPr="00CC1AE8">
        <w:rPr>
          <w:rFonts w:cs="Open Sans"/>
        </w:rPr>
        <w:t xml:space="preserve"> ikke nødvendigvis (</w:t>
      </w:r>
      <w:r w:rsidR="00CD439F">
        <w:rPr>
          <w:rFonts w:cs="Open Sans"/>
        </w:rPr>
        <w:t>«</w:t>
      </w:r>
      <w:r w:rsidRPr="00CC1AE8">
        <w:rPr>
          <w:rFonts w:cs="Open Sans"/>
        </w:rPr>
        <w:t xml:space="preserve">not </w:t>
      </w:r>
      <w:proofErr w:type="spellStart"/>
      <w:r w:rsidRPr="00CC1AE8">
        <w:rPr>
          <w:rFonts w:cs="Open Sans"/>
        </w:rPr>
        <w:t>necessarily</w:t>
      </w:r>
      <w:proofErr w:type="spellEnd"/>
      <w:r w:rsidR="00CD439F">
        <w:rPr>
          <w:rFonts w:cs="Open Sans"/>
        </w:rPr>
        <w:t>»</w:t>
      </w:r>
      <w:r w:rsidRPr="00CC1AE8">
        <w:rPr>
          <w:rFonts w:cs="Open Sans"/>
        </w:rPr>
        <w:t xml:space="preserve">) vil være i strid med SP artikkel 27. Men komiteen har ved formuleringen </w:t>
      </w:r>
      <w:r w:rsidR="00CD439F">
        <w:rPr>
          <w:rFonts w:cs="Open Sans"/>
        </w:rPr>
        <w:t>«</w:t>
      </w:r>
      <w:r w:rsidRPr="00CC1AE8">
        <w:rPr>
          <w:rFonts w:cs="Open Sans"/>
        </w:rPr>
        <w:t xml:space="preserve">not </w:t>
      </w:r>
      <w:proofErr w:type="spellStart"/>
      <w:r w:rsidRPr="00CC1AE8">
        <w:rPr>
          <w:rFonts w:cs="Open Sans"/>
        </w:rPr>
        <w:t>necessarily</w:t>
      </w:r>
      <w:proofErr w:type="spellEnd"/>
      <w:r w:rsidR="00CD439F">
        <w:rPr>
          <w:rFonts w:cs="Open Sans"/>
        </w:rPr>
        <w:t>»</w:t>
      </w:r>
      <w:r w:rsidRPr="00CC1AE8">
        <w:rPr>
          <w:rFonts w:cs="Open Sans"/>
        </w:rPr>
        <w:t xml:space="preserve"> åpnet for at </w:t>
      </w:r>
      <w:r w:rsidRPr="00CC1AE8">
        <w:rPr>
          <w:rFonts w:cs="Open Sans"/>
        </w:rPr>
        <w:lastRenderedPageBreak/>
        <w:t>det unntaksvis kan tenkes tilfeller der også slike inngrep kan utgjøre et konvensjonsbrudd.</w:t>
      </w:r>
    </w:p>
    <w:p w14:paraId="09ECCCE2" w14:textId="30A3E173" w:rsidR="00CC1AE8" w:rsidRDefault="00CC1AE8" w:rsidP="00CC1AE8">
      <w:r w:rsidRPr="2FB46E9B">
        <w:t xml:space="preserve">På den andre siden vil inngrep som representerer </w:t>
      </w:r>
      <w:r>
        <w:t xml:space="preserve">en </w:t>
      </w:r>
      <w:r w:rsidR="00CD439F">
        <w:t>«</w:t>
      </w:r>
      <w:proofErr w:type="spellStart"/>
      <w:r>
        <w:t>substantive</w:t>
      </w:r>
      <w:proofErr w:type="spellEnd"/>
      <w:r>
        <w:t xml:space="preserve"> negative </w:t>
      </w:r>
      <w:proofErr w:type="spellStart"/>
      <w:r>
        <w:t>impact</w:t>
      </w:r>
      <w:proofErr w:type="spellEnd"/>
      <w:r w:rsidR="00CD439F">
        <w:t>»</w:t>
      </w:r>
      <w:r>
        <w:t xml:space="preserve"> på den lokale reindriften innebære en overtredelse av artikkel 27, med mindre det iverksettes adekvate kompenserende tiltak. Slike tiltak kan tenkes i form av erstatning, men dette kan bare anvendes så langt dette gjør det mulig å fortsette en tradisjonell reindrift med økonomisk utbytte. Konsultasjoner og deltakelse i beslutningsprosessene samt utarbeidelse av konsekvensanalyser kan være virkemidler for å overholde statens forpliktelser etter artikkel 27, men vil ikke være tilstrekkelige dersom reindriftens overlevelse i et område trues (</w:t>
      </w:r>
      <w:r w:rsidR="00CD439F">
        <w:t>«</w:t>
      </w:r>
      <w:proofErr w:type="spellStart"/>
      <w:r>
        <w:t>endanger</w:t>
      </w:r>
      <w:proofErr w:type="spellEnd"/>
      <w:r>
        <w:t xml:space="preserve"> </w:t>
      </w:r>
      <w:proofErr w:type="spellStart"/>
      <w:r>
        <w:t>the</w:t>
      </w:r>
      <w:proofErr w:type="spellEnd"/>
      <w:r>
        <w:t xml:space="preserve"> </w:t>
      </w:r>
      <w:proofErr w:type="spellStart"/>
      <w:r>
        <w:t>very</w:t>
      </w:r>
      <w:proofErr w:type="spellEnd"/>
      <w:r>
        <w:t xml:space="preserve"> </w:t>
      </w:r>
      <w:proofErr w:type="spellStart"/>
      <w:r>
        <w:t>survival</w:t>
      </w:r>
      <w:proofErr w:type="spellEnd"/>
      <w:r w:rsidR="00CD439F">
        <w:t>»</w:t>
      </w:r>
      <w:r>
        <w:t>).</w:t>
      </w:r>
    </w:p>
    <w:p w14:paraId="38BC7A2D" w14:textId="322AF0BB" w:rsidR="00CC1AE8" w:rsidRDefault="00CC1AE8" w:rsidP="00CC1AE8">
      <w:r>
        <w:t>Utvalget har, som det fremgår av kapittel 2, lagt til grunn at det totale årlige tapet av tamrein til rovvilt er på omtrent 2</w:t>
      </w:r>
      <w:r w:rsidR="00CD439F">
        <w:t>0 000</w:t>
      </w:r>
      <w:r>
        <w:t xml:space="preserve"> dyr. Men, som vi også har påpekt, finnes det store lokale variasjoner, og disse tapene kan være betydelig større enn de totale tapene kan gi inntrykk av. F</w:t>
      </w:r>
      <w:r w:rsidRPr="005816B9">
        <w:t xml:space="preserve">orskningsrapporten </w:t>
      </w:r>
      <w:r w:rsidRPr="00CD439F">
        <w:rPr>
          <w:rStyle w:val="kursiv"/>
        </w:rPr>
        <w:t xml:space="preserve">Kartlegging av forskning på reindriftsområdet – kunnskapsgrunnlag og forskningsbehov </w:t>
      </w:r>
      <w:r w:rsidRPr="005816B9">
        <w:t xml:space="preserve">(2021) </w:t>
      </w:r>
      <w:r>
        <w:t>konkluderer med</w:t>
      </w:r>
      <w:r w:rsidRPr="005816B9">
        <w:t xml:space="preserve"> at </w:t>
      </w:r>
      <w:r>
        <w:t xml:space="preserve">rovvilt </w:t>
      </w:r>
      <w:r w:rsidR="00CD439F">
        <w:t>«</w:t>
      </w:r>
      <w:r>
        <w:t xml:space="preserve">utvilsomt [er] </w:t>
      </w:r>
      <w:r w:rsidRPr="005816B9">
        <w:t xml:space="preserve">en </w:t>
      </w:r>
      <w:r w:rsidRPr="00E27C5B">
        <w:t>betydelig tapsfaktor</w:t>
      </w:r>
      <w:r w:rsidRPr="005816B9">
        <w:t xml:space="preserve"> i mange reinbeitedistrikter</w:t>
      </w:r>
      <w:r w:rsidR="00CD439F">
        <w:t>»</w:t>
      </w:r>
      <w:r>
        <w:t xml:space="preserve">. I </w:t>
      </w:r>
      <w:proofErr w:type="spellStart"/>
      <w:r w:rsidR="00CD439F" w:rsidRPr="00D11D47">
        <w:t>Prop</w:t>
      </w:r>
      <w:proofErr w:type="spellEnd"/>
      <w:r w:rsidR="00CD439F" w:rsidRPr="00D11D47">
        <w:t>. 143</w:t>
      </w:r>
      <w:r w:rsidR="00CD439F">
        <w:t xml:space="preserve"> </w:t>
      </w:r>
      <w:r w:rsidR="00CD439F" w:rsidRPr="00D11D47">
        <w:t xml:space="preserve">S </w:t>
      </w:r>
      <w:r w:rsidRPr="00D11D47">
        <w:t xml:space="preserve">2024–2025 </w:t>
      </w:r>
      <w:r w:rsidRPr="00CD439F">
        <w:rPr>
          <w:rStyle w:val="kursiv"/>
        </w:rPr>
        <w:t>Endringer i statsbudsjettet 2025 under Landbruks- og matdepartementet. (Reindriftsavtalen 2025/2026)</w:t>
      </w:r>
      <w:r>
        <w:t xml:space="preserve"> konstateres det at opp mot halvparten av kalveproduksjonen vært erstattet som tapt til rovvilt i enkelte reinbeitedistrikter. </w:t>
      </w:r>
      <w:r w:rsidRPr="005816B9">
        <w:t xml:space="preserve">I rapporten </w:t>
      </w:r>
      <w:r w:rsidRPr="00CD439F">
        <w:rPr>
          <w:rStyle w:val="kursiv"/>
        </w:rPr>
        <w:t>Oppdrag rovvilt og tamrein</w:t>
      </w:r>
      <w:r w:rsidRPr="005816B9">
        <w:t xml:space="preserve"> (2024) </w:t>
      </w:r>
      <w:r>
        <w:t>konstaterer</w:t>
      </w:r>
      <w:r w:rsidRPr="005816B9">
        <w:t xml:space="preserve"> Miljødirektoratet og Landbruksdirektoratet</w:t>
      </w:r>
      <w:r>
        <w:t xml:space="preserve"> at gaupe, jerv og kongeørn er de de viktigste tapsårsakene for rovvilt, mens det bare er en liten andel av tamreintapene som erstattes som tapt til bjørn og ulv.</w:t>
      </w:r>
    </w:p>
    <w:p w14:paraId="08E4A86C" w14:textId="35A3D012" w:rsidR="00303661" w:rsidRDefault="00CC1AE8" w:rsidP="00CC1AE8">
      <w:r w:rsidRPr="2FB46E9B">
        <w:t xml:space="preserve">I et notat innhentet av </w:t>
      </w:r>
      <w:r>
        <w:t>u</w:t>
      </w:r>
      <w:r w:rsidRPr="2FB46E9B">
        <w:t>tvalget fra Landbruksdirektoratet av 28. januar 2026, med tilleggsinformasjon av 2. februar 2026, påpekes vanskelighetene med å konkludere sikkert om hvilke reinbeiteområder og -distrikter som er mest utsatt for rovdyrtap, men det er valgt ut enkelte distrikter for nærmere analyse. Finnmark har de høyeste tapstallene, men også det høyeste antall rein. Finnmark har 7</w:t>
      </w:r>
      <w:r w:rsidR="00CD439F" w:rsidRPr="2FB46E9B">
        <w:t>0</w:t>
      </w:r>
      <w:r w:rsidR="00CD439F">
        <w:t> %</w:t>
      </w:r>
      <w:r w:rsidRPr="2FB46E9B">
        <w:t xml:space="preserve"> av antall rein i Norge, men mottar 4</w:t>
      </w:r>
      <w:r w:rsidR="00CD439F" w:rsidRPr="2FB46E9B">
        <w:t>4</w:t>
      </w:r>
      <w:r w:rsidR="00CD439F">
        <w:t> %</w:t>
      </w:r>
      <w:r w:rsidRPr="2FB46E9B">
        <w:t xml:space="preserve"> av erstatningsutbetalingen for rovvilttap. Troms, Nordland og Nord-Trøndelag har hver </w:t>
      </w:r>
      <w:r w:rsidR="00CD439F" w:rsidRPr="2FB46E9B">
        <w:t>6</w:t>
      </w:r>
      <w:r w:rsidR="00CD439F">
        <w:t> %</w:t>
      </w:r>
      <w:r w:rsidRPr="2FB46E9B">
        <w:t xml:space="preserve"> av antallet av rein, men mottar henholdsvis 1</w:t>
      </w:r>
      <w:r w:rsidR="00CD439F" w:rsidRPr="2FB46E9B">
        <w:t>2</w:t>
      </w:r>
      <w:r w:rsidR="00CD439F">
        <w:t> %</w:t>
      </w:r>
      <w:r w:rsidRPr="2FB46E9B">
        <w:t>, 1</w:t>
      </w:r>
      <w:r w:rsidR="00CD439F" w:rsidRPr="2FB46E9B">
        <w:t>9</w:t>
      </w:r>
      <w:r w:rsidR="00CD439F">
        <w:t> %</w:t>
      </w:r>
      <w:r w:rsidRPr="2FB46E9B">
        <w:t xml:space="preserve"> og 1</w:t>
      </w:r>
      <w:r w:rsidR="00CD439F" w:rsidRPr="2FB46E9B">
        <w:t>7</w:t>
      </w:r>
      <w:r w:rsidR="00CD439F">
        <w:t> %</w:t>
      </w:r>
      <w:r w:rsidRPr="2FB46E9B">
        <w:t xml:space="preserve"> av rovvilterstatningen. Det er særlig de lokale tapene i Nordland som peker seg ut. I reinbeitedistriktet </w:t>
      </w:r>
      <w:proofErr w:type="spellStart"/>
      <w:r w:rsidRPr="2FB46E9B">
        <w:t>Voegelh</w:t>
      </w:r>
      <w:proofErr w:type="spellEnd"/>
      <w:r w:rsidRPr="2FB46E9B">
        <w:t xml:space="preserve"> </w:t>
      </w:r>
      <w:proofErr w:type="spellStart"/>
      <w:r w:rsidRPr="2FB46E9B">
        <w:t>Njarke</w:t>
      </w:r>
      <w:proofErr w:type="spellEnd"/>
      <w:r w:rsidRPr="2FB46E9B">
        <w:t xml:space="preserve"> er kalvetapet til rovdyr i forhold til fødte kalver oppgitt til 6</w:t>
      </w:r>
      <w:r w:rsidR="00CD439F" w:rsidRPr="2FB46E9B">
        <w:t>8</w:t>
      </w:r>
      <w:r w:rsidR="00CD439F">
        <w:t> %</w:t>
      </w:r>
      <w:r w:rsidRPr="2FB46E9B">
        <w:t xml:space="preserve">. I Skjomen er det tilsvarende tallet </w:t>
      </w:r>
      <w:r w:rsidR="00CD439F">
        <w:t>«</w:t>
      </w:r>
      <w:r w:rsidRPr="2FB46E9B">
        <w:t>bare</w:t>
      </w:r>
      <w:r w:rsidR="00CD439F">
        <w:t>»</w:t>
      </w:r>
      <w:r w:rsidRPr="2FB46E9B">
        <w:t xml:space="preserve"> 2</w:t>
      </w:r>
      <w:r w:rsidR="00CD439F" w:rsidRPr="2FB46E9B">
        <w:t>9</w:t>
      </w:r>
      <w:r w:rsidR="00CD439F">
        <w:t> %</w:t>
      </w:r>
      <w:r w:rsidRPr="2FB46E9B">
        <w:t>, men også her er situasjonen problematisk. I de øvrige tre distriktene som er omtalt fra Nordland reinbeiteområde er kalvetapet henholdsvis 6</w:t>
      </w:r>
      <w:r w:rsidR="00CD439F" w:rsidRPr="2FB46E9B">
        <w:t>0</w:t>
      </w:r>
      <w:r w:rsidR="00CD439F">
        <w:t> %</w:t>
      </w:r>
      <w:r w:rsidRPr="2FB46E9B">
        <w:t xml:space="preserve"> (</w:t>
      </w:r>
      <w:proofErr w:type="spellStart"/>
      <w:r w:rsidRPr="2FB46E9B">
        <w:t>Jillen</w:t>
      </w:r>
      <w:proofErr w:type="spellEnd"/>
      <w:r w:rsidRPr="2FB46E9B">
        <w:t xml:space="preserve"> </w:t>
      </w:r>
      <w:proofErr w:type="spellStart"/>
      <w:r w:rsidRPr="2FB46E9B">
        <w:t>Njarke</w:t>
      </w:r>
      <w:proofErr w:type="spellEnd"/>
      <w:r w:rsidRPr="2FB46E9B">
        <w:t>), 5</w:t>
      </w:r>
      <w:r w:rsidR="00CD439F" w:rsidRPr="2FB46E9B">
        <w:t>8</w:t>
      </w:r>
      <w:r w:rsidR="00CD439F">
        <w:t> %</w:t>
      </w:r>
      <w:r w:rsidRPr="2FB46E9B">
        <w:t xml:space="preserve"> (</w:t>
      </w:r>
      <w:proofErr w:type="spellStart"/>
      <w:r w:rsidRPr="2FB46E9B">
        <w:t>Balvann</w:t>
      </w:r>
      <w:proofErr w:type="spellEnd"/>
      <w:r w:rsidRPr="2FB46E9B">
        <w:t>) og 6</w:t>
      </w:r>
      <w:r w:rsidR="00CD439F" w:rsidRPr="2FB46E9B">
        <w:t>0</w:t>
      </w:r>
      <w:r w:rsidR="00CD439F">
        <w:t> %</w:t>
      </w:r>
      <w:r w:rsidRPr="2FB46E9B">
        <w:t xml:space="preserve"> (</w:t>
      </w:r>
      <w:proofErr w:type="spellStart"/>
      <w:r w:rsidRPr="2FB46E9B">
        <w:t>Duokta</w:t>
      </w:r>
      <w:proofErr w:type="spellEnd"/>
      <w:r w:rsidRPr="2FB46E9B">
        <w:t>). Flere av distriktene forteller at rovvilttapene er så store at de ikke kan ta ut slaktedyr uten at dette fører til redusert reintall, og at de dermed risikerer å miste hele produksjonsgrunnlaget.</w:t>
      </w:r>
    </w:p>
    <w:p w14:paraId="48527F21" w14:textId="77E8ECC1" w:rsidR="00CC1AE8" w:rsidRPr="00CF1818" w:rsidRDefault="00CC1AE8" w:rsidP="00CC1AE8">
      <w:r>
        <w:lastRenderedPageBreak/>
        <w:t>Utvalgets mandat omfatter ikke å bestemme om FN-konvensjonens artikkel 27 er overtrådt i visse reinbeiteområder. Men de opplysningene som er innhentet gir god grunn til å spørre om terskelen for å kunne drive på en regningssvarende måte (</w:t>
      </w:r>
      <w:r w:rsidR="00CD439F">
        <w:t>«</w:t>
      </w:r>
      <w:proofErr w:type="spellStart"/>
      <w:r>
        <w:t>substantive</w:t>
      </w:r>
      <w:proofErr w:type="spellEnd"/>
      <w:r>
        <w:t xml:space="preserve"> negative </w:t>
      </w:r>
      <w:proofErr w:type="spellStart"/>
      <w:r>
        <w:t>impact</w:t>
      </w:r>
      <w:proofErr w:type="spellEnd"/>
      <w:r w:rsidR="00CD439F">
        <w:t>»</w:t>
      </w:r>
      <w:r>
        <w:t>) er overskredet. Det minnes også om at terskelen kan være overtrådt selv om inngrepet har mer begrenset innvirkning på reindrift som kulturutøvelse (</w:t>
      </w:r>
      <w:r w:rsidR="00CD439F">
        <w:t>«</w:t>
      </w:r>
      <w:r>
        <w:t xml:space="preserve">a </w:t>
      </w:r>
      <w:proofErr w:type="spellStart"/>
      <w:r>
        <w:t>certain</w:t>
      </w:r>
      <w:proofErr w:type="spellEnd"/>
      <w:r>
        <w:t xml:space="preserve"> </w:t>
      </w:r>
      <w:proofErr w:type="spellStart"/>
      <w:r>
        <w:t>limited</w:t>
      </w:r>
      <w:proofErr w:type="spellEnd"/>
      <w:r>
        <w:t xml:space="preserve"> </w:t>
      </w:r>
      <w:proofErr w:type="spellStart"/>
      <w:r>
        <w:t>impact</w:t>
      </w:r>
      <w:proofErr w:type="spellEnd"/>
      <w:r w:rsidR="00CD439F">
        <w:t>»</w:t>
      </w:r>
      <w:r>
        <w:t>). I denne sammenhengen er det også av betydning at det ikke er foretatt konsekvensutredninger eller gjennomført konsultasjoner om de lokale inngrepene i lys av kravene i artikkel 27.</w:t>
      </w:r>
    </w:p>
    <w:p w14:paraId="1FE3DFD8" w14:textId="77777777" w:rsidR="00CC1AE8" w:rsidRDefault="00CC1AE8" w:rsidP="00CC1AE8">
      <w:r w:rsidRPr="16BFE32F">
        <w:t xml:space="preserve">Dersom det ikke er mulig å ivareta samiske rettigheter etter artikkel 27 uten å true rovviltbestandenes overlevelse, kunne det tenkes en folkerettslig konflikt </w:t>
      </w:r>
      <w:r>
        <w:t>med</w:t>
      </w:r>
      <w:r w:rsidRPr="16BFE32F">
        <w:t xml:space="preserve"> </w:t>
      </w:r>
      <w:r>
        <w:t>Bernkonvensjonen</w:t>
      </w:r>
      <w:r w:rsidRPr="16BFE32F">
        <w:t xml:space="preserve">. </w:t>
      </w:r>
      <w:r>
        <w:t>De regionale bestandsmålene legger føringer for soneforvaltning, jakt og felling. Derfor mener Utvalget at de regionale bestandsmålene for rovvilt bør justeres</w:t>
      </w:r>
      <w:r w:rsidRPr="16BFE32F">
        <w:t xml:space="preserve"> slik at belastningen ved rovvilttap i mindre grad skjer i de reinintensive områdene. Så lenge de nasjonale bestandsmålene for rovvilt består og bestandene i praksis kan opprettholdes på dette nivået, vil det ikke oppstå kollisjon mellom de to konvensjonsforpliktelsene.</w:t>
      </w:r>
    </w:p>
    <w:p w14:paraId="628B50BC" w14:textId="77777777" w:rsidR="00303661" w:rsidRDefault="00CC1AE8" w:rsidP="00CC1AE8">
      <w:r w:rsidRPr="005511B3">
        <w:t xml:space="preserve">Utvalget konkluderer på dette grunnlaget med at rovviltangrepene i visse områder og overfor enkelte reineiere er så omfattende at terskelen etter artikkel 27 </w:t>
      </w:r>
      <w:r>
        <w:t>kan være</w:t>
      </w:r>
      <w:r w:rsidRPr="00E27C5B">
        <w:t xml:space="preserve"> overtrådt</w:t>
      </w:r>
      <w:r w:rsidRPr="005511B3">
        <w:t xml:space="preserve"> og dermed at rovviltforvaltningen i disse områdene </w:t>
      </w:r>
      <w:r w:rsidRPr="00BF6B48">
        <w:t>kan</w:t>
      </w:r>
      <w:r>
        <w:t xml:space="preserve"> </w:t>
      </w:r>
      <w:r w:rsidRPr="005511B3">
        <w:t xml:space="preserve">representere et folkerettsbrudd. Dette betyr ikke nødvendigvis at det er konflikt mellom Bernkonvensjonen og de folkerettslige urfolksforpliktelsene. Det innebærer heller ikke at de </w:t>
      </w:r>
      <w:r w:rsidRPr="00477E60">
        <w:t>nasjonale bestandsmålene</w:t>
      </w:r>
      <w:r w:rsidRPr="005511B3">
        <w:t xml:space="preserve"> må oppgis. Men det betyr at </w:t>
      </w:r>
      <w:r w:rsidRPr="00E27C5B">
        <w:t xml:space="preserve">fordelingen av bestandsmålene </w:t>
      </w:r>
      <w:r>
        <w:t xml:space="preserve">for gaupe og jerv </w:t>
      </w:r>
      <w:r w:rsidRPr="00E27C5B">
        <w:t>mellom de ulike regionene bør revurderes</w:t>
      </w:r>
      <w:r>
        <w:t>,</w:t>
      </w:r>
      <w:r w:rsidRPr="005511B3">
        <w:t xml:space="preserve"> slik at de områdene som er mest utsatt for lokale reintap i større grad vernes mot rovdyr og at en større del av bestandsmålene allokeres til andre regioner. Dette bør kombineres med begrensninger </w:t>
      </w:r>
      <w:r w:rsidRPr="007F50AA">
        <w:t xml:space="preserve">i </w:t>
      </w:r>
      <w:r w:rsidRPr="00E27C5B">
        <w:t>overlappende reinbeite- og rovdyrområder</w:t>
      </w:r>
      <w:r w:rsidRPr="005511B3">
        <w:t xml:space="preserve">, slik at det blir et klarere skille mellom områder hvor reindriften skal ha fortrinnsrett og områder hvor rovdyr i større grad skal vernes. Reduksjon av bestandsmålene i de regionene hvor reindriften er mest utsatt for rovdyrtap vil tillate </w:t>
      </w:r>
      <w:r w:rsidRPr="00E27C5B">
        <w:t>mer effektiv felling</w:t>
      </w:r>
      <w:r w:rsidRPr="005511B3">
        <w:t xml:space="preserve"> av rovvilt, særlig i kalvings- og oppvekstområder for rein. </w:t>
      </w:r>
      <w:r>
        <w:t xml:space="preserve">Forvaltningen av kongeørn bør også gjennomgås. </w:t>
      </w:r>
      <w:r w:rsidRPr="00E27C5B">
        <w:t>Forebyggende tiltak</w:t>
      </w:r>
      <w:r w:rsidRPr="005511B3">
        <w:t xml:space="preserve"> bør i større grad anvendes, men dette vil ikke </w:t>
      </w:r>
      <w:r>
        <w:t xml:space="preserve">i seg selv </w:t>
      </w:r>
      <w:r w:rsidRPr="005511B3">
        <w:t>være tilstrekkelig til å sikre at artikkel 27 oppfylles i de områdene som er mest rovdyrutsatte.</w:t>
      </w:r>
    </w:p>
    <w:p w14:paraId="6AE50B5D" w14:textId="471DEFF4" w:rsidR="00CC1AE8" w:rsidRDefault="00CC1AE8" w:rsidP="00CC1AE8">
      <w:pPr>
        <w:pStyle w:val="Overskrift2"/>
      </w:pPr>
      <w:bookmarkStart w:id="56" w:name="_Toc223433119"/>
      <w:r>
        <w:t>Nødverge</w:t>
      </w:r>
      <w:bookmarkEnd w:id="56"/>
    </w:p>
    <w:p w14:paraId="7C97627B" w14:textId="4147A053" w:rsidR="00CC1AE8" w:rsidRDefault="00CC1AE8" w:rsidP="00CC1AE8">
      <w:r>
        <w:t>Retten til n</w:t>
      </w:r>
      <w:r w:rsidRPr="75356CD1">
        <w:t xml:space="preserve">ødverge </w:t>
      </w:r>
      <w:r>
        <w:t>må vurderes etter unntaksregelen i Bernkonvensjonen artikkel 9 første strekpunkt, som tillater felling hvor formålet er å forhindre</w:t>
      </w:r>
      <w:r w:rsidRPr="75356CD1">
        <w:t xml:space="preserve"> </w:t>
      </w:r>
      <w:r>
        <w:t>alvorlig skade på tamrein (</w:t>
      </w:r>
      <w:r w:rsidR="00CD439F">
        <w:t>«</w:t>
      </w:r>
      <w:proofErr w:type="spellStart"/>
      <w:r>
        <w:t>livestock</w:t>
      </w:r>
      <w:proofErr w:type="spellEnd"/>
      <w:r w:rsidR="00CD439F">
        <w:t>»</w:t>
      </w:r>
      <w:r>
        <w:t>)</w:t>
      </w:r>
      <w:r w:rsidRPr="00F36883">
        <w:t>.</w:t>
      </w:r>
    </w:p>
    <w:p w14:paraId="52D92D02" w14:textId="17F9DC5A" w:rsidR="00CC1AE8" w:rsidRDefault="00CC1AE8" w:rsidP="00CC1AE8">
      <w:r w:rsidRPr="47A0B628">
        <w:lastRenderedPageBreak/>
        <w:t>Kravet til at det må foreligge fare for en alvorlig skade (</w:t>
      </w:r>
      <w:r w:rsidR="00CD439F">
        <w:t>«</w:t>
      </w:r>
      <w:proofErr w:type="spellStart"/>
      <w:r w:rsidRPr="47A0B628">
        <w:t>prevent</w:t>
      </w:r>
      <w:proofErr w:type="spellEnd"/>
      <w:r w:rsidRPr="47A0B628">
        <w:t xml:space="preserve"> </w:t>
      </w:r>
      <w:proofErr w:type="spellStart"/>
      <w:r w:rsidRPr="47A0B628">
        <w:t>serious</w:t>
      </w:r>
      <w:proofErr w:type="spellEnd"/>
      <w:r w:rsidRPr="47A0B628">
        <w:t xml:space="preserve"> </w:t>
      </w:r>
      <w:proofErr w:type="spellStart"/>
      <w:r w:rsidRPr="47A0B628">
        <w:t>damage</w:t>
      </w:r>
      <w:proofErr w:type="spellEnd"/>
      <w:r w:rsidR="00CD439F">
        <w:t>»</w:t>
      </w:r>
      <w:r w:rsidRPr="47A0B628">
        <w:t>) innebærer at rovdyret faktisk må angripe eller det må være en reell</w:t>
      </w:r>
      <w:r w:rsidRPr="00CD439F">
        <w:rPr>
          <w:rStyle w:val="halvfet"/>
        </w:rPr>
        <w:t xml:space="preserve"> </w:t>
      </w:r>
      <w:r w:rsidRPr="47A0B628">
        <w:t xml:space="preserve">fare for angrep. Uttrykket </w:t>
      </w:r>
      <w:r w:rsidR="00CD439F">
        <w:t>«</w:t>
      </w:r>
      <w:proofErr w:type="spellStart"/>
      <w:r w:rsidRPr="47A0B628">
        <w:t>prevent</w:t>
      </w:r>
      <w:proofErr w:type="spellEnd"/>
      <w:r w:rsidR="00CD439F">
        <w:t>»</w:t>
      </w:r>
      <w:r w:rsidRPr="47A0B628">
        <w:t xml:space="preserve"> gir i seg selv ikke særlig veiledning om hvilken faregrad som kreves. Men en bør se hen til kombinasjonen av faregrad og mulig skadeomfang. Dette innebærer at jo større mulig skadeomfang, jo mindre bør kreves av faregraden. I reindriftssammenheng er det derfor av betydning at reinen finnes i større eller mindre flokker, og som regel ikke som enkeltdyr, og at det potensielle skadeomfanget derfor kan være betydelig. Det bør også vektlegges om faren oppstår i </w:t>
      </w:r>
      <w:proofErr w:type="spellStart"/>
      <w:r w:rsidRPr="47A0B628">
        <w:t>kalvingsområder</w:t>
      </w:r>
      <w:proofErr w:type="spellEnd"/>
      <w:r w:rsidRPr="47A0B628">
        <w:t>, siden kalver i liten grad kan unnvike angrep og er vesentlige for flokkens fremtidige kjøttproduksjon og overlevelse. Bernkonvensjonen bør også tolkes i lys av de folkerettslige urfolksforpliktelsene. Dette kan bety at terskelen for å anvende nødverge kan være lavere i områder hvor reindriften allerede er sårbar.</w:t>
      </w:r>
    </w:p>
    <w:p w14:paraId="7C00EF58" w14:textId="77777777" w:rsidR="00303661" w:rsidRDefault="00CC1AE8" w:rsidP="00CC1AE8">
      <w:r>
        <w:t>Artikkel 9 setter som generelle vilkår at felling av beskyttede arter ikke må true vedkommende bestands overlevelse, og at nødvergeretten bare</w:t>
      </w:r>
      <w:r w:rsidRPr="75356CD1">
        <w:t xml:space="preserve"> brukes som siste utvei. </w:t>
      </w:r>
      <w:r>
        <w:t xml:space="preserve">Dersom det finnes ikke-dødelige alternativer, må disse anvendes fremfor felling. Nødvergehandlingene kan heller ikke </w:t>
      </w:r>
      <w:r w:rsidRPr="75356CD1">
        <w:t xml:space="preserve">gå lenger enn </w:t>
      </w:r>
      <w:r>
        <w:t xml:space="preserve">det som er </w:t>
      </w:r>
      <w:r w:rsidRPr="75356CD1">
        <w:t>nødvendig for å avverge angrepet.</w:t>
      </w:r>
    </w:p>
    <w:p w14:paraId="1EA9B4CA" w14:textId="6183FB1D" w:rsidR="00CC1AE8" w:rsidRDefault="00CC1AE8" w:rsidP="00CC1AE8">
      <w:r w:rsidRPr="00FE5B09">
        <w:t>Det er vanskelig å tenke seg at bruk av nødverge i seg selv skulle true vedkommende bestands overlevelse eller de nasjonale bestandsmålene.</w:t>
      </w:r>
      <w:r>
        <w:t xml:space="preserve"> Men det er viktig at n</w:t>
      </w:r>
      <w:r w:rsidRPr="00F525B6">
        <w:t xml:space="preserve">ødvergeretten </w:t>
      </w:r>
      <w:r>
        <w:t>bare kan</w:t>
      </w:r>
      <w:r w:rsidRPr="00F525B6">
        <w:t xml:space="preserve"> brukes som siste utvei</w:t>
      </w:r>
      <w:r w:rsidRPr="00CD439F">
        <w:rPr>
          <w:rStyle w:val="halvfet"/>
        </w:rPr>
        <w:t xml:space="preserve"> </w:t>
      </w:r>
      <w:r>
        <w:t>(</w:t>
      </w:r>
      <w:r w:rsidR="00CD439F">
        <w:t>«</w:t>
      </w:r>
      <w:proofErr w:type="spellStart"/>
      <w:r>
        <w:t>no</w:t>
      </w:r>
      <w:proofErr w:type="spellEnd"/>
      <w:r>
        <w:t xml:space="preserve"> </w:t>
      </w:r>
      <w:proofErr w:type="spellStart"/>
      <w:r>
        <w:t>other</w:t>
      </w:r>
      <w:proofErr w:type="spellEnd"/>
      <w:r>
        <w:t xml:space="preserve"> </w:t>
      </w:r>
      <w:proofErr w:type="spellStart"/>
      <w:r>
        <w:t>satisfactory</w:t>
      </w:r>
      <w:proofErr w:type="spellEnd"/>
      <w:r>
        <w:t xml:space="preserve"> </w:t>
      </w:r>
      <w:proofErr w:type="spellStart"/>
      <w:r>
        <w:t>solution</w:t>
      </w:r>
      <w:proofErr w:type="spellEnd"/>
      <w:r w:rsidR="00CD439F">
        <w:t>»</w:t>
      </w:r>
      <w:r>
        <w:t>)</w:t>
      </w:r>
      <w:r w:rsidRPr="00F525B6">
        <w:t xml:space="preserve">. </w:t>
      </w:r>
      <w:r>
        <w:t>D</w:t>
      </w:r>
      <w:r w:rsidRPr="005C67A6">
        <w:t xml:space="preserve">ersom det finnes </w:t>
      </w:r>
      <w:r w:rsidRPr="007E40FF">
        <w:t xml:space="preserve">ikke-dødelige </w:t>
      </w:r>
      <w:r>
        <w:t xml:space="preserve">realistiske </w:t>
      </w:r>
      <w:r w:rsidRPr="007E40FF">
        <w:t>alternativer</w:t>
      </w:r>
      <w:r w:rsidRPr="005C67A6">
        <w:t xml:space="preserve">, </w:t>
      </w:r>
      <w:r>
        <w:t xml:space="preserve">slik som bruk av skremmeskudd eller flytting av flokken, </w:t>
      </w:r>
      <w:r w:rsidRPr="005C67A6">
        <w:t>må disse anvendes fremfor felling.</w:t>
      </w:r>
      <w:r>
        <w:t xml:space="preserve"> </w:t>
      </w:r>
      <w:r w:rsidRPr="006B688C">
        <w:t>Nødvergehandlingene kan heller ikke gå lenger enn det som er nødvendig for å avverge angrepet.</w:t>
      </w:r>
      <w:r>
        <w:t xml:space="preserve"> Rovdyret kan altså ikke felles dersom faren ikke lenger er på det påkrevde nivået.</w:t>
      </w:r>
    </w:p>
    <w:p w14:paraId="06629714" w14:textId="33F8DCB0" w:rsidR="00CC1AE8" w:rsidRDefault="00CC1AE8" w:rsidP="00CC1AE8">
      <w:r>
        <w:t xml:space="preserve">Naturmangfoldloven </w:t>
      </w:r>
      <w:r w:rsidR="00CD439F">
        <w:t>§ 1</w:t>
      </w:r>
      <w:r>
        <w:t xml:space="preserve">7 fastsetter etter endringen 28. mars 2025 at nødverge kan foretas </w:t>
      </w:r>
      <w:r w:rsidR="00CD439F">
        <w:t>«</w:t>
      </w:r>
      <w:r w:rsidRPr="004418DD">
        <w:t>når det må anses påkrevd på grunn av et pågående angrep på tamrein</w:t>
      </w:r>
      <w:r>
        <w:t xml:space="preserve"> …</w:t>
      </w:r>
      <w:r w:rsidRPr="004418DD">
        <w:t xml:space="preserve"> eller fordi det er overveiende sannsynlig at slikt angrep er nær forestående</w:t>
      </w:r>
      <w:r w:rsidR="00CD439F">
        <w:t>»</w:t>
      </w:r>
      <w:r w:rsidRPr="004418DD">
        <w:t>.</w:t>
      </w:r>
      <w:r>
        <w:t xml:space="preserve"> Bernkonvensjonens permanente komité har, som nevnt i pkt. 4.2.8. ovenfor, uttrykt bekymring over ordlyden i den nåværende bestemmelsen.</w:t>
      </w:r>
    </w:p>
    <w:p w14:paraId="36163306" w14:textId="77777777" w:rsidR="00303661" w:rsidRDefault="00CC1AE8" w:rsidP="00CC1AE8">
      <w:r>
        <w:t>Ordlyden har funnet sin form etter flere endringer og dommer, senest Frostating lagmannsretts dom av 25. august 2023 (LF-2023-70168), hvor Høyesteretts ankeutvalg 11. november 2023 nektet anke fremmet.</w:t>
      </w:r>
    </w:p>
    <w:p w14:paraId="3E1ECB01" w14:textId="779B058C" w:rsidR="00CC1AE8" w:rsidRDefault="00CC1AE8" w:rsidP="00CC1AE8">
      <w:r>
        <w:t xml:space="preserve">I denne dommen ble en reineier dømt for å ha felt en bjørnebinne og to bjørnunger. Bjørnene hadde angrepet og drept kalver i flokken hans. Ordlyden i </w:t>
      </w:r>
      <w:r w:rsidR="00CD439F">
        <w:t>§ 1</w:t>
      </w:r>
      <w:r>
        <w:t xml:space="preserve">7 krevde på dette tidspunktet at angrepet måtte være </w:t>
      </w:r>
      <w:r w:rsidR="00CD439F">
        <w:t>«</w:t>
      </w:r>
      <w:r>
        <w:t>pågående eller umiddelbart forestående</w:t>
      </w:r>
      <w:r w:rsidR="00CD439F">
        <w:t>»</w:t>
      </w:r>
      <w:r>
        <w:t xml:space="preserve">. Grunnen til domfellelsen var at bjørnene ble skutt mens de lå og hvilte ca. 300 meter </w:t>
      </w:r>
      <w:r>
        <w:lastRenderedPageBreak/>
        <w:t xml:space="preserve">unna reinflokken. De hadde angrepet flokken omtrent en time tidligere, og det var klart at de ville ta flere reinkalver innen noen få timer om det ikke ble grepet inn. Men det ble ikke ansett at det var et </w:t>
      </w:r>
      <w:r w:rsidR="00CD439F">
        <w:t>«</w:t>
      </w:r>
      <w:r>
        <w:t>pågående eller umiddelbart forestående</w:t>
      </w:r>
      <w:r w:rsidR="00CD439F">
        <w:t>»</w:t>
      </w:r>
      <w:r>
        <w:t xml:space="preserve"> angrep. Lagmannsretten uttalte om de folkerettslige sidene:</w:t>
      </w:r>
    </w:p>
    <w:p w14:paraId="3E5EACEC" w14:textId="0EA3D26B" w:rsidR="00CC1AE8" w:rsidRPr="00CD439F" w:rsidRDefault="00CD439F" w:rsidP="00AA653C">
      <w:pPr>
        <w:pStyle w:val="blokksit"/>
        <w:ind w:left="757"/>
      </w:pPr>
      <w:r>
        <w:t>«</w:t>
      </w:r>
      <w:r w:rsidR="00CC1AE8" w:rsidRPr="00CD439F">
        <w:t>Lagmannsretten kan ikke se at samenes menneskerettslige vern som urfolk tilsier at nødvergebestemmelsen i naturmangfoldloven skal tolkes utvidende i tilfeller der avliving av bjørn skjer for å verne tamrein og samisk reindrift. Det framgår av forarbeidene til de tidligere nevnte lovendringene i 1993 og 2000 at innskrenkningene i adgangen til nødverge ble gjort for å ivareta Norges forpliktelser etter Bernkonvensjonen, jf. Ot.prp.nr.54 (1992–1993) punkt 4.1.3 og 4.4, og Prop.90 L (2019–2020) punkt 4.1.1. Lovendringene skjedde etter en høringsprosess hvor berørte interesser, herunder Sametinget og Norske Reindriftssamers Landsforbund, fikk anledning til uttale seg. Slik lagmannsretten ser det, er dagens nødvergebestemmelse blitt til etter en avveining av motstridende interesser, der hensynet til å bringe norsk rett i samsvar med forpliktelsene etter Bernkonvensjonen er tillagt stor vekt. Forståelsen av bestemmelsen som nevnt ovenfor anses ikke å være i strid med samenes menneskerettslige vern.</w:t>
      </w:r>
      <w:r>
        <w:t>»</w:t>
      </w:r>
    </w:p>
    <w:p w14:paraId="52112361" w14:textId="46BF25EC" w:rsidR="00CC1AE8" w:rsidRDefault="00CC1AE8" w:rsidP="00CC1AE8">
      <w:r>
        <w:t xml:space="preserve">Utvalget mener etter dette at kravet i naturmangfoldloven </w:t>
      </w:r>
      <w:r w:rsidR="00CD439F">
        <w:t>§ 1</w:t>
      </w:r>
      <w:r>
        <w:t xml:space="preserve">7 om at det må foreligge </w:t>
      </w:r>
      <w:r w:rsidR="00CD439F">
        <w:t>«</w:t>
      </w:r>
      <w:r w:rsidRPr="004418DD">
        <w:t>et pågående angrep</w:t>
      </w:r>
      <w:r w:rsidR="00CD439F">
        <w:t>»</w:t>
      </w:r>
      <w:r>
        <w:t xml:space="preserve"> på tamrein eller at det </w:t>
      </w:r>
      <w:r w:rsidR="00CD439F">
        <w:t>«</w:t>
      </w:r>
      <w:r w:rsidRPr="004418DD">
        <w:t>er overveiende sannsynlig at slikt angrep er nær forestående</w:t>
      </w:r>
      <w:r w:rsidR="00CD439F">
        <w:t>»</w:t>
      </w:r>
      <w:r>
        <w:t xml:space="preserve"> ikke fullt ut samsvarer med Bernkonvensjonen artikkel 9. Kravet om at nødverge må være </w:t>
      </w:r>
      <w:r w:rsidR="00CD439F">
        <w:t>«</w:t>
      </w:r>
      <w:r>
        <w:t>påkrevd</w:t>
      </w:r>
      <w:r w:rsidR="00CD439F">
        <w:t>»</w:t>
      </w:r>
      <w:r>
        <w:t xml:space="preserve"> innebærer at ikke-dødelige avvergingsmetoder har forrang. Men konvensjonsbestemmelsen stiller ikke krav om at angrepet må være overveiende sannsynlig. Den bør tolkes som et krav om at det må foretas en sammensatt vurdering hvor både faregraden og det potensielle skadeomfanget omfattes. Det bør også anses å være en mer omfattende rett til nødverge i områder hvor reindriften er særlig sårbar.</w:t>
      </w:r>
    </w:p>
    <w:p w14:paraId="3BC5C5F7" w14:textId="468F307E" w:rsidR="00AA653C" w:rsidRDefault="00AA653C" w:rsidP="00AA653C">
      <w:pPr>
        <w:pStyle w:val="Overskrift2"/>
      </w:pPr>
      <w:bookmarkStart w:id="57" w:name="_Toc223433120"/>
      <w:r>
        <w:t>Deltakelse i beslutningsprosessen</w:t>
      </w:r>
      <w:bookmarkEnd w:id="57"/>
    </w:p>
    <w:p w14:paraId="181ED9A6" w14:textId="283822CE" w:rsidR="00AA653C" w:rsidRPr="00AA653C" w:rsidRDefault="00AA653C" w:rsidP="00AA653C">
      <w:pPr>
        <w:pStyle w:val="Overskrift3"/>
      </w:pPr>
      <w:bookmarkStart w:id="58" w:name="_Toc223433121"/>
      <w:r>
        <w:t>Det saklige området for konsultasjonsplikten</w:t>
      </w:r>
      <w:bookmarkEnd w:id="58"/>
    </w:p>
    <w:p w14:paraId="226FBD2D" w14:textId="77777777" w:rsidR="00AA653C" w:rsidRDefault="00AA653C" w:rsidP="00AA653C">
      <w:r w:rsidRPr="2FB46E9B">
        <w:t xml:space="preserve">ILO-konvensjon nr. 169 om urfolk og stammefolk i selvstendige stater setter krav til konsultasjoner med urfolk i saker som gjelder inngrep i deres næringsvirksomhet og kultur i artiklene 6, 7 og 15. ILO har </w:t>
      </w:r>
      <w:r>
        <w:t>fremhevet artikkel 6 som konvensjonens viktigste bestemmelse.</w:t>
      </w:r>
    </w:p>
    <w:p w14:paraId="704DEA7C" w14:textId="77777777" w:rsidR="00AA653C" w:rsidRDefault="00AA653C" w:rsidP="00AA653C">
      <w:r w:rsidRPr="00A7782B">
        <w:rPr>
          <w:rFonts w:cs="Times New Roman"/>
        </w:rPr>
        <w:t>Artikkel 6 gir en generell regulering av statenes plikt til å konsultere urfolksgrupper som blir direkte berørt av statlige tiltak. Artikkel 7 har regler om urfolks</w:t>
      </w:r>
      <w:r>
        <w:rPr>
          <w:rFonts w:cs="Times New Roman"/>
        </w:rPr>
        <w:t xml:space="preserve"> generelle</w:t>
      </w:r>
      <w:r w:rsidRPr="00A7782B">
        <w:rPr>
          <w:rFonts w:cs="Times New Roman"/>
        </w:rPr>
        <w:t xml:space="preserve"> rett til deltakelse i beslutningsprosessene</w:t>
      </w:r>
      <w:r>
        <w:rPr>
          <w:rFonts w:cs="Times New Roman"/>
        </w:rPr>
        <w:t xml:space="preserve"> i saker som angår dem</w:t>
      </w:r>
      <w:r w:rsidRPr="00A7782B">
        <w:rPr>
          <w:rFonts w:cs="Times New Roman"/>
        </w:rPr>
        <w:t xml:space="preserve">. Artikkel 15 har blant annet regler om urfolks rett til å delta i bruk og forvaltning av naturressursene i deres tradisjonelle bruksområder, og kan til en viss grad anses som en spesialregulering av de </w:t>
      </w:r>
      <w:r w:rsidRPr="00A7782B">
        <w:rPr>
          <w:rFonts w:cs="Times New Roman"/>
        </w:rPr>
        <w:lastRenderedPageBreak/>
        <w:t xml:space="preserve">generelle prinsippene som er nedfelt i artikkel 6 og 7. </w:t>
      </w:r>
      <w:r w:rsidRPr="00A7782B">
        <w:t>Konsultasjonsplikten inntrer ikke bare ved utarbeidelsen av lover og forskrifter, men også ved enkeltvedtak og ved beslutninger</w:t>
      </w:r>
      <w:r w:rsidRPr="00CD439F">
        <w:rPr>
          <w:rStyle w:val="kursiv"/>
        </w:rPr>
        <w:t xml:space="preserve"> </w:t>
      </w:r>
      <w:r w:rsidRPr="00A7782B">
        <w:t>der tillatelse i form av enkeltvedtak ikke er nødvendig</w:t>
      </w:r>
      <w:r>
        <w:t>.</w:t>
      </w:r>
    </w:p>
    <w:p w14:paraId="1C2783D4" w14:textId="77777777" w:rsidR="00AA653C" w:rsidRDefault="00AA653C" w:rsidP="00AA653C">
      <w:r>
        <w:t>Det er klart at forvaltningen av rovvilt har direkte betydning for reindriften og for utnyttelsen av naturressursene, og de berørte samiske interessene har derfor rett til å bli konsultert og til å delta i beslutningsprosessen. Det gjelder både ved den nasjonale og regionale forvaltningen, og ved fastsettelse av generelle regler og enkeltavgjørelser.</w:t>
      </w:r>
    </w:p>
    <w:p w14:paraId="4C77531B" w14:textId="38AB0ECF" w:rsidR="00AA653C" w:rsidRPr="00AA653C" w:rsidRDefault="00AA653C" w:rsidP="00AA653C">
      <w:r w:rsidRPr="00A7782B">
        <w:rPr>
          <w:rFonts w:cs="Times New Roman"/>
        </w:rPr>
        <w:t>D</w:t>
      </w:r>
      <w:r>
        <w:rPr>
          <w:rFonts w:cs="Times New Roman"/>
        </w:rPr>
        <w:t>isse</w:t>
      </w:r>
      <w:r w:rsidRPr="00A7782B">
        <w:rPr>
          <w:rFonts w:cs="Times New Roman"/>
        </w:rPr>
        <w:t xml:space="preserve"> </w:t>
      </w:r>
      <w:r>
        <w:rPr>
          <w:rFonts w:cs="Times New Roman"/>
        </w:rPr>
        <w:t xml:space="preserve">folkerettslige </w:t>
      </w:r>
      <w:r w:rsidRPr="00A7782B">
        <w:rPr>
          <w:rFonts w:cs="Times New Roman"/>
        </w:rPr>
        <w:t>forpliktelsene ble nedfelt på følgende måte i sameloven</w:t>
      </w:r>
      <w:r>
        <w:rPr>
          <w:rFonts w:cs="Times New Roman"/>
        </w:rPr>
        <w:t xml:space="preserve"> av </w:t>
      </w:r>
      <w:r w:rsidRPr="00D15632">
        <w:rPr>
          <w:rFonts w:cs="Times New Roman"/>
        </w:rPr>
        <w:t>11. juni 2021</w:t>
      </w:r>
      <w:r>
        <w:rPr>
          <w:rFonts w:cs="Times New Roman"/>
        </w:rPr>
        <w:t xml:space="preserve"> </w:t>
      </w:r>
      <w:r w:rsidRPr="00D15632">
        <w:rPr>
          <w:rFonts w:cs="Times New Roman"/>
        </w:rPr>
        <w:t>nr. 76</w:t>
      </w:r>
      <w:r w:rsidRPr="00A7782B">
        <w:rPr>
          <w:rFonts w:cs="Times New Roman"/>
        </w:rPr>
        <w:t xml:space="preserve"> </w:t>
      </w:r>
      <w:r w:rsidR="00CD439F">
        <w:rPr>
          <w:rFonts w:cs="Times New Roman"/>
        </w:rPr>
        <w:t>§ </w:t>
      </w:r>
      <w:r w:rsidR="00CD439F" w:rsidRPr="00A7782B">
        <w:rPr>
          <w:rFonts w:cs="Times New Roman"/>
        </w:rPr>
        <w:t>4</w:t>
      </w:r>
      <w:r w:rsidRPr="00A7782B">
        <w:rPr>
          <w:rFonts w:cs="Times New Roman"/>
        </w:rPr>
        <w:t>-1:</w:t>
      </w:r>
    </w:p>
    <w:p w14:paraId="18BC1258" w14:textId="169B428B" w:rsidR="00AA653C" w:rsidRPr="00CD439F" w:rsidRDefault="00CD439F" w:rsidP="00AA653C">
      <w:pPr>
        <w:pStyle w:val="blokksit"/>
        <w:ind w:left="757"/>
      </w:pPr>
      <w:r>
        <w:t>«</w:t>
      </w:r>
      <w:r w:rsidR="00AA653C" w:rsidRPr="00CD439F">
        <w:t>Bestemmelsene i kapitlet her gjelder for lovgivning, forskrifter og andre beslutninger eller tiltak som vil kunne påvirke samiske interesser direkte. Bestemmelsene gjelder ikke for saker om statsbudsjettet.</w:t>
      </w:r>
    </w:p>
    <w:p w14:paraId="02188427" w14:textId="77777777" w:rsidR="00AA653C" w:rsidRPr="00CD439F" w:rsidRDefault="00AA653C" w:rsidP="00AA653C">
      <w:pPr>
        <w:pStyle w:val="blokksit"/>
        <w:ind w:left="757"/>
      </w:pPr>
      <w:r w:rsidRPr="00CD439F">
        <w:t>Bestemmelsene i kapitlet her gjelder ikke for saker av generell karakter som må antas å ville påvirke hele samfunnet på samme måte.</w:t>
      </w:r>
    </w:p>
    <w:p w14:paraId="019278E8" w14:textId="77777777" w:rsidR="00AA653C" w:rsidRPr="00CD439F" w:rsidRDefault="00AA653C" w:rsidP="00AA653C">
      <w:pPr>
        <w:pStyle w:val="blokksit"/>
        <w:ind w:left="757"/>
      </w:pPr>
      <w:r w:rsidRPr="00CD439F">
        <w:t>I saker som er knyttet til naturgrunnlaget for samisk kultur, gjelder bestemmelsene i kapitlet her for tiltak og beslutninger som planlegges iverksatt i tradisjonelle samiske områder, eller som kan få virkning på samisk materiell kulturutøvelse i tradisjonelle samiske områder.</w:t>
      </w:r>
    </w:p>
    <w:p w14:paraId="6A717343" w14:textId="74181496" w:rsidR="00AA653C" w:rsidRPr="00CD439F" w:rsidRDefault="00AA653C" w:rsidP="00AA653C">
      <w:pPr>
        <w:pStyle w:val="blokksit"/>
        <w:ind w:left="757"/>
      </w:pPr>
      <w:r w:rsidRPr="00CD439F">
        <w:t xml:space="preserve">Bestemmelsene i kapitlet her gjelder ikke for Sametinget i saker hvor Sametinget har innsigelsesadgang etter plan- og bygningsloven </w:t>
      </w:r>
      <w:r w:rsidR="00CD439F">
        <w:t>§ </w:t>
      </w:r>
      <w:r w:rsidR="00CD439F" w:rsidRPr="00CD439F">
        <w:t>5</w:t>
      </w:r>
      <w:r w:rsidRPr="00CD439F">
        <w:t>-4.</w:t>
      </w:r>
      <w:r w:rsidR="00CD439F">
        <w:t>»</w:t>
      </w:r>
    </w:p>
    <w:p w14:paraId="1D5FAE7A" w14:textId="240CA6AE" w:rsidR="00AA653C" w:rsidRDefault="00AA653C" w:rsidP="00AA653C">
      <w:pPr>
        <w:pStyle w:val="Listeavsnitt"/>
        <w:ind w:left="0"/>
      </w:pPr>
      <w:r w:rsidRPr="00D15632">
        <w:t xml:space="preserve">Av særlig interesse er det at Direktoratet for naturforvaltning i sin høringsuttalelse til forslaget i NOU 2007: 13 om å lovfeste statens konsultasjonsforpliktelser i en særskilt saksbehandlings- og </w:t>
      </w:r>
      <w:proofErr w:type="spellStart"/>
      <w:r w:rsidRPr="00D15632">
        <w:t>konsultasjonslov</w:t>
      </w:r>
      <w:proofErr w:type="spellEnd"/>
      <w:r w:rsidRPr="00D15632">
        <w:t>, antok at vedtak i medhold av rovviltforskriften ville være omfattet av lovforslaget. Direktoratet fremholdt også at det i rovviltsakene er særlig viktig at vedtak treffes raskt og iverksettes umiddelbart, og at det derfor kunne være nødvendig å gjøre unntak fra noen av de foreslåtte bestemmelsene.</w:t>
      </w:r>
      <w:r>
        <w:t xml:space="preserve"> Utvalget legger til grunn at alle vedtak i rovviltforvaltningen som kan berøre reindriften omfattes av plikten i lovens </w:t>
      </w:r>
      <w:r w:rsidR="00CD439F">
        <w:t>§ 4</w:t>
      </w:r>
      <w:r>
        <w:t>-1 til å sikre konsultasjon med og deltakelse av samiske interesser.</w:t>
      </w:r>
    </w:p>
    <w:p w14:paraId="63DF275A" w14:textId="2D116A7A" w:rsidR="00CC1AE8" w:rsidRDefault="00AA653C" w:rsidP="00AA653C">
      <w:pPr>
        <w:pStyle w:val="Overskrift3"/>
      </w:pPr>
      <w:bookmarkStart w:id="59" w:name="_Toc223433122"/>
      <w:r>
        <w:t>Hvem gjelder konsultasjonsplikten for?</w:t>
      </w:r>
      <w:bookmarkEnd w:id="59"/>
    </w:p>
    <w:p w14:paraId="60624AD7" w14:textId="5C1474F8" w:rsidR="00303661" w:rsidRDefault="00AA653C" w:rsidP="00AA653C">
      <w:r w:rsidRPr="00A7782B">
        <w:t xml:space="preserve">Etter ordlyden i artikkel 6 gjelder konsultasjonsplikten for </w:t>
      </w:r>
      <w:r w:rsidR="00CD439F">
        <w:t>«</w:t>
      </w:r>
      <w:proofErr w:type="spellStart"/>
      <w:r w:rsidRPr="00A7782B">
        <w:t>governments</w:t>
      </w:r>
      <w:proofErr w:type="spellEnd"/>
      <w:r w:rsidR="00CD439F">
        <w:t>»</w:t>
      </w:r>
      <w:r w:rsidRPr="00A7782B">
        <w:t>, det vil si for regjeringene i de statene som har ratifisert konvensjonen. Plikten gjelder også for departementer, direktoratet og andre underliggende statlige virksomheter og organer, som for eksempel statsforvalterne, reindriftens områdestyrer og de regionale rovviltnemndene.</w:t>
      </w:r>
    </w:p>
    <w:p w14:paraId="5DDEC9BA" w14:textId="0CB03EB5" w:rsidR="00AA653C" w:rsidRDefault="00AA653C" w:rsidP="00AA653C">
      <w:r w:rsidRPr="00A7782B">
        <w:lastRenderedPageBreak/>
        <w:t>Konsultasjonsplikten gjelder også for statsforetak og private rettssubjekter som utøver offentlig forvaltningsmyndighet på vegne av staten</w:t>
      </w:r>
      <w:r>
        <w:t>,</w:t>
      </w:r>
      <w:r w:rsidRPr="00A7782B">
        <w:t xml:space="preserve"> dersom de treffer vedtak som kan ha direkte betydning for samiske naturbruksinteresse</w:t>
      </w:r>
      <w:r>
        <w:t>r</w:t>
      </w:r>
      <w:r w:rsidRPr="00A7782B">
        <w:t>.</w:t>
      </w:r>
    </w:p>
    <w:p w14:paraId="2BED79F4" w14:textId="77777777" w:rsidR="00AA653C" w:rsidRDefault="00AA653C" w:rsidP="00AA653C">
      <w:r w:rsidRPr="00A7782B">
        <w:t>Kommuner og fylkeskommuner er ikke en del av det statlige forvaltningshierarkiet, bortsett fra når dette er særskilt fastsatt ved lov. Norge plikter imidlertid som konvensjonspart å sørge for at også kommunale og fylkeskommunale opptrer i samsvar med statens folkerettslige forpliktelser når de utøver myndighet som kan få direkte betydning for samiske interesser. Dermed vil konsultasjonsplikten etter artikkel 6 også gjelde for kommuner og fylkeskommuner.</w:t>
      </w:r>
    </w:p>
    <w:p w14:paraId="37514338" w14:textId="51625BE1" w:rsidR="00AA653C" w:rsidRPr="007B4CDD" w:rsidRDefault="00AA653C" w:rsidP="00AA653C">
      <w:r>
        <w:t>Disse organene må også antas å være underlagt pliktene som fremgår av artiklene 7 og 15.</w:t>
      </w:r>
    </w:p>
    <w:p w14:paraId="438C9D80" w14:textId="639B7607" w:rsidR="00AA653C" w:rsidRPr="004E64D6" w:rsidRDefault="00AA653C" w:rsidP="00AA653C">
      <w:pPr>
        <w:rPr>
          <w:sz w:val="28"/>
          <w:szCs w:val="28"/>
        </w:rPr>
      </w:pPr>
      <w:r w:rsidRPr="004E64D6">
        <w:t>Sameloven §</w:t>
      </w:r>
      <w:r w:rsidR="00CD439F">
        <w:t>§ </w:t>
      </w:r>
      <w:r w:rsidR="00CD439F" w:rsidRPr="004E64D6">
        <w:t>4</w:t>
      </w:r>
      <w:r w:rsidRPr="004E64D6">
        <w:t>-3 og 4-4 regulerer konsultasjonsplikten på følgende måte:</w:t>
      </w:r>
    </w:p>
    <w:p w14:paraId="12779A27" w14:textId="025C9D9D" w:rsidR="00AA653C" w:rsidRPr="00CD439F" w:rsidRDefault="00CD439F" w:rsidP="00AA653C">
      <w:pPr>
        <w:pStyle w:val="blokksit"/>
        <w:ind w:left="757"/>
      </w:pPr>
      <w:r>
        <w:t>«§ </w:t>
      </w:r>
      <w:r w:rsidRPr="00CD439F">
        <w:t>4</w:t>
      </w:r>
      <w:r w:rsidR="00AA653C" w:rsidRPr="00CD439F">
        <w:t>-3 Plikt til å konsultere</w:t>
      </w:r>
      <w:r w:rsidR="00834D2D">
        <w:t xml:space="preserve"> </w:t>
      </w:r>
      <w:r w:rsidR="00834D2D">
        <w:br/>
      </w:r>
      <w:r w:rsidR="00AA653C" w:rsidRPr="00CD439F">
        <w:t>Plikten til å konsultere etter bestemmelsene i kapitlet her gjelder for</w:t>
      </w:r>
    </w:p>
    <w:p w14:paraId="2422C031" w14:textId="77777777" w:rsidR="00303661" w:rsidRPr="00CD439F" w:rsidRDefault="00AA653C" w:rsidP="00AA653C">
      <w:pPr>
        <w:pStyle w:val="blokksit"/>
        <w:ind w:left="757"/>
      </w:pPr>
      <w:r w:rsidRPr="00CD439F">
        <w:t>a) regjeringen, departementer, direktorater og andre underliggende virksomheter,</w:t>
      </w:r>
    </w:p>
    <w:p w14:paraId="42566C57" w14:textId="35DE16F0" w:rsidR="00303661" w:rsidRPr="00CD439F" w:rsidRDefault="00AA653C" w:rsidP="00AA653C">
      <w:pPr>
        <w:pStyle w:val="blokksit"/>
        <w:ind w:left="757"/>
      </w:pPr>
      <w:r w:rsidRPr="00CD439F">
        <w:t>b) statsforetak og private rettssubjekter når de utøver myndighet på vegne av staten.</w:t>
      </w:r>
    </w:p>
    <w:p w14:paraId="46F9094C" w14:textId="50040659" w:rsidR="00AA653C" w:rsidRPr="00CD439F" w:rsidRDefault="00CD439F" w:rsidP="00AA653C">
      <w:pPr>
        <w:pStyle w:val="blokksit"/>
        <w:ind w:left="757"/>
      </w:pPr>
      <w:r>
        <w:t>§ </w:t>
      </w:r>
      <w:r w:rsidRPr="00CD439F">
        <w:t>4</w:t>
      </w:r>
      <w:r w:rsidR="00AA653C" w:rsidRPr="00CD439F">
        <w:t>-4 Konsultasjonsplikt for fylkeskommuner og kommuner</w:t>
      </w:r>
    </w:p>
    <w:p w14:paraId="5AE68B70" w14:textId="5BBFA292" w:rsidR="00AA653C" w:rsidRPr="00CD439F" w:rsidRDefault="00AA653C" w:rsidP="00AA653C">
      <w:pPr>
        <w:pStyle w:val="blokksit"/>
        <w:ind w:left="757"/>
      </w:pPr>
      <w:r w:rsidRPr="00CD439F">
        <w:t xml:space="preserve">Fylkeskommuner og kommuner har plikt til å konsultere representanter for </w:t>
      </w:r>
      <w:proofErr w:type="spellStart"/>
      <w:r w:rsidRPr="00CD439F">
        <w:t>berørtesamiske</w:t>
      </w:r>
      <w:proofErr w:type="spellEnd"/>
      <w:r w:rsidRPr="00CD439F">
        <w:t xml:space="preserve"> interesser i saker om lokale forskrifter og andre beslutninger som vil kunne påvirke samiske interesser direkte.</w:t>
      </w:r>
    </w:p>
    <w:p w14:paraId="598037EE" w14:textId="294427EA" w:rsidR="00AA653C" w:rsidRPr="00CD439F" w:rsidRDefault="00AA653C" w:rsidP="00AA653C">
      <w:pPr>
        <w:pStyle w:val="blokksit"/>
        <w:ind w:left="757"/>
      </w:pPr>
      <w:r w:rsidRPr="00CD439F">
        <w:t>Bestemmelsene i kapitlet her gjelder for øvrig så langt de passer</w:t>
      </w:r>
      <w:r w:rsidR="00CD439F">
        <w:t>»</w:t>
      </w:r>
      <w:r w:rsidRPr="00CD439F">
        <w:t>.</w:t>
      </w:r>
    </w:p>
    <w:p w14:paraId="71E9BD8B" w14:textId="77777777" w:rsidR="00AA653C" w:rsidRDefault="00AA653C" w:rsidP="00AA653C">
      <w:r>
        <w:t>Det er av betydning i vår sammenheng at rovviltnemdene, som statlige organer underlagt Klima- og miljødepartementet, omfattes av konsultasjonsplikten.</w:t>
      </w:r>
    </w:p>
    <w:p w14:paraId="43DA0724" w14:textId="407E4545" w:rsidR="00AA653C" w:rsidRDefault="00AA653C" w:rsidP="00AA653C">
      <w:pPr>
        <w:pStyle w:val="Overskrift3"/>
      </w:pPr>
      <w:bookmarkStart w:id="60" w:name="_Toc223433123"/>
      <w:r>
        <w:t>Hvem skal konsulteres?</w:t>
      </w:r>
      <w:bookmarkEnd w:id="60"/>
    </w:p>
    <w:p w14:paraId="36C45E05" w14:textId="1D3C2A5A" w:rsidR="00303661" w:rsidRDefault="00AA653C" w:rsidP="00AA653C">
      <w:r w:rsidRPr="00A7782B">
        <w:t xml:space="preserve">Etter ordlyden i </w:t>
      </w:r>
      <w:r>
        <w:t xml:space="preserve">ILO-konvensjonen </w:t>
      </w:r>
      <w:r w:rsidRPr="00A7782B">
        <w:t xml:space="preserve">artikkel 6 (1) skal </w:t>
      </w:r>
      <w:r w:rsidR="00CD439F">
        <w:t>«</w:t>
      </w:r>
      <w:proofErr w:type="spellStart"/>
      <w:r w:rsidRPr="00A7782B">
        <w:t>the</w:t>
      </w:r>
      <w:proofErr w:type="spellEnd"/>
      <w:r w:rsidRPr="00A7782B">
        <w:t xml:space="preserve"> </w:t>
      </w:r>
      <w:proofErr w:type="spellStart"/>
      <w:r w:rsidRPr="00A7782B">
        <w:t>peoples</w:t>
      </w:r>
      <w:proofErr w:type="spellEnd"/>
      <w:r w:rsidRPr="00A7782B">
        <w:t xml:space="preserve"> </w:t>
      </w:r>
      <w:proofErr w:type="spellStart"/>
      <w:r w:rsidRPr="00A7782B">
        <w:t>concerned</w:t>
      </w:r>
      <w:proofErr w:type="spellEnd"/>
      <w:r w:rsidR="00CD439F">
        <w:t>»</w:t>
      </w:r>
      <w:r w:rsidRPr="00A7782B">
        <w:t xml:space="preserve"> konsulteres, og særlig gjennom deres representative institusjoner.</w:t>
      </w:r>
    </w:p>
    <w:p w14:paraId="0E04915B" w14:textId="0BC774E8" w:rsidR="00303661" w:rsidRDefault="00AA653C" w:rsidP="00AA653C">
      <w:r w:rsidRPr="00E22409">
        <w:t xml:space="preserve">Sameloven </w:t>
      </w:r>
      <w:r w:rsidR="00CD439F">
        <w:t>§ </w:t>
      </w:r>
      <w:r w:rsidR="00CD439F" w:rsidRPr="00E22409">
        <w:t>4</w:t>
      </w:r>
      <w:r w:rsidRPr="00E22409">
        <w:t xml:space="preserve">-2 slår fast at retten til å bli konsultert i de sakene som er omfattet av </w:t>
      </w:r>
      <w:r w:rsidR="00CD439F">
        <w:t>§ </w:t>
      </w:r>
      <w:r w:rsidR="00CD439F" w:rsidRPr="00E22409">
        <w:t>4</w:t>
      </w:r>
      <w:r w:rsidRPr="00E22409">
        <w:t xml:space="preserve">-1 (saker som kan ha direkte betydning for samiske interesser eller rettighetshavere) gjelder for </w:t>
      </w:r>
      <w:r w:rsidR="00CD439F">
        <w:t>«</w:t>
      </w:r>
      <w:r w:rsidRPr="00A7782B">
        <w:t>Sametinget og andre representanter for berørte samiske interesser</w:t>
      </w:r>
      <w:r w:rsidR="00CD439F">
        <w:t>»</w:t>
      </w:r>
      <w:r w:rsidRPr="00E22409">
        <w:t xml:space="preserve">. Grunnen til at ingen samiske interesser (ut over Sametinget), heller ikke representanter for reindriftsnæringen, er spesifikt nevnt i bestemmelsen, er blant annet at det er vanskelig å finne egnede avgrensningskriterier. Det er derfor lagt til grunn at den </w:t>
      </w:r>
      <w:r w:rsidRPr="00E22409">
        <w:lastRenderedPageBreak/>
        <w:t>nærmere avklaringen av hvem som har konsultasjonsrett i ulike saker skjer ved forskrift.</w:t>
      </w:r>
      <w:r w:rsidR="00CD439F" w:rsidRPr="00CD439F">
        <w:rPr>
          <w:rStyle w:val="Fotnotereferanse"/>
        </w:rPr>
        <w:footnoteReference w:id="261"/>
      </w:r>
    </w:p>
    <w:p w14:paraId="5DBC5A6A" w14:textId="281B5C90" w:rsidR="00AA653C" w:rsidRDefault="00AA653C" w:rsidP="00AA653C">
      <w:r>
        <w:t>Konvensjonens artikkel 6 (1) innebærer</w:t>
      </w:r>
      <w:r w:rsidRPr="00A7782B">
        <w:t xml:space="preserve"> at Sametinget vil være </w:t>
      </w:r>
      <w:r w:rsidRPr="00D20D45">
        <w:t xml:space="preserve">det </w:t>
      </w:r>
      <w:r w:rsidRPr="00A7782B">
        <w:t xml:space="preserve">representative </w:t>
      </w:r>
      <w:r w:rsidRPr="00D20D45">
        <w:t xml:space="preserve">organet </w:t>
      </w:r>
      <w:r w:rsidRPr="00A7782B">
        <w:t xml:space="preserve">når det gjelder lovgivning og andre tiltak som kan få </w:t>
      </w:r>
      <w:r w:rsidR="00CD439F">
        <w:t>«</w:t>
      </w:r>
      <w:r w:rsidRPr="00A7782B">
        <w:t>direkte betydning</w:t>
      </w:r>
      <w:r w:rsidR="00CD439F">
        <w:t>»</w:t>
      </w:r>
      <w:r w:rsidRPr="00A7782B">
        <w:t xml:space="preserve"> for samer i Norge som helhet, eller for en betydelig andel av norske samer. Sametinget vil også være representativ</w:t>
      </w:r>
      <w:r w:rsidRPr="00D20D45">
        <w:t>t</w:t>
      </w:r>
      <w:r w:rsidRPr="00A7782B">
        <w:t xml:space="preserve"> i saker som berører mer begrensede grupper av samer, men der sakene har stor betydning for samisk materiell kulturutøvelse, eller av andre grunner er prinsipielt viktige. Rovviltforvaltningen i områder der det drives samisk reindrift kan være et eksempel på saker som faller i sistnevnte kategori.</w:t>
      </w:r>
    </w:p>
    <w:p w14:paraId="081FA982" w14:textId="6E046B12" w:rsidR="00AA653C" w:rsidRDefault="00AA653C" w:rsidP="00AA653C">
      <w:r w:rsidRPr="00A7782B">
        <w:t>I disse sakene vil det ikke være tilstrekkelig bare å konsultere Sametinget, som dessuten i lokale saker ofte ikke vil ha den påkrevde representativiteten. Også de berørte reindriftsinteressene må, med mindre de ikke ønsker å delta i konsultasjoner, konsulteres ved sine representative institusjoner. For beslutninger på nasjonalt nivå vil Norske Reindriftsamers Landsforbund (NRL) være en aktuell konsultasjonspart. For beslutninger som treffes som ledd i rovviltforvaltningen på regionalt nivå vil det</w:t>
      </w:r>
      <w:r>
        <w:t>, som nevnt ovenfor,</w:t>
      </w:r>
      <w:r w:rsidRPr="00A7782B">
        <w:t xml:space="preserve"> også </w:t>
      </w:r>
      <w:r>
        <w:t xml:space="preserve">være </w:t>
      </w:r>
      <w:r w:rsidRPr="00A7782B">
        <w:t>aktuelt å konsultere med representanter for de lokalt berørte reindriftsutøverne ved deres distriktsstyrer, jf. reindriftsloven §</w:t>
      </w:r>
      <w:r w:rsidR="00CD439F">
        <w:t>§ </w:t>
      </w:r>
      <w:r w:rsidR="00CD439F" w:rsidRPr="00A7782B">
        <w:t>4</w:t>
      </w:r>
      <w:r w:rsidRPr="00A7782B">
        <w:t xml:space="preserve">2 flg., og eventuelt også med det lokale </w:t>
      </w:r>
      <w:proofErr w:type="spellStart"/>
      <w:r w:rsidRPr="00A7782B">
        <w:t>siidastyret</w:t>
      </w:r>
      <w:proofErr w:type="spellEnd"/>
      <w:r w:rsidRPr="00A7782B">
        <w:t xml:space="preserve">, jf. </w:t>
      </w:r>
      <w:r w:rsidR="00CD439F">
        <w:t>§ </w:t>
      </w:r>
      <w:r w:rsidR="00CD439F" w:rsidRPr="00A7782B">
        <w:t>5</w:t>
      </w:r>
      <w:r w:rsidRPr="00A7782B">
        <w:t>1 flg., og med representanter for svenske samebyer med beiterettigheter i Norge.</w:t>
      </w:r>
      <w:r w:rsidR="00CD439F" w:rsidRPr="00CD439F">
        <w:rPr>
          <w:rStyle w:val="Fotnotereferanse"/>
        </w:rPr>
        <w:footnoteReference w:id="262"/>
      </w:r>
    </w:p>
    <w:p w14:paraId="529C96D5" w14:textId="2AA78D4B" w:rsidR="0053637D" w:rsidRDefault="0053637D" w:rsidP="0053637D">
      <w:pPr>
        <w:pStyle w:val="Overskrift3"/>
      </w:pPr>
      <w:bookmarkStart w:id="61" w:name="_Toc223433124"/>
      <w:r>
        <w:t>Innholdet i konsultasjonsplikten</w:t>
      </w:r>
      <w:bookmarkEnd w:id="61"/>
    </w:p>
    <w:p w14:paraId="1561F92A" w14:textId="6E5736EB" w:rsidR="0053637D" w:rsidRDefault="0053637D" w:rsidP="0053637D">
      <w:pPr>
        <w:spacing w:line="276" w:lineRule="auto"/>
      </w:pPr>
      <w:r w:rsidRPr="00974562">
        <w:t>Det følger av artikkel 6 (2) at konsultasjonene skal gjennomføres i god tro (</w:t>
      </w:r>
      <w:r w:rsidR="00CD439F">
        <w:t>«</w:t>
      </w:r>
      <w:r w:rsidRPr="00A7782B">
        <w:t xml:space="preserve">in </w:t>
      </w:r>
      <w:proofErr w:type="spellStart"/>
      <w:r w:rsidRPr="00A7782B">
        <w:t>good</w:t>
      </w:r>
      <w:proofErr w:type="spellEnd"/>
      <w:r w:rsidRPr="00A7782B">
        <w:t xml:space="preserve"> </w:t>
      </w:r>
      <w:proofErr w:type="spellStart"/>
      <w:r w:rsidRPr="00A7782B">
        <w:t>faith</w:t>
      </w:r>
      <w:proofErr w:type="spellEnd"/>
      <w:r w:rsidR="00CD439F">
        <w:t>»</w:t>
      </w:r>
      <w:r w:rsidRPr="00974562">
        <w:t>), og på en måte som er tilpasset forholdene (</w:t>
      </w:r>
      <w:r w:rsidR="00CD439F">
        <w:t>«</w:t>
      </w:r>
      <w:proofErr w:type="spellStart"/>
      <w:r w:rsidRPr="00A7782B">
        <w:t>appropriate</w:t>
      </w:r>
      <w:proofErr w:type="spellEnd"/>
      <w:r w:rsidRPr="00A7782B">
        <w:t xml:space="preserve"> to </w:t>
      </w:r>
      <w:proofErr w:type="spellStart"/>
      <w:r w:rsidRPr="00A7782B">
        <w:t>the</w:t>
      </w:r>
      <w:proofErr w:type="spellEnd"/>
      <w:r w:rsidRPr="00A7782B">
        <w:t xml:space="preserve"> </w:t>
      </w:r>
      <w:proofErr w:type="spellStart"/>
      <w:r w:rsidRPr="00A7782B">
        <w:t>circumstances</w:t>
      </w:r>
      <w:proofErr w:type="spellEnd"/>
      <w:r w:rsidR="00CD439F">
        <w:t>»</w:t>
      </w:r>
      <w:r w:rsidRPr="00974562">
        <w:t>) i den saken det konsulteres om, med formål om å oppnå enighet om eller samtykke til de foreslåtte tiltakene (</w:t>
      </w:r>
      <w:r w:rsidR="00CD439F">
        <w:t>«</w:t>
      </w:r>
      <w:proofErr w:type="spellStart"/>
      <w:r w:rsidRPr="00A7782B">
        <w:t>agreement</w:t>
      </w:r>
      <w:proofErr w:type="spellEnd"/>
      <w:r w:rsidRPr="00A7782B">
        <w:t xml:space="preserve"> or </w:t>
      </w:r>
      <w:proofErr w:type="spellStart"/>
      <w:r w:rsidRPr="00A7782B">
        <w:t>consent</w:t>
      </w:r>
      <w:proofErr w:type="spellEnd"/>
      <w:r w:rsidRPr="00A7782B">
        <w:t xml:space="preserve"> to </w:t>
      </w:r>
      <w:proofErr w:type="spellStart"/>
      <w:r w:rsidRPr="00A7782B">
        <w:t>the</w:t>
      </w:r>
      <w:proofErr w:type="spellEnd"/>
      <w:r w:rsidRPr="00A7782B">
        <w:t xml:space="preserve"> </w:t>
      </w:r>
      <w:proofErr w:type="spellStart"/>
      <w:r w:rsidRPr="00A7782B">
        <w:t>proposed</w:t>
      </w:r>
      <w:proofErr w:type="spellEnd"/>
      <w:r w:rsidRPr="00A7782B">
        <w:t xml:space="preserve"> </w:t>
      </w:r>
      <w:proofErr w:type="spellStart"/>
      <w:r w:rsidRPr="00A7782B">
        <w:t>measures</w:t>
      </w:r>
      <w:proofErr w:type="spellEnd"/>
      <w:r w:rsidR="00CD439F">
        <w:t>»</w:t>
      </w:r>
      <w:r w:rsidRPr="00974562">
        <w:t>).</w:t>
      </w:r>
      <w:r w:rsidRPr="006A02E0">
        <w:t xml:space="preserve"> Det er imidlertid ikke noe krav om at det faktisk oppnås enighet.</w:t>
      </w:r>
    </w:p>
    <w:p w14:paraId="2814AA04" w14:textId="77777777" w:rsidR="0053637D" w:rsidRPr="00A7782B" w:rsidRDefault="0053637D" w:rsidP="0053637D">
      <w:pPr>
        <w:spacing w:line="276" w:lineRule="auto"/>
      </w:pPr>
      <w:r w:rsidRPr="0089399E">
        <w:t>For at det skal være mulig å realisere de målsetningene som er skissert i artikkel 6, vil konsultasjonene måtte gjennomføres på et så tidlig stadium av saksbehandlingen at urfolket har en reell mulighet til å påvirke både prosessen og utfallet av saken. Videre vil konsultasjonene måtte pågå så lenge partene anser det mulig å oppnå enighet.</w:t>
      </w:r>
      <w:r>
        <w:t xml:space="preserve"> </w:t>
      </w:r>
      <w:r w:rsidRPr="00D15632">
        <w:t>Selv om ILO-konvensjonens artikkel 6 ikke gir</w:t>
      </w:r>
      <w:r>
        <w:t xml:space="preserve"> urfolket en vetorett, </w:t>
      </w:r>
      <w:r w:rsidRPr="00D15632">
        <w:t>dreier den seg dermed om en reell innflytelse for vedkommende urfolksgruppe.</w:t>
      </w:r>
    </w:p>
    <w:p w14:paraId="6C055158" w14:textId="63931402" w:rsidR="00303661" w:rsidRDefault="0053637D" w:rsidP="0053637D">
      <w:pPr>
        <w:spacing w:before="120" w:line="276" w:lineRule="auto"/>
        <w:rPr>
          <w:rFonts w:cs="Times New Roman"/>
        </w:rPr>
      </w:pPr>
      <w:r w:rsidRPr="0053637D">
        <w:rPr>
          <w:rFonts w:cs="Times New Roman"/>
        </w:rPr>
        <w:t xml:space="preserve">I sameloven </w:t>
      </w:r>
      <w:r w:rsidR="00CD439F">
        <w:rPr>
          <w:rFonts w:cs="Times New Roman"/>
        </w:rPr>
        <w:t>§ </w:t>
      </w:r>
      <w:r w:rsidR="00CD439F" w:rsidRPr="0053637D">
        <w:rPr>
          <w:rFonts w:cs="Times New Roman"/>
        </w:rPr>
        <w:t>4</w:t>
      </w:r>
      <w:r w:rsidRPr="0053637D">
        <w:rPr>
          <w:rFonts w:cs="Times New Roman"/>
        </w:rPr>
        <w:t>-6 er de forpliktelsene som følger av artikkel 6 (2) regulert slik:</w:t>
      </w:r>
    </w:p>
    <w:p w14:paraId="790E265C" w14:textId="73D7922F" w:rsidR="0053637D" w:rsidRPr="00CD439F" w:rsidRDefault="00CD439F" w:rsidP="0053637D">
      <w:pPr>
        <w:pStyle w:val="blokksit"/>
        <w:ind w:left="757"/>
      </w:pPr>
      <w:r>
        <w:lastRenderedPageBreak/>
        <w:t>«</w:t>
      </w:r>
      <w:r w:rsidR="0053637D" w:rsidRPr="00CD439F">
        <w:t>Konsultasjonene skal gjennomføres i god tro og med formål om å oppnå enighet. Det organet som har konsultasjonsplikt, skal gi full informasjon om relevante forhold på alle stadier i behandlingen av saken.</w:t>
      </w:r>
    </w:p>
    <w:p w14:paraId="2EE29FCB" w14:textId="77777777" w:rsidR="0053637D" w:rsidRPr="00CD439F" w:rsidRDefault="0053637D" w:rsidP="0053637D">
      <w:pPr>
        <w:pStyle w:val="blokksit"/>
        <w:ind w:left="757"/>
      </w:pPr>
      <w:r w:rsidRPr="00CD439F">
        <w:t>Konsultasjonene skal begynne så tidlig at partene har reell mulighet til å oppnå enighet om beslutningen.</w:t>
      </w:r>
    </w:p>
    <w:p w14:paraId="4718F8B3" w14:textId="70CE5BFD" w:rsidR="0053637D" w:rsidRPr="00CD439F" w:rsidRDefault="0053637D" w:rsidP="0053637D">
      <w:pPr>
        <w:pStyle w:val="blokksit"/>
        <w:ind w:left="757"/>
        <w:rPr>
          <w:rFonts w:cs="Times New Roman"/>
        </w:rPr>
      </w:pPr>
      <w:r w:rsidRPr="00CD439F">
        <w:t>Konsultasjonene skal ikke avsluttes så lenge partene antar at det er mulig å oppnå enighet om saken.</w:t>
      </w:r>
      <w:r w:rsidR="00CD439F">
        <w:t>»</w:t>
      </w:r>
    </w:p>
    <w:p w14:paraId="01322403" w14:textId="77777777" w:rsidR="00303661" w:rsidRDefault="0053637D" w:rsidP="0053637D">
      <w:r>
        <w:t>Reelle konsultasjoner forutsetter at de antatte faktiske konsekvensene av relevante reguleringer og beslutninger og deres betydning for overholdelse av de folkerettslige forpliktelsene avklares. Dette gjelder både betydningen av bevaringsforpliktelsene etter Bernkonvensjonen og plikten til lokal beskyttelse av samiske rettigheter etter FN-konvensjonen artikkel 27, og forholdet mellom disse forpliktelsene. Slik avklaring kan kreve gjennomføring av konsekvensanalyser, slik det fremgår av</w:t>
      </w:r>
    </w:p>
    <w:p w14:paraId="28CF2B8C" w14:textId="230E9335" w:rsidR="0053637D" w:rsidRDefault="0053637D" w:rsidP="0053637D">
      <w:r>
        <w:t xml:space="preserve">Menneskerettskomiteens praksis når det gjelder artikkel 27. Samisk representasjon i besluttende organer, slik som i rovviltnemder, </w:t>
      </w:r>
      <w:r w:rsidRPr="00DB32AA">
        <w:t>kan være et virkemiddel for å oppfylle deltakelsesretten</w:t>
      </w:r>
      <w:r>
        <w:t xml:space="preserve">, men plikten til å gjennomføre konsultasjoner innebærer at samiske interesser blir hørt i en bredere forstand, noe som kan innebære at det i tillegg gjennomføres konsultasjoner med, henholdsvis, Sametinget, reindriftsorganisasjoner, styrer for lokale reinbeitedistrikter og </w:t>
      </w:r>
      <w:proofErr w:type="spellStart"/>
      <w:r>
        <w:t>siidastyrer</w:t>
      </w:r>
      <w:proofErr w:type="spellEnd"/>
      <w:r>
        <w:t xml:space="preserve"> og, hvor det er aktuelt, svenske samebyer.</w:t>
      </w:r>
    </w:p>
    <w:p w14:paraId="7EC5B1C9" w14:textId="7C44B5E2" w:rsidR="00EE19C7" w:rsidRDefault="00EC730B" w:rsidP="00EC730B">
      <w:pPr>
        <w:pStyle w:val="Overskrift1"/>
      </w:pPr>
      <w:bookmarkStart w:id="62" w:name="_Toc223433125"/>
      <w:r>
        <w:t>Bør forvaltningen endres?</w:t>
      </w:r>
      <w:bookmarkEnd w:id="62"/>
    </w:p>
    <w:p w14:paraId="462D8A84" w14:textId="34628B84" w:rsidR="00EC730B" w:rsidRDefault="00EC730B" w:rsidP="00EC730B">
      <w:pPr>
        <w:pStyle w:val="Overskrift2"/>
      </w:pPr>
      <w:bookmarkStart w:id="63" w:name="_Toc223433126"/>
      <w:r>
        <w:t>Det folkerettslige rammeverket</w:t>
      </w:r>
      <w:bookmarkEnd w:id="63"/>
    </w:p>
    <w:p w14:paraId="316BD646" w14:textId="77777777" w:rsidR="00303661" w:rsidRDefault="00EC730B" w:rsidP="00EC730B">
      <w:r w:rsidRPr="00DD4799">
        <w:t>Folkeretten</w:t>
      </w:r>
      <w:r w:rsidRPr="00B333EA">
        <w:t xml:space="preserve"> stiller krav til både </w:t>
      </w:r>
      <w:r>
        <w:t xml:space="preserve">forvaltningen av </w:t>
      </w:r>
      <w:r w:rsidRPr="00DD4799">
        <w:t>rov</w:t>
      </w:r>
      <w:r>
        <w:t>vilt</w:t>
      </w:r>
      <w:r w:rsidRPr="00B333EA">
        <w:t xml:space="preserve"> og til </w:t>
      </w:r>
      <w:r w:rsidRPr="00DD4799">
        <w:t xml:space="preserve">beskyttelse av </w:t>
      </w:r>
      <w:r>
        <w:t>reindrift som grunnlag for samisk kulturutøvelse</w:t>
      </w:r>
      <w:r w:rsidRPr="00B333EA">
        <w:t xml:space="preserve">. </w:t>
      </w:r>
      <w:r>
        <w:t xml:space="preserve">De viktigste internasjonale konvensjonene til beskyttelse av rovvilt er Bernkonvensjonen om </w:t>
      </w:r>
      <w:r w:rsidRPr="0EB64625">
        <w:t>vern av ville europeiske planter og dyr og deres naturlige leveområder (</w:t>
      </w:r>
      <w:r>
        <w:t>1</w:t>
      </w:r>
      <w:r w:rsidRPr="0EB64625">
        <w:t>979)</w:t>
      </w:r>
      <w:r>
        <w:t xml:space="preserve"> og</w:t>
      </w:r>
      <w:r w:rsidRPr="0EB64625">
        <w:t xml:space="preserve"> </w:t>
      </w:r>
      <w:r>
        <w:t>k</w:t>
      </w:r>
      <w:r w:rsidRPr="0EB64625">
        <w:t>onvensjonen om biologisk mangfold (1992)</w:t>
      </w:r>
      <w:r>
        <w:t>. Bernkonvensjonen stiller krav til at rovviltbestandene skal bevares på et visst nivå og at leveområdene deres skal sikres. Jakt og felling av truede arter kan bare tillates for nærmere spesifiserte formål.</w:t>
      </w:r>
    </w:p>
    <w:p w14:paraId="7F163EDF" w14:textId="77777777" w:rsidR="00303661" w:rsidRDefault="00EC730B" w:rsidP="00EC730B">
      <w:r w:rsidRPr="2FB46E9B">
        <w:t xml:space="preserve">På den andre siden har statene en plikt etter FN-konvensjonen om sivile og politiske rettigheter (1966) artikkel 27 til å iverksette tiltak for å beskytte urfolks kulturutøvelse, herunder samisk reindrift, også mot rovvilt. ILO-konvensjon nr. 169 (1989) om urfolk </w:t>
      </w:r>
      <w:r>
        <w:t xml:space="preserve">og stammefolk i selvstendige stater </w:t>
      </w:r>
      <w:r w:rsidRPr="2FB46E9B">
        <w:t>innebærer en rett til deltakelse og konsultasjon om tiltak i rovviltforvaltningen som kan ha betydning for den samiske befolkningen.</w:t>
      </w:r>
    </w:p>
    <w:p w14:paraId="2B51A05B" w14:textId="11081B91" w:rsidR="00EC730B" w:rsidRDefault="00EC730B" w:rsidP="00EC730B">
      <w:r>
        <w:lastRenderedPageBreak/>
        <w:t>Tolkningsreglene i folkeretten innebærer at en så langt mulig skal harmonisere forpliktelsene i ulike konvensjoner, for å unngå motstrid. Utvalget mener at rovviltforvaltningen kan innrettes på en slik måte at den verken kommer i konflikt med miljøkonvensjonene eller de folkerettslige urfolksforpliktelsene.</w:t>
      </w:r>
    </w:p>
    <w:p w14:paraId="4B20DC7C" w14:textId="56AB13EF" w:rsidR="00EC730B" w:rsidRDefault="00EC730B" w:rsidP="00EC730B">
      <w:pPr>
        <w:pStyle w:val="Overskrift2"/>
      </w:pPr>
      <w:bookmarkStart w:id="64" w:name="_Toc223433127"/>
      <w:r>
        <w:t>Vernet av rovvilt og samiske rettigheter i lovgivningen</w:t>
      </w:r>
      <w:bookmarkEnd w:id="64"/>
    </w:p>
    <w:p w14:paraId="515BD62A" w14:textId="14539262" w:rsidR="00EC730B" w:rsidRDefault="00EC730B" w:rsidP="00EC730B">
      <w:r w:rsidRPr="00DD6DF1">
        <w:t xml:space="preserve">Rovviltforvaltningen har </w:t>
      </w:r>
      <w:r>
        <w:t xml:space="preserve">generelt et </w:t>
      </w:r>
      <w:r w:rsidRPr="00DD6DF1">
        <w:t>lovgrunnlag</w:t>
      </w:r>
      <w:r>
        <w:t>,</w:t>
      </w:r>
      <w:r w:rsidRPr="00307E42">
        <w:t xml:space="preserve"> særlig i naturmangfoldloven</w:t>
      </w:r>
      <w:r>
        <w:t>,</w:t>
      </w:r>
      <w:r w:rsidRPr="00307E42">
        <w:t xml:space="preserve"> som avspeiler de folkerettslige forpliktelsene</w:t>
      </w:r>
      <w:r>
        <w:t xml:space="preserve"> om vern av rovvilt</w:t>
      </w:r>
      <w:r w:rsidRPr="00307E42">
        <w:t>, spesielt Bernkonvensjonen,</w:t>
      </w:r>
      <w:r>
        <w:t xml:space="preserve"> på en tilfredsstillende måte</w:t>
      </w:r>
      <w:r w:rsidRPr="00307E42">
        <w:t xml:space="preserve">. </w:t>
      </w:r>
      <w:r>
        <w:t xml:space="preserve">Men </w:t>
      </w:r>
      <w:r w:rsidRPr="00DD6DF1">
        <w:t xml:space="preserve">beskyttelsen av </w:t>
      </w:r>
      <w:r>
        <w:t xml:space="preserve">de </w:t>
      </w:r>
      <w:r w:rsidRPr="00DD6DF1">
        <w:t xml:space="preserve">samiske rettighetene i rovviltforvaltningen </w:t>
      </w:r>
      <w:r>
        <w:t>er</w:t>
      </w:r>
      <w:r w:rsidRPr="00DD6DF1">
        <w:t xml:space="preserve"> ikke like klart </w:t>
      </w:r>
      <w:r>
        <w:t xml:space="preserve">lovfestet. Naturmangfoldlovens </w:t>
      </w:r>
      <w:r w:rsidR="00CD439F">
        <w:t>§ </w:t>
      </w:r>
      <w:r w:rsidR="00CD439F" w:rsidRPr="00307E42">
        <w:t>1</w:t>
      </w:r>
      <w:r w:rsidRPr="00307E42">
        <w:t xml:space="preserve"> </w:t>
      </w:r>
      <w:r>
        <w:t>om lovens formål fastsetter at</w:t>
      </w:r>
      <w:r w:rsidRPr="00307E42">
        <w:t xml:space="preserve"> det </w:t>
      </w:r>
      <w:r>
        <w:t xml:space="preserve">ved bruk og vern av naturen </w:t>
      </w:r>
      <w:r w:rsidRPr="00307E42">
        <w:t xml:space="preserve">skal tas hensyn til samisk kultur. </w:t>
      </w:r>
      <w:r>
        <w:t>Men det fremgår ikke av loven at reindriften etter folkeretten har ubetingede rettigheter som også får betydning for rovviltforvaltningen.</w:t>
      </w:r>
    </w:p>
    <w:p w14:paraId="4331A8AC" w14:textId="704D9CC4" w:rsidR="00EC730B" w:rsidRDefault="00EC730B" w:rsidP="00EC730B">
      <w:r w:rsidRPr="2FB46E9B">
        <w:t xml:space="preserve">Riktignok fastsetter menneskerettsloven av 1999 </w:t>
      </w:r>
      <w:r w:rsidR="00CD439F">
        <w:t>§ </w:t>
      </w:r>
      <w:r w:rsidR="00CD439F" w:rsidRPr="2FB46E9B">
        <w:t>3</w:t>
      </w:r>
      <w:r w:rsidRPr="2FB46E9B">
        <w:t xml:space="preserve"> at forpliktelsene i FN-konvensjonen om sivile og politiske rettigheter går foran øvrig lovgivning ved konflikt. Men dette gir lite synlighet for de pliktene som følger av konvensjonens artikkel 27 i rovviltforvaltningen. Denne bestemmelsen innebærer at det er grenser for hvor omfattende inngrep som kan gjøres i reindriften i vernet av rovvilt. Artikkel 27 bør derfor gis et mer fremtredende uttrykk i naturmangfoldloven. Et eksempel på innarbeidelse av de folkerettslige urfolksforpliktene i lovgivningen er finnmarksloven av 2005, hvor det i </w:t>
      </w:r>
      <w:r w:rsidR="00CD439F">
        <w:t>§ </w:t>
      </w:r>
      <w:r w:rsidR="00CD439F" w:rsidRPr="2FB46E9B">
        <w:t>3</w:t>
      </w:r>
      <w:r w:rsidRPr="2FB46E9B">
        <w:t xml:space="preserve"> blant annet bestemmes: </w:t>
      </w:r>
      <w:r w:rsidR="00CD439F">
        <w:t>«</w:t>
      </w:r>
      <w:r w:rsidRPr="2FB46E9B">
        <w:t>Loven skal anvendes i samsvar med folkerettens regler om urfolk og minoriteter</w:t>
      </w:r>
      <w:r w:rsidR="00CD439F">
        <w:t>»</w:t>
      </w:r>
      <w:r w:rsidRPr="2FB46E9B">
        <w:t>. En tilsvarende formulering bør inntas i naturmangfoldloven, basert på forklarende forarbeider og med informasjon til forvaltningen og offentligheten om betydningen av lovendringen.</w:t>
      </w:r>
    </w:p>
    <w:p w14:paraId="23C3C36A" w14:textId="1176EE2F" w:rsidR="00EC730B" w:rsidRDefault="00EC730B" w:rsidP="00EC730B">
      <w:pPr>
        <w:pStyle w:val="Overskrift2"/>
      </w:pPr>
      <w:bookmarkStart w:id="65" w:name="_Toc223433128"/>
      <w:r>
        <w:t>Konsekvensene for rovviltforvaltningen</w:t>
      </w:r>
      <w:bookmarkEnd w:id="65"/>
    </w:p>
    <w:p w14:paraId="54DCDF0E" w14:textId="77777777" w:rsidR="00303661" w:rsidRDefault="00EC730B" w:rsidP="00EC730B">
      <w:r>
        <w:t xml:space="preserve">De nasjonale bestandsmålene for rovviltbestandene er satt ut fra en politisk avveining mellom Norges forpliktelser etter Bernkonvensjonen og hensynet til å beskytte beitenæringene, herunder reindriften. De nasjonale målene innebærer ikke i seg selv en krenkelse av de folkerettslige urfolksforpliktelsene. Men fordelingen av disse målene legger press på den regionale soneforvaltningen og fellingsregimet, som kan få store utslag i den lokale reindriften. Oppnåelsen av de regionale bestandsmålene fører til omfattende rovviltsoner som i stor grad overlapper med reindriftsdistrikter, inkludert </w:t>
      </w:r>
      <w:proofErr w:type="spellStart"/>
      <w:r>
        <w:t>kalvingsområder</w:t>
      </w:r>
      <w:proofErr w:type="spellEnd"/>
      <w:r>
        <w:t>. Dette gjelder først og fremst gaupe og jerv, i mindre grad bjørn og i liten grad ulv. Det er ikke fastsatt regionale bestandsmål for kongeørn. Disse bestandsmålene fører til et restriktivt fellingsregime. I enkelte reinbeiteområder er tapene til rovvilt så omfattende at de gir grunn til å spørre om artikkel 27 i FN-</w:t>
      </w:r>
      <w:r>
        <w:lastRenderedPageBreak/>
        <w:t xml:space="preserve">konvensjonen om sivile og politiske rettigheter er krenket og </w:t>
      </w:r>
      <w:r w:rsidRPr="005511B3">
        <w:t xml:space="preserve">at rovviltforvaltningen i disse områdene </w:t>
      </w:r>
      <w:r>
        <w:t xml:space="preserve">derfor </w:t>
      </w:r>
      <w:r w:rsidRPr="00BF6B48">
        <w:t>kan</w:t>
      </w:r>
      <w:r>
        <w:t xml:space="preserve"> </w:t>
      </w:r>
      <w:r w:rsidRPr="005511B3">
        <w:t>representere et folkerettsbrudd</w:t>
      </w:r>
      <w:r>
        <w:t>.</w:t>
      </w:r>
    </w:p>
    <w:p w14:paraId="2A190E76" w14:textId="1376EFDE" w:rsidR="00EC730B" w:rsidRDefault="00EC730B" w:rsidP="00EC730B">
      <w:r w:rsidRPr="2FB46E9B">
        <w:t xml:space="preserve">Utvalget mener at rovviltforvaltningen kan innrettes slik at det ikke oppstår konflikt mellom Bernkonvensjonens vern av rovviltet og de folkerettslige urfolksforpliktelsene. Det innebærer ikke at de nasjonale bestandsmålene må oppgis. Men fordelingen av bestandsmålene for gaupe og jerv mellom de ulike regionene bør revurderes slik at de områdene som er mest utsatt for lokale reintap i større grad vernes mot rovdyr og at en større del av bestandsmålene overføres til andre regioner. Dette bør kombineres med begrensninger i overlappende reinbeite- og rovdyrområder, slik at det blir et klarere skille mellom områder hvor reindriften skal ha fortrinnsrett og områder hvor rovdyr i større grad skal vernes. Reduksjon av bestandsmålene i de regionene hvor reindriften er mest utsatt for rovdyrtap vil tillate mer effektiv felling av rovvilt, særlig i kalvings- og oppvekstområder for rein. Forvaltningen av kongeørn bør også gjennomgås. Forebyggende tiltak med finansiering av staten, </w:t>
      </w:r>
      <w:r>
        <w:t xml:space="preserve">slik som økt tilsyn og midlertidige gjerder i </w:t>
      </w:r>
      <w:proofErr w:type="spellStart"/>
      <w:r>
        <w:t>kalvingsområder</w:t>
      </w:r>
      <w:proofErr w:type="spellEnd"/>
      <w:r>
        <w:t xml:space="preserve">, </w:t>
      </w:r>
      <w:r w:rsidRPr="2FB46E9B">
        <w:t>bør anvendes hvor dette er praktisk mulig og respekterer samisk tradisjon og kulturutøvelse.</w:t>
      </w:r>
    </w:p>
    <w:p w14:paraId="3B30AFEA" w14:textId="6B92ED89" w:rsidR="00303661" w:rsidRDefault="00EC730B" w:rsidP="00EC730B">
      <w:r>
        <w:rPr>
          <w:rFonts w:cs="Times New Roman"/>
        </w:rPr>
        <w:t xml:space="preserve">I Klima- og miljødepartementets brev til Utvalget av 28. januar 2026 opplyses det at et av tiltakene under Tiltakspakke for reindrift og energi er, sammen med reindriften, å gjennomføre </w:t>
      </w:r>
      <w:r w:rsidR="00CD439F">
        <w:rPr>
          <w:rFonts w:cs="Times New Roman"/>
        </w:rPr>
        <w:t>«</w:t>
      </w:r>
      <w:r>
        <w:rPr>
          <w:rFonts w:cs="Times New Roman"/>
        </w:rPr>
        <w:t>utredninger i særlige utsatte områder for å finne og sette i verk tiltak for å redusere rovvilttap</w:t>
      </w:r>
      <w:r w:rsidR="00CD439F">
        <w:rPr>
          <w:rFonts w:cs="Times New Roman"/>
        </w:rPr>
        <w:t>»</w:t>
      </w:r>
      <w:r>
        <w:rPr>
          <w:rFonts w:cs="Times New Roman"/>
        </w:rPr>
        <w:t xml:space="preserve">. Det er satt av midler i 2025 og 2026, men </w:t>
      </w:r>
      <w:r w:rsidR="00CD439F">
        <w:rPr>
          <w:rFonts w:cs="Times New Roman"/>
        </w:rPr>
        <w:t>«</w:t>
      </w:r>
      <w:r w:rsidRPr="00C27D06">
        <w:rPr>
          <w:rFonts w:cs="Times New Roman"/>
        </w:rPr>
        <w:t>intensjonen er at dette er et mangeårig tiltak med utredninger i nye områder</w:t>
      </w:r>
      <w:r w:rsidR="00CD439F">
        <w:rPr>
          <w:rFonts w:cs="Times New Roman"/>
        </w:rPr>
        <w:t>»</w:t>
      </w:r>
      <w:r>
        <w:rPr>
          <w:rFonts w:cs="Times New Roman"/>
        </w:rPr>
        <w:t>. Et annet tiltak under Tiltakspakken er ifølge</w:t>
      </w:r>
      <w:r w:rsidRPr="47A0B628">
        <w:rPr>
          <w:rFonts w:cs="Times New Roman"/>
        </w:rPr>
        <w:t xml:space="preserve"> departementets</w:t>
      </w:r>
      <w:r>
        <w:rPr>
          <w:rFonts w:cs="Times New Roman"/>
        </w:rPr>
        <w:t xml:space="preserve"> brev at regjeringen </w:t>
      </w:r>
      <w:r w:rsidR="00CD439F">
        <w:rPr>
          <w:rFonts w:cs="Times New Roman"/>
        </w:rPr>
        <w:t>«</w:t>
      </w:r>
      <w:r w:rsidRPr="002451E7">
        <w:rPr>
          <w:rFonts w:cs="Times New Roman"/>
        </w:rPr>
        <w:t>vil se på behovet for reduserte bestandsmål for gaupe og jerv i de tre nordligste forvaltningsregionene for rovvilt</w:t>
      </w:r>
      <w:r w:rsidR="00CD439F">
        <w:rPr>
          <w:rFonts w:cs="Times New Roman"/>
        </w:rPr>
        <w:t>»</w:t>
      </w:r>
      <w:r>
        <w:rPr>
          <w:rFonts w:cs="Times New Roman"/>
        </w:rPr>
        <w:t xml:space="preserve">. Denne utredningen vil foretas av Miljødirektoratet. I et notat fra Miljødirektoratet til Utvalget åpnes det for at en omfordeling kan være mulig. Denne muligheten bekreftes i rapporten </w:t>
      </w:r>
      <w:r w:rsidRPr="00CD439F">
        <w:rPr>
          <w:rStyle w:val="kursiv"/>
        </w:rPr>
        <w:t>Faggrunnlag for utredning av bestandsmål for gaupe og jer</w:t>
      </w:r>
      <w:r>
        <w:rPr>
          <w:rFonts w:cs="Times New Roman"/>
        </w:rPr>
        <w:t>v, utført av NINA, om justeringer i den regionale fordelingen av bestandsmålene for gaupe og jerv.</w:t>
      </w:r>
      <w:r w:rsidR="00CD439F" w:rsidRPr="00CD439F">
        <w:rPr>
          <w:rStyle w:val="Fotnotereferanse"/>
        </w:rPr>
        <w:footnoteReference w:id="263"/>
      </w:r>
      <w:r>
        <w:rPr>
          <w:rFonts w:cs="Times New Roman"/>
        </w:rPr>
        <w:t xml:space="preserve"> Utvalget vil understreke behovet for å sikre at </w:t>
      </w:r>
      <w:r>
        <w:t xml:space="preserve">FN-konvensjonens </w:t>
      </w:r>
      <w:r w:rsidRPr="005511B3">
        <w:t>artikkel 27</w:t>
      </w:r>
      <w:r>
        <w:t xml:space="preserve"> respekteres i de mest rovdyrutsatte områdene, når omfordelingen av de regionale bestandsmålene skal vurderes.</w:t>
      </w:r>
    </w:p>
    <w:p w14:paraId="353172BD" w14:textId="3865F9E6" w:rsidR="00EC730B" w:rsidRDefault="00EC730B" w:rsidP="00EC730B">
      <w:pPr>
        <w:pStyle w:val="Overskrift2"/>
      </w:pPr>
      <w:bookmarkStart w:id="66" w:name="_Toc223433129"/>
      <w:r>
        <w:t>Nødvergeretten</w:t>
      </w:r>
      <w:bookmarkEnd w:id="66"/>
    </w:p>
    <w:p w14:paraId="7C5EB0AD" w14:textId="1ED502C6" w:rsidR="00EC730B" w:rsidRDefault="00EC730B" w:rsidP="00EC730B">
      <w:r>
        <w:t xml:space="preserve">Naturmangfoldloven </w:t>
      </w:r>
      <w:r w:rsidR="00CD439F">
        <w:t>§ 1</w:t>
      </w:r>
      <w:r>
        <w:t xml:space="preserve">7 fastsetter etter endringen 28. mars 2025 at nødverge kan foretas </w:t>
      </w:r>
      <w:r w:rsidR="00CD439F">
        <w:t>«</w:t>
      </w:r>
      <w:r w:rsidRPr="004418DD">
        <w:t>når det må anses påkrevd på grunn av et pågående angrep på tamrein</w:t>
      </w:r>
      <w:r>
        <w:t xml:space="preserve"> …</w:t>
      </w:r>
      <w:r w:rsidRPr="004418DD">
        <w:t xml:space="preserve"> eller fordi det er overveiende sannsynlig at slikt angrep er nær forestående</w:t>
      </w:r>
      <w:r w:rsidR="00CD439F">
        <w:t>»</w:t>
      </w:r>
      <w:r w:rsidRPr="004418DD">
        <w:t>.</w:t>
      </w:r>
      <w:r>
        <w:t xml:space="preserve"> Utvalget mener </w:t>
      </w:r>
      <w:r>
        <w:lastRenderedPageBreak/>
        <w:t>at disse kravene ikke fullt ut samsvarer med betingelsene i Bernkonvensjonen artikkel 9. Denne bestemmelsen setter som generelle vilkår at felling av beskyttede arter ikke må true vedkommende bestands overlevelse og at felling bare</w:t>
      </w:r>
      <w:r w:rsidRPr="75356CD1">
        <w:t xml:space="preserve"> brukes som siste utvei. </w:t>
      </w:r>
      <w:r>
        <w:t xml:space="preserve">Dersom det finnes ikke-dødelige alternativer, må disse anvendes fremfor felling. Nødvergehandlingene kan heller ikke </w:t>
      </w:r>
      <w:r w:rsidRPr="75356CD1">
        <w:t xml:space="preserve">gå lenger enn </w:t>
      </w:r>
      <w:r>
        <w:t xml:space="preserve">det som er </w:t>
      </w:r>
      <w:r w:rsidRPr="75356CD1">
        <w:t>nødvendig for å avverge angrepet.</w:t>
      </w:r>
    </w:p>
    <w:p w14:paraId="57ACDA5A" w14:textId="70B1C95F" w:rsidR="00EC730B" w:rsidRDefault="00EC730B" w:rsidP="00EC730B">
      <w:r w:rsidRPr="2FB46E9B">
        <w:t xml:space="preserve">Kravet om at nødverge må være </w:t>
      </w:r>
      <w:r w:rsidR="00CD439F">
        <w:t>«</w:t>
      </w:r>
      <w:r w:rsidRPr="2FB46E9B">
        <w:t>påkrevd</w:t>
      </w:r>
      <w:r w:rsidR="00CD439F">
        <w:t>»</w:t>
      </w:r>
      <w:r w:rsidRPr="2FB46E9B">
        <w:t xml:space="preserve"> etter </w:t>
      </w:r>
      <w:r w:rsidR="00CD439F">
        <w:t>§ </w:t>
      </w:r>
      <w:r w:rsidR="00CD439F" w:rsidRPr="2FB46E9B">
        <w:t>1</w:t>
      </w:r>
      <w:r w:rsidRPr="2FB46E9B">
        <w:t>7 innebærer at ikke-dødelige avvergingsmetoder har forrang. Men konvensjonsbestemmelsen stiller ikke krav om at angrepet må være overveiende sannsynlig. Den bør tolkes som et krav om at det må foretas en sammensatt vurdering hvor både faregraden og det potensielle skadeomfanget omfattes. Det bør også anses å være en mer omfattende rett til nødverge i områder hvor reindriften er særlig sårbar.</w:t>
      </w:r>
    </w:p>
    <w:p w14:paraId="4DA4AA36" w14:textId="43D15A67" w:rsidR="00EC730B" w:rsidRDefault="005664CE" w:rsidP="005664CE">
      <w:pPr>
        <w:pStyle w:val="Overskrift2"/>
      </w:pPr>
      <w:bookmarkStart w:id="67" w:name="_Toc223433130"/>
      <w:r>
        <w:t>Konsultasjonsplikten</w:t>
      </w:r>
      <w:bookmarkEnd w:id="67"/>
    </w:p>
    <w:p w14:paraId="543923DA" w14:textId="5DBA3E67" w:rsidR="005664CE" w:rsidRDefault="005664CE" w:rsidP="005664CE">
      <w:r>
        <w:t>Konsultasjonsplikten med samiske interesser og deres rett etter ILO-konvensjon nr. 169 til å delta i beslutningsprosesser i saker som angår dem,</w:t>
      </w:r>
      <w:r w:rsidRPr="2FB46E9B">
        <w:t xml:space="preserve"> fremgår av konvensjonens artikler 6, 7 og 15. F</w:t>
      </w:r>
      <w:r>
        <w:t>orvaltningen av rovvilt har direkte betydning for reindriften og for utnyttelsen av naturressursene, og de berørte samiske interessene har derfor rett til å bli konsultert og til å delta i beslutningsprosessen. Det gjelder både ved den nasjonale og regionale forvaltningen, og ved fastsettelse av generelle regler og enkeltavgjørelser. Plikten gjelder for Stortinget, regjeringen, departementene, direktoratene og andre underliggende statlige virksomheter og organer, som for eksempel statsforvalterne, reindriftens områdestyrer og de regionale rovviltnemndene, samt kommuner og fylkeskommuner.</w:t>
      </w:r>
    </w:p>
    <w:p w14:paraId="28D25966" w14:textId="4CF8DDDE" w:rsidR="005664CE" w:rsidRDefault="005664CE" w:rsidP="005664CE">
      <w:r w:rsidRPr="00A7782B">
        <w:t xml:space="preserve">Sametinget vil være </w:t>
      </w:r>
      <w:r w:rsidRPr="00D20D45">
        <w:t xml:space="preserve">det </w:t>
      </w:r>
      <w:r w:rsidRPr="00A7782B">
        <w:t xml:space="preserve">representative </w:t>
      </w:r>
      <w:r w:rsidRPr="00D20D45">
        <w:t xml:space="preserve">organet </w:t>
      </w:r>
      <w:r w:rsidRPr="00A7782B">
        <w:t xml:space="preserve">når det gjelder lovgivning og andre tiltak </w:t>
      </w:r>
      <w:r>
        <w:t>som har betydning</w:t>
      </w:r>
      <w:r w:rsidRPr="00A7782B">
        <w:t xml:space="preserve"> for samer i Norge som helhet, eller for en betydelig andel av norske samer. Sametinget vil også være representativ</w:t>
      </w:r>
      <w:r w:rsidRPr="00D20D45">
        <w:t>t</w:t>
      </w:r>
      <w:r w:rsidRPr="00A7782B">
        <w:t xml:space="preserve"> i saker som berører mer begrensede grupper av samer, men der sakene har stor betydning for samisk kulturutøvelse, </w:t>
      </w:r>
      <w:r>
        <w:t xml:space="preserve">inkludert reindrift, </w:t>
      </w:r>
      <w:r w:rsidRPr="00A7782B">
        <w:t xml:space="preserve">eller av andre grunner er prinsipielt viktige. </w:t>
      </w:r>
      <w:r>
        <w:t xml:space="preserve">Men i lokale saker må dessuten </w:t>
      </w:r>
      <w:r w:rsidRPr="00A7782B">
        <w:t xml:space="preserve">de berørte reindriftsinteressene konsulteres ved sine representative institusjoner. For beslutninger på nasjonalt nivå vil Norske Reindriftsamers Landsforbund (NRL) være en aktuell konsultasjonspart. For beslutninger som treffes som ledd i rovviltforvaltningen på regionalt nivå vil det </w:t>
      </w:r>
      <w:r>
        <w:t xml:space="preserve">være </w:t>
      </w:r>
      <w:r w:rsidRPr="00A7782B">
        <w:t xml:space="preserve">aktuelt å konsultere med representanter for de lokalt berørte reindriftsutøverne ved deres distriktsstyrer, og eventuelt også med det lokale </w:t>
      </w:r>
      <w:proofErr w:type="spellStart"/>
      <w:r w:rsidRPr="00A7782B">
        <w:t>siidastyret</w:t>
      </w:r>
      <w:proofErr w:type="spellEnd"/>
      <w:r w:rsidRPr="00A7782B">
        <w:t xml:space="preserve"> og med representanter for svenske samebyer med beiterettigheter i Norge.</w:t>
      </w:r>
    </w:p>
    <w:p w14:paraId="28BC7905" w14:textId="77777777" w:rsidR="005664CE" w:rsidRPr="005816B9" w:rsidRDefault="005664CE" w:rsidP="005664CE">
      <w:r w:rsidRPr="2FB46E9B">
        <w:lastRenderedPageBreak/>
        <w:t>Det er en forutsetning for reelle konsultasjoner at de antatte faktiske konsekvensene av relevante reguleringer og beslutninger og deres betydning for overholdelse av de folkerettslige forpliktelsene avklares. Dette gjelder både betydningen av bevaringsforpliktelsene etter Bernkonvensjonen og plikten til lokal beskyttelse av samiske rettigheter etter FN-konvensjonen artikkel 27, og forholdet mellom disse forpliktelsene. Slik avklaring kan kreve gjennomføring av konsekvensanalyser. Utvalget anbefaler at disse kravene tas inn i lovgivningen om konsultasjonsplikten.</w:t>
      </w:r>
    </w:p>
    <w:sectPr w:rsidR="005664CE" w:rsidRPr="005816B9" w:rsidSect="00D26AE1">
      <w:footerReference w:type="default" r:id="rId11"/>
      <w:footerReference w:type="first" r:id="rId12"/>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E7A5" w14:textId="77777777" w:rsidR="00E55340" w:rsidRDefault="00E55340" w:rsidP="009B113F">
      <w:pPr>
        <w:spacing w:line="240" w:lineRule="auto"/>
      </w:pPr>
      <w:r>
        <w:separator/>
      </w:r>
    </w:p>
  </w:endnote>
  <w:endnote w:type="continuationSeparator" w:id="0">
    <w:p w14:paraId="74EBB066" w14:textId="77777777" w:rsidR="00E55340" w:rsidRDefault="00E55340"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06431"/>
      <w:docPartObj>
        <w:docPartGallery w:val="Page Numbers (Bottom of Page)"/>
        <w:docPartUnique/>
      </w:docPartObj>
    </w:sdtPr>
    <w:sdtEndPr/>
    <w:sdtContent>
      <w:p w14:paraId="4FEA9CEA" w14:textId="310E149B" w:rsidR="00EE44CB" w:rsidRDefault="00EE44CB">
        <w:pPr>
          <w:pStyle w:val="Bunnteks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143839"/>
      <w:docPartObj>
        <w:docPartGallery w:val="Page Numbers (Bottom of Page)"/>
        <w:docPartUnique/>
      </w:docPartObj>
    </w:sdtPr>
    <w:sdtEndPr/>
    <w:sdtContent>
      <w:p w14:paraId="5CD4557B" w14:textId="4EACFD42" w:rsidR="00EE44CB" w:rsidRDefault="00EE44CB">
        <w:pPr>
          <w:pStyle w:val="Bunntekst"/>
          <w:jc w:val="center"/>
        </w:pPr>
        <w:r>
          <w:fldChar w:fldCharType="begin"/>
        </w:r>
        <w:r>
          <w:instrText>PAGE   \* MERGEFORMAT</w:instrText>
        </w:r>
        <w:r>
          <w:fldChar w:fldCharType="separate"/>
        </w:r>
        <w:r>
          <w:t>2</w:t>
        </w:r>
        <w:r>
          <w:fldChar w:fldCharType="end"/>
        </w:r>
      </w:p>
    </w:sdtContent>
  </w:sdt>
  <w:p w14:paraId="4F355C20" w14:textId="77777777" w:rsidR="00EE44CB" w:rsidRDefault="00EE44C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EFD4" w14:textId="77777777" w:rsidR="00E55340" w:rsidRDefault="00E55340" w:rsidP="009B113F">
      <w:pPr>
        <w:spacing w:line="240" w:lineRule="auto"/>
      </w:pPr>
      <w:r>
        <w:separator/>
      </w:r>
    </w:p>
  </w:footnote>
  <w:footnote w:type="continuationSeparator" w:id="0">
    <w:p w14:paraId="517D1F29" w14:textId="77777777" w:rsidR="00E55340" w:rsidRDefault="00E55340" w:rsidP="009B113F">
      <w:pPr>
        <w:spacing w:line="240" w:lineRule="auto"/>
      </w:pPr>
      <w:r>
        <w:continuationSeparator/>
      </w:r>
    </w:p>
  </w:footnote>
  <w:footnote w:id="1">
    <w:p w14:paraId="7DB1E2B2" w14:textId="493FDFB7" w:rsidR="00CD439F" w:rsidRPr="00591E4B" w:rsidRDefault="00404399" w:rsidP="00CD439F">
      <w:pPr>
        <w:pStyle w:val="Fotnotetekst"/>
      </w:pPr>
      <w:r w:rsidRPr="00CD439F">
        <w:rPr>
          <w:rStyle w:val="Fotnotereferanse"/>
        </w:rPr>
        <w:footnoteRef/>
      </w:r>
      <w:r>
        <w:rPr>
          <w:rStyle w:val="Fotnotereferanse"/>
        </w:rPr>
        <w:t xml:space="preserve"> </w:t>
      </w:r>
      <w:hyperlink r:id="rId1" w:history="1">
        <w:r w:rsidR="00CD439F" w:rsidRPr="04C45840">
          <w:rPr>
            <w:rStyle w:val="Hyperkobling"/>
            <w:rFonts w:cs="Times New Roman"/>
          </w:rPr>
          <w:t>https://www.regjeringen.no/no/aktuelt/ekspertutvalg-skal-utrede-norges-forpliktelser-overfor-rovvilt-og-reindrift/id3081185/?expand=factbox3081190</w:t>
        </w:r>
      </w:hyperlink>
    </w:p>
  </w:footnote>
  <w:footnote w:id="2">
    <w:p w14:paraId="6C1537EF" w14:textId="4DD46178" w:rsidR="00CD439F" w:rsidRPr="00CD439F" w:rsidRDefault="00404399" w:rsidP="00CD439F">
      <w:pPr>
        <w:pStyle w:val="Fotnotetekst"/>
      </w:pPr>
      <w:r w:rsidRPr="00CD439F">
        <w:rPr>
          <w:rStyle w:val="Fotnotereferanse"/>
        </w:rPr>
        <w:footnoteRef/>
      </w:r>
      <w:r>
        <w:rPr>
          <w:rStyle w:val="Fotnotereferanse"/>
        </w:rPr>
        <w:t xml:space="preserve"> </w:t>
      </w:r>
      <w:hyperlink r:id="rId2" w:history="1">
        <w:r w:rsidR="00CD439F" w:rsidRPr="006068FC">
          <w:rPr>
            <w:rStyle w:val="Hyperkobling"/>
            <w:rFonts w:cs="Times New Roman"/>
          </w:rPr>
          <w:t>https://www.regjeringen.no/no/aktuelt/tiltakspakke-for-reindrift-og-energi/id3019596/?expand=factbox3019601</w:t>
        </w:r>
      </w:hyperlink>
    </w:p>
  </w:footnote>
  <w:footnote w:id="3">
    <w:p w14:paraId="74AE04BA" w14:textId="64A6CABE"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693A45">
        <w:rPr>
          <w:rFonts w:cs="Times New Roman"/>
          <w:lang w:val="nn-NO"/>
        </w:rPr>
        <w:t xml:space="preserve">Se </w:t>
      </w:r>
      <w:r w:rsidR="00CD439F">
        <w:rPr>
          <w:rFonts w:cs="Times New Roman"/>
          <w:lang w:val="nn-NO"/>
        </w:rPr>
        <w:t xml:space="preserve">St.meld. nr. </w:t>
      </w:r>
      <w:r w:rsidR="00CD439F" w:rsidRPr="00693A45">
        <w:rPr>
          <w:rFonts w:cs="Times New Roman"/>
          <w:lang w:val="nn-NO"/>
        </w:rPr>
        <w:t>35 (1996</w:t>
      </w:r>
      <w:r w:rsidR="00CD439F">
        <w:rPr>
          <w:rFonts w:cs="Times New Roman"/>
          <w:lang w:val="nn-NO"/>
        </w:rPr>
        <w:t>–</w:t>
      </w:r>
      <w:r w:rsidR="00CD439F" w:rsidRPr="00693A45">
        <w:rPr>
          <w:rFonts w:cs="Times New Roman"/>
          <w:lang w:val="nn-NO"/>
        </w:rPr>
        <w:t xml:space="preserve">1997) </w:t>
      </w:r>
      <w:r w:rsidR="00CD439F" w:rsidRPr="00CD439F">
        <w:rPr>
          <w:rStyle w:val="kursiv"/>
          <w:lang w:val="nn-NO"/>
        </w:rPr>
        <w:t>Om rovviltforvaltning</w:t>
      </w:r>
      <w:r w:rsidR="00CD439F" w:rsidRPr="00693A45">
        <w:rPr>
          <w:rFonts w:cs="Times New Roman"/>
          <w:lang w:val="nn-NO"/>
        </w:rPr>
        <w:t xml:space="preserve">, s. 5 og </w:t>
      </w:r>
      <w:r w:rsidR="00CD439F" w:rsidRPr="04C45840">
        <w:rPr>
          <w:rFonts w:eastAsiaTheme="majorEastAsia"/>
        </w:rPr>
        <w:fldChar w:fldCharType="begin"/>
      </w:r>
      <w:r w:rsidR="00CD439F" w:rsidRPr="00693A45">
        <w:rPr>
          <w:rFonts w:eastAsiaTheme="majorEastAsia"/>
          <w:lang w:val="nn-NO"/>
        </w:rPr>
        <w:instrText xml:space="preserve"> ADDIN EN.CITE &lt;EndNote&gt;&lt;Cite&gt;&lt;Author&gt;Meld.St.&lt;/Author&gt;&lt;Year&gt;2017&lt;/Year&gt;&lt;RecNum&gt;10073&lt;/RecNum&gt;&lt;DisplayText&gt;Meld.St., &lt;style face="italic"&gt;Meld. St. 32 (2016 –2017) Reindrift. Lang tradisjon – unike muligheter&lt;/style&gt; (2017)&lt;/DisplayText&gt;&lt;record&gt;&lt;rec-number&gt;10073&lt;/rec-number&gt;&lt;foreign-keys&gt;&lt;key app="EN" db-id="5sffrv50pw0vx2esf075e50jafxwafzxe9r0" timestamp="1755918618" guid="eb32bc14-35b0-4af9-baaf-a37942a99d75"&gt;10073&lt;/key&gt;&lt;/foreign-keys&gt;&lt;ref-type name="Generic"&gt;13&lt;/ref-type&gt;&lt;contributors&gt;&lt;authors&gt;&lt;author&gt;Meld.St.,&lt;/author&gt;&lt;/authors&gt;&lt;/contributors&gt;&lt;titles&gt;&lt;title&gt;Meld. St. 32 (2016 –2017) Reindrift. Lang tradisjon – unike muligheter&lt;/title&gt;&lt;/titles&gt;&lt;dates&gt;&lt;year&gt;2017&lt;/year&gt;&lt;/dates&gt;&lt;urls&gt;&lt;related-urls&gt;&lt;url&gt;https://www.regjeringen.no/no/dokumenter/meld.-st.-32-20162017/id2547907/&lt;/url&gt;&lt;url&gt;https://www.stortinget.no/no/Saker-og-publikasjoner/Saker/Sak/?p=68488&lt;/url&gt;&lt;/related-urls&gt;&lt;/urls&gt;&lt;/record&gt;&lt;/Cite&gt;&lt;/EndNote&gt;</w:instrText>
      </w:r>
      <w:r w:rsidR="00CD439F" w:rsidRPr="04C45840">
        <w:rPr>
          <w:rFonts w:eastAsiaTheme="majorEastAsia"/>
        </w:rPr>
        <w:fldChar w:fldCharType="separate"/>
      </w:r>
      <w:r w:rsidR="00CD439F" w:rsidRPr="00693A45">
        <w:rPr>
          <w:rFonts w:eastAsiaTheme="majorEastAsia"/>
          <w:lang w:val="nn-NO"/>
        </w:rPr>
        <w:t xml:space="preserve">Meld.St., </w:t>
      </w:r>
      <w:r w:rsidR="00CD439F" w:rsidRPr="00CD439F">
        <w:rPr>
          <w:rStyle w:val="kursiv"/>
          <w:rFonts w:eastAsiaTheme="majorEastAsia"/>
          <w:lang w:val="nn-NO"/>
        </w:rPr>
        <w:t xml:space="preserve">Meld. </w:t>
      </w:r>
      <w:r w:rsidR="00CD439F" w:rsidRPr="007E66B0">
        <w:rPr>
          <w:rStyle w:val="kursiv"/>
          <w:rFonts w:eastAsiaTheme="majorEastAsia"/>
          <w:lang w:val="nn-NO"/>
        </w:rPr>
        <w:t>St. 32 (2016 –2017) Reindrift. Lang tradisjon – unike muligheter</w:t>
      </w:r>
      <w:r w:rsidR="00CD439F" w:rsidRPr="00693A45">
        <w:rPr>
          <w:rFonts w:eastAsiaTheme="majorEastAsia"/>
          <w:lang w:val="nn-NO"/>
        </w:rPr>
        <w:t xml:space="preserve"> (2017)</w:t>
      </w:r>
      <w:r w:rsidR="00CD439F" w:rsidRPr="04C45840">
        <w:rPr>
          <w:rFonts w:eastAsiaTheme="majorEastAsia"/>
        </w:rPr>
        <w:fldChar w:fldCharType="end"/>
      </w:r>
      <w:r w:rsidR="00CD439F" w:rsidRPr="00693A45">
        <w:rPr>
          <w:rFonts w:cs="Times New Roman"/>
          <w:lang w:val="nn-NO"/>
        </w:rPr>
        <w:t xml:space="preserve"> s. 23, </w:t>
      </w:r>
      <w:proofErr w:type="spellStart"/>
      <w:r w:rsidR="00CD439F" w:rsidRPr="00693A45">
        <w:rPr>
          <w:rFonts w:cs="Times New Roman"/>
          <w:lang w:val="nn-NO"/>
        </w:rPr>
        <w:t>Prop</w:t>
      </w:r>
      <w:proofErr w:type="spellEnd"/>
      <w:r w:rsidR="00CD439F" w:rsidRPr="00693A45">
        <w:rPr>
          <w:rFonts w:cs="Times New Roman"/>
          <w:lang w:val="nn-NO"/>
        </w:rPr>
        <w:t>. 143</w:t>
      </w:r>
      <w:r w:rsidR="00CD439F">
        <w:rPr>
          <w:rFonts w:cs="Times New Roman"/>
          <w:lang w:val="nn-NO"/>
        </w:rPr>
        <w:t xml:space="preserve"> </w:t>
      </w:r>
      <w:r w:rsidR="00CD439F" w:rsidRPr="00693A45">
        <w:rPr>
          <w:rFonts w:cs="Times New Roman"/>
          <w:lang w:val="nn-NO"/>
        </w:rPr>
        <w:t xml:space="preserve">S 2024–2025 </w:t>
      </w:r>
      <w:proofErr w:type="spellStart"/>
      <w:r w:rsidR="00CD439F" w:rsidRPr="00693A45">
        <w:rPr>
          <w:rFonts w:cs="Times New Roman"/>
          <w:lang w:val="nn-NO"/>
        </w:rPr>
        <w:t>Endringer</w:t>
      </w:r>
      <w:proofErr w:type="spellEnd"/>
      <w:r w:rsidR="00CD439F" w:rsidRPr="00693A45">
        <w:rPr>
          <w:rFonts w:cs="Times New Roman"/>
          <w:lang w:val="nn-NO"/>
        </w:rPr>
        <w:t xml:space="preserve"> i statsbudsjettet 2025 under Landbruks- og matdepartementet. (Reindriftsavtalen 2025/2026) s. 42.</w:t>
      </w:r>
    </w:p>
  </w:footnote>
  <w:footnote w:id="4">
    <w:p w14:paraId="6181633B" w14:textId="26692955" w:rsidR="00CD439F" w:rsidRPr="00834D2D" w:rsidRDefault="00404399" w:rsidP="00CD439F">
      <w:pPr>
        <w:pStyle w:val="Fotnotetekst"/>
      </w:pPr>
      <w:r w:rsidRPr="00CD439F">
        <w:rPr>
          <w:rStyle w:val="Fotnotereferanse"/>
        </w:rPr>
        <w:footnoteRef/>
      </w:r>
      <w:r w:rsidRPr="00834D2D">
        <w:rPr>
          <w:rStyle w:val="Fotnotereferanse"/>
        </w:rPr>
        <w:t xml:space="preserve"> </w:t>
      </w:r>
      <w:r w:rsidR="00CD439F">
        <w:fldChar w:fldCharType="begin"/>
      </w:r>
      <w:r w:rsidR="00CD439F" w:rsidRPr="00834D2D">
        <w:instrText xml:space="preserve"> ADDIN EN.CITE &lt;EndNote&gt;&lt;Cite&gt;&lt;Author&gt;Hansen&lt;/Author&gt;&lt;Year&gt;2019&lt;/Year&gt;&lt;RecNum&gt;10088&lt;/RecNum&gt;&lt;DisplayText&gt;Inger Hansen and others, &lt;style face="italic"&gt;Tap av tamrein - et kunnskapsgrunnlag&lt;/style&gt;, 2019)&lt;/DisplayText&gt;&lt;record&gt;&lt;rec-number&gt;10088&lt;/rec-number&gt;&lt;foreign-keys&gt;&lt;key app="EN" db-id="5sffrv50pw0vx2esf075e50jafxwafzxe9r0" timestamp="1755918717" guid="3f47a105-3622-46a5-9deb-575ee6ee7022"&gt;10088&lt;/key&gt;&lt;/foreign-keys&gt;&lt;ref-type name="Report"&gt;27&lt;/ref-type&gt;&lt;contributors&gt;&lt;authors&gt;&lt;author&gt;Hansen, Inger&lt;/author&gt;&lt;author&gt;Eilertsen, Svein Morten&lt;/author&gt;&lt;author&gt;Sørensen, Ole Jakob&lt;/author&gt;&lt;author&gt;Mørk, Torill&lt;/author&gt;&lt;author&gt;Bråthen, Kari Anne&lt;/author&gt;&lt;author&gt;Johansen, Bernt&lt;/author&gt;&lt;author&gt;Moa, Pål Fossland&lt;/author&gt;&lt;author&gt;Risvoll, Camilla&lt;/author&gt;&lt;author&gt;Sandström, Camilla&lt;/author&gt;&lt;author&gt;Winje, Erlend&lt;/author&gt;&lt;/authors&gt;&lt;/contributors&gt;&lt;titles&gt;&lt;title&gt;Tap av tamrein - et kunnskapsgrunnlag&lt;/title&gt;&lt;/titles&gt;&lt;volume&gt;5&lt;/volume&gt;&lt;number&gt;174&lt;/number&gt;&lt;keywords&gt;&lt;keyword&gt;Urfolksrett rovvilt rein&lt;/keyword&gt;&lt;/keywords&gt;&lt;dates&gt;&lt;year&gt;2019&lt;/year&gt;&lt;/dates&gt;&lt;publisher&gt;NIBIO&lt;/publisher&gt;&lt;isbn&gt;2464-1162&amp;#xD;978-82-17-02478-1&lt;/isbn&gt;&lt;urls&gt;&lt;/urls&gt;&lt;research-notes&gt;https://nibio.brage.unit.no/nibio-xmlui/handle/11250/2644088&lt;/research-notes&gt;&lt;/record&gt;&lt;/Cite&gt;&lt;/EndNote&gt;</w:instrText>
      </w:r>
      <w:r w:rsidR="00CD439F">
        <w:fldChar w:fldCharType="separate"/>
      </w:r>
      <w:r w:rsidR="00CD439F" w:rsidRPr="00834D2D">
        <w:t xml:space="preserve">Inger Hansen and others, </w:t>
      </w:r>
      <w:r w:rsidR="00CD439F" w:rsidRPr="00834D2D">
        <w:rPr>
          <w:rStyle w:val="kursiv"/>
        </w:rPr>
        <w:t>Tap av tamrein – et kunnskapsgrunnlag</w:t>
      </w:r>
      <w:r w:rsidR="00CD439F" w:rsidRPr="00834D2D">
        <w:t>, 2019)</w:t>
      </w:r>
      <w:r w:rsidR="00CD439F">
        <w:fldChar w:fldCharType="end"/>
      </w:r>
      <w:r w:rsidR="00CD439F" w:rsidRPr="00834D2D">
        <w:t xml:space="preserve">, s. 13. </w:t>
      </w:r>
    </w:p>
  </w:footnote>
  <w:footnote w:id="5">
    <w:p w14:paraId="16B1BF18" w14:textId="56CBEEDE"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693A45">
        <w:rPr>
          <w:lang w:val="nn-NO"/>
        </w:rPr>
        <w:t>Ot</w:t>
      </w:r>
      <w:r w:rsidR="00CD439F">
        <w:rPr>
          <w:lang w:val="nn-NO"/>
        </w:rPr>
        <w:t xml:space="preserve">.prp. nr. </w:t>
      </w:r>
      <w:r w:rsidR="00CD439F" w:rsidRPr="00693A45">
        <w:rPr>
          <w:lang w:val="nn-NO"/>
        </w:rPr>
        <w:t>25 (2006–2007) Om lov om reindrift (reindriftsloven), s. 12.</w:t>
      </w:r>
    </w:p>
  </w:footnote>
  <w:footnote w:id="6">
    <w:p w14:paraId="381439CE" w14:textId="3237AA8A" w:rsidR="00CD439F" w:rsidRPr="00693A45"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fldChar w:fldCharType="begin"/>
      </w:r>
      <w:r w:rsidR="00CD439F" w:rsidRPr="00693A45">
        <w:rPr>
          <w:lang w:val="nn-NO"/>
        </w:rPr>
        <w:instrText xml:space="preserve"> ADDIN EN.CITE &lt;EndNote&gt;&lt;Cite&gt;&lt;Author&gt;Landbruksdirektoratet&lt;/Author&gt;&lt;Year&gt;2025&lt;/Year&gt;&lt;RecNum&gt;10070&lt;/RecNum&gt;&lt;DisplayText&gt;Landbruksdirektoratet, &lt;style face="italic"&gt;Ressursregnskap for reindriftsnæringen. For reindriftsåret 1. april 2024 – 31. mars 2025&lt;/style&gt; (2025)&lt;/DisplayText&gt;&lt;record&gt;&lt;rec-number&gt;10070&lt;/rec-number&gt;&lt;foreign-keys&gt;&lt;key app="EN" db-id="5sffrv50pw0vx2esf075e50jafxwafzxe9r0" timestamp="1755918593" guid="ce107af8-03ee-4b94-baff-3f2f9ca27929"&gt;10070&lt;/key&gt;&lt;/foreign-keys&gt;&lt;ref-type name="Generic"&gt;13&lt;/ref-type&gt;&lt;contributors&gt;&lt;authors&gt;&lt;author&gt;Landbruksdirektoratet&lt;/author&gt;&lt;/authors&gt;&lt;/contributors&gt;&lt;titles&gt;&lt;title&gt;Ressursregnskap for reindriftsnæringen. For reindriftsåret 1. april 2024 – 31. mars 2025&lt;/title&gt;&lt;/titles&gt;&lt;keywords&gt;&lt;keyword&gt;Urfolk samerett&lt;/keyword&gt;&lt;/keywords&gt;&lt;dates&gt;&lt;year&gt;2025&lt;/year&gt;&lt;/dates&gt;&lt;urls&gt;&lt;related-urls&gt;&lt;url&gt;https://www.landbruksdirektoratet.no/nb/nyhetsrom/rapporter/ressursregnskapet-for-reindriftsnaeringen/_/attachment/inline/1ae9ced9-7fc6-4bfe-9ef7-8cdb0db892df:1872b8a339d0076173bfb3cad5e6200e2106c612/Ressursregnskap%20for%20reindriftsn%C3%A6ringen%202024-2025.pdf&lt;/url&gt;&lt;url&gt;https://www.landbruksdirektoratet.no/nb/nyhetsrom/rapporter/ressursregnskapet-for-reindriftsnaeringen&lt;/url&gt;&lt;/related-urls&gt;&lt;/urls&gt;&lt;/record&gt;&lt;/Cite&gt;&lt;/EndNote&gt;</w:instrText>
      </w:r>
      <w:r w:rsidR="00CD439F">
        <w:fldChar w:fldCharType="separate"/>
      </w:r>
      <w:r w:rsidR="00CD439F" w:rsidRPr="00693A45">
        <w:rPr>
          <w:lang w:val="nn-NO"/>
        </w:rPr>
        <w:t xml:space="preserve">Landbruksdirektoratet, </w:t>
      </w:r>
      <w:r w:rsidR="00CD439F" w:rsidRPr="007E66B0">
        <w:rPr>
          <w:rStyle w:val="kursiv"/>
          <w:lang w:val="nn-NO"/>
        </w:rPr>
        <w:t>Ressursregnskap for reindriftsnæringen. For reindriftsåret 1. april 2024 – 31. mars 2025</w:t>
      </w:r>
      <w:r w:rsidR="00CD439F" w:rsidRPr="00693A45">
        <w:rPr>
          <w:lang w:val="nn-NO"/>
        </w:rPr>
        <w:t xml:space="preserve"> (2025)</w:t>
      </w:r>
      <w:r w:rsidR="00CD439F">
        <w:fldChar w:fldCharType="end"/>
      </w:r>
      <w:r w:rsidR="00CD439F" w:rsidRPr="00693A45">
        <w:rPr>
          <w:lang w:val="nn-NO"/>
        </w:rPr>
        <w:t>, s. 36.</w:t>
      </w:r>
    </w:p>
  </w:footnote>
  <w:footnote w:id="7">
    <w:p w14:paraId="426941E0" w14:textId="6EF8275A"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591E4B">
        <w:fldChar w:fldCharType="begin"/>
      </w:r>
      <w:r w:rsidR="00CD439F" w:rsidRPr="00693A45">
        <w:rPr>
          <w:lang w:val="nn-NO"/>
        </w:rPr>
        <w:instrText xml:space="preserve"> ADDIN EN.CITE &lt;EndNote&gt;&lt;Cite&gt;&lt;Author&gt;Hansen&lt;/Author&gt;&lt;Year&gt;2021&lt;/Year&gt;&lt;RecNum&gt;10069&lt;/RecNum&gt;&lt;DisplayText&gt;Inger Hansen and others, &lt;style face="italic"&gt;Kartlegging av forskning på reindriftsområdet – kunnskapsgrunnlag og forskningsbehov&lt;/style&gt; (NIBIO 2021)&lt;/DisplayText&gt;&lt;record&gt;&lt;rec-number&gt;10069&lt;/rec-number&gt;&lt;foreign-keys&gt;&lt;key app="EN" db-id="5sffrv50pw0vx2esf075e50jafxwafzxe9r0" timestamp="1755918589" guid="36e25ac2-8d21-4112-9e82-966e74e9e770"&gt;10069&lt;/key&gt;&lt;/foreign-keys&gt;&lt;ref-type name="Generic"&gt;13&lt;/ref-type&gt;&lt;contributors&gt;&lt;authors&gt;&lt;author&gt;Hansen, Inger&lt;/author&gt;&lt;author&gt;Eilertsen, Svein Morten&lt;/author&gt;&lt;author&gt;Kapfer, Jutta&lt;/author&gt;&lt;author&gt;Wagner, Gabriela&lt;/author&gt;&lt;author&gt;Bjørn, Tor-Arne&lt;/author&gt;&lt;author&gt;Smuk, Stig Rune&lt;/author&gt;&lt;author&gt;Ystad, Eystein&lt;/author&gt;&lt;author&gt;Tenge, Ingrid&lt;/author&gt;&lt;/authors&gt;&lt;/contributors&gt;&lt;titles&gt;&lt;title&gt;Kartlegging av forskning på reindriftsområdet – kunnskapsgrunnlag og forskningsbehov&lt;/title&gt;&lt;/titles&gt;&lt;keywords&gt;&lt;keyword&gt;Miljø urfolk samerett rovvilt&lt;/keyword&gt;&lt;/keywords&gt;&lt;dates&gt;&lt;year&gt;2021&lt;/year&gt;&lt;/dates&gt;&lt;publisher&gt;NIBIO&lt;/publisher&gt;&lt;isbn&gt;2464-1162&amp;#xD;978-82-17-02960-1&lt;/isbn&gt;&lt;urls&gt;&lt;/urls&gt;&lt;research-notes&gt;https://nibio.brage.unit.no/nibio-xmlui/bitstream/handle/11250/2835162/NIBIO_RAPPORT_2021_7_187.pdf?sequence=3&amp;amp;isAllowed=y&lt;/research-notes&gt;&lt;/record&gt;&lt;/Cite&gt;&lt;/EndNote&gt;</w:instrText>
      </w:r>
      <w:r w:rsidR="00CD439F" w:rsidRPr="00591E4B">
        <w:fldChar w:fldCharType="separate"/>
      </w:r>
      <w:r w:rsidR="00CD439F" w:rsidRPr="00693A45">
        <w:rPr>
          <w:lang w:val="nn-NO"/>
        </w:rPr>
        <w:t xml:space="preserve">Inger Hansen and others, </w:t>
      </w:r>
      <w:r w:rsidR="00CD439F" w:rsidRPr="00CD439F">
        <w:rPr>
          <w:rStyle w:val="kursiv"/>
          <w:lang w:val="nn-NO"/>
        </w:rPr>
        <w:t>Kartlegging av forskning på reindriftsområdet – kunnskapsgrunnlag og forskningsbehov</w:t>
      </w:r>
      <w:r w:rsidR="00CD439F" w:rsidRPr="00693A45">
        <w:rPr>
          <w:lang w:val="nn-NO"/>
        </w:rPr>
        <w:t xml:space="preserve"> (NIBIO 2021)</w:t>
      </w:r>
      <w:r w:rsidR="00CD439F" w:rsidRPr="00591E4B">
        <w:fldChar w:fldCharType="end"/>
      </w:r>
      <w:r w:rsidR="00CD439F" w:rsidRPr="00693A45">
        <w:rPr>
          <w:rFonts w:cs="Times New Roman"/>
          <w:lang w:val="nn-NO"/>
        </w:rPr>
        <w:t xml:space="preserve">. </w:t>
      </w:r>
    </w:p>
  </w:footnote>
  <w:footnote w:id="8">
    <w:p w14:paraId="713F505C" w14:textId="7C171CB7"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fldChar w:fldCharType="begin"/>
      </w:r>
      <w:r w:rsidR="00CD439F" w:rsidRPr="00693A45">
        <w:rPr>
          <w:lang w:val="nn-NO"/>
        </w:rPr>
        <w:instrText xml:space="preserve"> ADDIN EN.CITE &lt;EndNote&gt;&lt;Cite&gt;&lt;Author&gt;Mørk&lt;/Author&gt;&lt;Year&gt;2025&lt;/Year&gt;&lt;RecNum&gt;10254&lt;/RecNum&gt;&lt;DisplayText&gt;T  Mørk and others, &lt;style face="italic"&gt;Obduksjonsfunn og tapsårsaker hos tamrein (Rangifer tarandus tarandus) i Nord-Norge&lt;/style&gt; (Rapport 4 / 2025, Veterinærinstituttet 2025)&lt;/DisplayText&gt;&lt;record&gt;&lt;rec-number&gt;10254&lt;/rec-number&gt;&lt;foreign-keys&gt;&lt;key app="EN" db-id="5sffrv50pw0vx2esf075e50jafxwafzxe9r0" timestamp="1770559757" guid="61c04ecf-e213-4387-b9b0-9a6e62933cad"&gt;10254&lt;/key&gt;&lt;/foreign-keys&gt;&lt;ref-type name="Book"&gt;6&lt;/ref-type&gt;&lt;contributors&gt;&lt;authors&gt;&lt;author&gt;Mørk, T &lt;/author&gt;&lt;author&gt;Eira, HI &lt;/author&gt;&lt;author&gt;Rødven, R &lt;/author&gt;&lt;author&gt;Nymo, IH &lt;/author&gt;&lt;author&gt;Blomstrand, BM &lt;/author&gt;&lt;author&gt;Guttormsen, S &lt;/author&gt;&lt;author&gt;Olsen, L &lt;/author&gt;&lt;author&gt;Davidson. RK&lt;/author&gt;&lt;/authors&gt;&lt;/contributors&gt;&lt;titles&gt;&lt;title&gt;Obduksjonsfunn og tapsårsaker hos tamrein (Rangifer tarandus tarandus) i Nord-Norge&lt;/title&gt;&lt;secondary-title&gt;Rapport 4 / 2025&lt;/secondary-title&gt;&lt;/titles&gt;&lt;keywords&gt;&lt;keyword&gt;Rovvilt samerett&lt;/keyword&gt;&lt;/keywords&gt;&lt;dates&gt;&lt;year&gt;2025&lt;/year&gt;&lt;/dates&gt;&lt;publisher&gt;Veterinærinstituttet&lt;/publisher&gt;&lt;urls&gt;&lt;related-urls&gt;&lt;url&gt;https://www.vetinst.no/rapporter-og-publikasjoner/rapporter/2025/obduksjonsfunn-og-tapsarsaker-hos-tamrein-rangifer-tarandus-tarandus-i-nord-norge/_/attachment/inline/8cb51c0a-a06b-4ba1-8783-a9d09f51eb2a:8457948d8ebb7d2eda0c20e6ae53fb996569b8d1/2025_4_Obduksjonsfunn%20og%20taps%C3%A5rsaker%20hos%20tamrein%20i%20Nord-Norge%20KOMPLETT.pdf&lt;/url&gt;&lt;/related-urls&gt;&lt;/urls&gt;&lt;/record&gt;&lt;/Cite&gt;&lt;/EndNote&gt;</w:instrText>
      </w:r>
      <w:r w:rsidR="00CD439F">
        <w:fldChar w:fldCharType="separate"/>
      </w:r>
      <w:r w:rsidR="00CD439F" w:rsidRPr="00693A45">
        <w:rPr>
          <w:lang w:val="nn-NO"/>
        </w:rPr>
        <w:t>T</w:t>
      </w:r>
      <w:r w:rsidR="00CD439F">
        <w:rPr>
          <w:lang w:val="nn-NO"/>
        </w:rPr>
        <w:t xml:space="preserve"> </w:t>
      </w:r>
      <w:r w:rsidR="00CD439F" w:rsidRPr="00693A45">
        <w:rPr>
          <w:lang w:val="nn-NO"/>
        </w:rPr>
        <w:t xml:space="preserve">Mørk and others, </w:t>
      </w:r>
      <w:r w:rsidR="00CD439F" w:rsidRPr="00CD439F">
        <w:rPr>
          <w:rStyle w:val="kursiv"/>
          <w:lang w:val="nn-NO"/>
        </w:rPr>
        <w:t>Obduksjonsfunn og tapsårsaker hos tamrein (Rangifer tarandus tarandus) i Nord-Norge</w:t>
      </w:r>
      <w:r w:rsidR="00CD439F" w:rsidRPr="00693A45">
        <w:rPr>
          <w:lang w:val="nn-NO"/>
        </w:rPr>
        <w:t xml:space="preserve"> (Rapport 4 / 2025, Veterinærinstituttet 2025)</w:t>
      </w:r>
      <w:r w:rsidR="00CD439F">
        <w:fldChar w:fldCharType="end"/>
      </w:r>
      <w:r w:rsidR="00CD439F" w:rsidRPr="00693A45">
        <w:rPr>
          <w:lang w:val="nn-NO"/>
        </w:rPr>
        <w:t>, s. 16-17.</w:t>
      </w:r>
    </w:p>
  </w:footnote>
  <w:footnote w:id="9">
    <w:p w14:paraId="44790018" w14:textId="2199405B" w:rsidR="00CD439F" w:rsidRPr="00693A45" w:rsidRDefault="00404399" w:rsidP="00404399">
      <w:pPr>
        <w:pStyle w:val="Fotnotetekst"/>
        <w:rPr>
          <w:lang w:val="nn-NO"/>
        </w:rPr>
      </w:pPr>
      <w:r w:rsidRPr="00CD439F">
        <w:rPr>
          <w:rStyle w:val="Fotnotereferanse"/>
        </w:rPr>
        <w:footnoteRef/>
      </w:r>
      <w:r w:rsidRPr="00404399">
        <w:rPr>
          <w:rStyle w:val="Fotnotereferanse"/>
          <w:lang w:val="nn-NO"/>
        </w:rPr>
        <w:t xml:space="preserve"> </w:t>
      </w:r>
      <w:r w:rsidR="00CD439F" w:rsidRPr="00693A45">
        <w:rPr>
          <w:lang w:val="nn-NO"/>
        </w:rPr>
        <w:t xml:space="preserve">Miljødirektoratet og Landbruksdirektoratet, </w:t>
      </w:r>
      <w:r w:rsidR="00CD439F" w:rsidRPr="00CD439F">
        <w:rPr>
          <w:rStyle w:val="kursiv"/>
          <w:lang w:val="nn-NO"/>
        </w:rPr>
        <w:t>Oppdrag rovvilt og tamrein 2024</w:t>
      </w:r>
      <w:r w:rsidR="00CD439F" w:rsidRPr="00693A45">
        <w:rPr>
          <w:lang w:val="nn-NO"/>
        </w:rPr>
        <w:t xml:space="preserve"> (2024), s. 10.</w:t>
      </w:r>
    </w:p>
  </w:footnote>
  <w:footnote w:id="10">
    <w:p w14:paraId="5B4AAD14" w14:textId="6E07EA59"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proofErr w:type="spellStart"/>
      <w:r w:rsidR="00CD439F" w:rsidRPr="00693A45">
        <w:rPr>
          <w:lang w:val="nn-NO"/>
        </w:rPr>
        <w:t>Rovbase</w:t>
      </w:r>
      <w:proofErr w:type="spellEnd"/>
      <w:r w:rsidR="00CD439F" w:rsidRPr="00693A45">
        <w:rPr>
          <w:lang w:val="nn-NO"/>
        </w:rPr>
        <w:t xml:space="preserve"> Erstatning for rein (</w:t>
      </w:r>
      <w:proofErr w:type="spellStart"/>
      <w:r w:rsidR="00CD439F">
        <w:fldChar w:fldCharType="begin"/>
      </w:r>
      <w:r w:rsidR="00CD439F" w:rsidRPr="00404399">
        <w:rPr>
          <w:lang w:val="nn-NO"/>
        </w:rPr>
        <w:instrText>HYPERLINK "https://rovbase.no/erstatning/rein"</w:instrText>
      </w:r>
      <w:r w:rsidR="00CD439F">
        <w:fldChar w:fldCharType="separate"/>
      </w:r>
      <w:r w:rsidR="00CD439F" w:rsidRPr="00693A45">
        <w:rPr>
          <w:rStyle w:val="Hyperkobling"/>
          <w:lang w:val="nn-NO"/>
        </w:rPr>
        <w:t>Rovbase</w:t>
      </w:r>
      <w:proofErr w:type="spellEnd"/>
      <w:r w:rsidR="00CD439F">
        <w:fldChar w:fldCharType="end"/>
      </w:r>
      <w:r w:rsidR="00CD439F" w:rsidRPr="00693A45">
        <w:rPr>
          <w:lang w:val="nn-NO"/>
        </w:rPr>
        <w:t>, 18.01.2026).</w:t>
      </w:r>
    </w:p>
  </w:footnote>
  <w:footnote w:id="11">
    <w:p w14:paraId="344124EC" w14:textId="32CB7520"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591E4B">
        <w:fldChar w:fldCharType="begin"/>
      </w:r>
      <w:r w:rsidR="00CD439F" w:rsidRPr="00693A45">
        <w:rPr>
          <w:lang w:val="nn-NO"/>
        </w:rPr>
        <w:instrText xml:space="preserve"> ADDIN EN.CITE &lt;EndNote&gt;&lt;Cite&gt;&lt;Author&gt;Miljødirektoratet og Landbruksdirektoratet&lt;/Author&gt;&lt;Year&gt;2024&lt;/Year&gt;&lt;RecNum&gt;10106&lt;/RecNum&gt;&lt;DisplayText&gt;Miljødirektoratet og Landbruksdirektoratet, &lt;style face="italic"&gt;Oppdrag rovvilt og tamrein 2024&lt;/style&gt; (2024)&lt;/DisplayText&gt;&lt;record&gt;&lt;rec-number&gt;10106&lt;/rec-number&gt;&lt;foreign-keys&gt;&lt;key app="EN" db-id="5sffrv50pw0vx2esf075e50jafxwafzxe9r0" timestamp="1755918766" guid="33eacc79-b958-4a96-adfb-851587f61556"&gt;10106&lt;/key&gt;&lt;/foreign-keys&gt;&lt;ref-type name="Generic"&gt;13&lt;/ref-type&gt;&lt;contributors&gt;&lt;authors&gt;&lt;author&gt;Miljødirektoratet og Landbruksdirektoratet,&lt;/author&gt;&lt;/authors&gt;&lt;/contributors&gt;&lt;titles&gt;&lt;title&gt;Oppdrag rovvilt og tamrein 2024&lt;/title&gt;&lt;/titles&gt;&lt;keywords&gt;&lt;keyword&gt;Miljø urfolk samerett rovvilt&lt;/keyword&gt;&lt;/keywords&gt;&lt;dates&gt;&lt;year&gt;2024&lt;/year&gt;&lt;/dates&gt;&lt;urls&gt;&lt;related-urls&gt;&lt;url&gt;https://www.miljodirektoratet.no/sharepoint/downloaditem/?id=01FM3LD2SHSKOH6UHAGFHJTMMMYFVELDLA&lt;/url&gt;&lt;/related-urls&gt;&lt;/urls&gt;&lt;/record&gt;&lt;/Cite&gt;&lt;/EndNote&gt;</w:instrText>
      </w:r>
      <w:r w:rsidR="00CD439F" w:rsidRPr="00591E4B">
        <w:fldChar w:fldCharType="separate"/>
      </w:r>
      <w:r w:rsidR="00CD439F" w:rsidRPr="00693A45">
        <w:rPr>
          <w:lang w:val="nn-NO"/>
        </w:rPr>
        <w:t xml:space="preserve">Miljødirektoratet og Landbruksdirektoratet, </w:t>
      </w:r>
      <w:r w:rsidR="00CD439F" w:rsidRPr="00CD439F">
        <w:rPr>
          <w:rStyle w:val="kursiv"/>
          <w:lang w:val="nn-NO"/>
        </w:rPr>
        <w:t>Oppdrag rovvilt og tamrein 2024</w:t>
      </w:r>
      <w:r w:rsidR="00CD439F" w:rsidRPr="00693A45">
        <w:rPr>
          <w:lang w:val="nn-NO"/>
        </w:rPr>
        <w:t xml:space="preserve"> (2024)</w:t>
      </w:r>
      <w:r w:rsidR="00CD439F" w:rsidRPr="00591E4B">
        <w:fldChar w:fldCharType="end"/>
      </w:r>
    </w:p>
  </w:footnote>
  <w:footnote w:id="12">
    <w:p w14:paraId="0727F1A7" w14:textId="2E5134EC" w:rsidR="00CD439F" w:rsidRPr="00693A45"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rsidRPr="00591E4B">
        <w:fldChar w:fldCharType="begin"/>
      </w:r>
      <w:r w:rsidR="00CD439F" w:rsidRPr="00693A45">
        <w:rPr>
          <w:lang w:val="nn-NO"/>
        </w:rPr>
        <w:instrText xml:space="preserve"> ADDIN EN.CITE &lt;EndNote&gt;&lt;Cite&gt;&lt;Author&gt;Miljødirektoratet og Landbruksdirektoratet&lt;/Author&gt;&lt;Year&gt;2024&lt;/Year&gt;&lt;RecNum&gt;10106&lt;/RecNum&gt;&lt;DisplayText&gt;Ibid&lt;/DisplayText&gt;&lt;record&gt;&lt;rec-number&gt;10106&lt;/rec-number&gt;&lt;foreign-keys&gt;&lt;key app="EN" db-id="5sffrv50pw0vx2esf075e50jafxwafzxe9r0" timestamp="1755918766" guid="33eacc79-b958-4a96-adfb-851587f61556"&gt;10106&lt;/key&gt;&lt;/foreign-keys&gt;&lt;ref-type name="Generic"&gt;13&lt;/ref-type&gt;&lt;contributors&gt;&lt;authors&gt;&lt;author&gt;Miljødirektoratet og Landbruksdirektoratet,&lt;/author&gt;&lt;/authors&gt;&lt;/contributors&gt;&lt;titles&gt;&lt;title&gt;Oppdrag rovvilt og tamrein 2024&lt;/title&gt;&lt;/titles&gt;&lt;keywords&gt;&lt;keyword&gt;Miljø urfolk samerett rovvilt&lt;/keyword&gt;&lt;/keywords&gt;&lt;dates&gt;&lt;year&gt;2024&lt;/year&gt;&lt;/dates&gt;&lt;urls&gt;&lt;related-urls&gt;&lt;url&gt;https://www.miljodirektoratet.no/sharepoint/downloaditem/?id=01FM3LD2SHSKOH6UHAGFHJTMMMYFVELDLA&lt;/url&gt;&lt;/related-urls&gt;&lt;/urls&gt;&lt;/record&gt;&lt;/Cite&gt;&lt;/EndNote&gt;</w:instrText>
      </w:r>
      <w:r w:rsidR="00CD439F" w:rsidRPr="00591E4B">
        <w:fldChar w:fldCharType="separate"/>
      </w:r>
      <w:r w:rsidR="00CD439F" w:rsidRPr="00693A45">
        <w:rPr>
          <w:lang w:val="nn-NO"/>
        </w:rPr>
        <w:t>Ibid</w:t>
      </w:r>
      <w:r w:rsidR="00CD439F" w:rsidRPr="00591E4B">
        <w:fldChar w:fldCharType="end"/>
      </w:r>
      <w:r w:rsidR="00CD439F" w:rsidRPr="00693A45">
        <w:rPr>
          <w:lang w:val="nn-NO"/>
        </w:rPr>
        <w:t>. s. 11.</w:t>
      </w:r>
    </w:p>
  </w:footnote>
  <w:footnote w:id="13">
    <w:p w14:paraId="6B3E304D" w14:textId="55C399C9" w:rsidR="00CD439F" w:rsidRPr="00693A45" w:rsidRDefault="00404399" w:rsidP="00CD439F">
      <w:pPr>
        <w:pStyle w:val="Fotnotetekst"/>
        <w:rPr>
          <w:lang w:val="nn-NO"/>
        </w:rPr>
      </w:pPr>
      <w:r w:rsidRPr="00CD439F">
        <w:rPr>
          <w:rStyle w:val="Fotnotereferanse"/>
        </w:rPr>
        <w:footnoteRef/>
      </w:r>
      <w:r w:rsidRPr="009264D9">
        <w:rPr>
          <w:rStyle w:val="Fotnotereferanse"/>
          <w:lang w:val="nn-NO"/>
        </w:rPr>
        <w:t xml:space="preserve"> </w:t>
      </w:r>
      <w:proofErr w:type="spellStart"/>
      <w:r w:rsidR="00CD439F" w:rsidRPr="00693A45">
        <w:rPr>
          <w:lang w:val="nn-NO"/>
        </w:rPr>
        <w:t>Rovbase</w:t>
      </w:r>
      <w:proofErr w:type="spellEnd"/>
      <w:r w:rsidR="00CD439F" w:rsidRPr="00693A45">
        <w:rPr>
          <w:lang w:val="nn-NO"/>
        </w:rPr>
        <w:t xml:space="preserve"> Erstatning for rein (</w:t>
      </w:r>
      <w:hyperlink r:id="rId3" w:history="1">
        <w:r w:rsidR="00CD439F" w:rsidRPr="00693A45">
          <w:rPr>
            <w:rStyle w:val="Hyperkobling"/>
            <w:lang w:val="nn-NO"/>
          </w:rPr>
          <w:t>Rovbase</w:t>
        </w:r>
      </w:hyperlink>
      <w:r w:rsidR="00CD439F" w:rsidRPr="00693A45">
        <w:rPr>
          <w:lang w:val="nn-NO"/>
        </w:rPr>
        <w:t>,18.01.2026).</w:t>
      </w:r>
    </w:p>
  </w:footnote>
  <w:footnote w:id="14">
    <w:p w14:paraId="57288E33" w14:textId="2034C7B4" w:rsidR="00CD439F" w:rsidRPr="00693A45"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rsidRPr="00591E4B">
        <w:fldChar w:fldCharType="begin"/>
      </w:r>
      <w:r w:rsidR="00CD439F" w:rsidRPr="00693A45">
        <w:rPr>
          <w:lang w:val="nn-NO"/>
        </w:rPr>
        <w:instrText xml:space="preserve"> ADDIN EN.CITE &lt;EndNote&gt;&lt;Cite&gt;&lt;Author&gt;Landbruksdirektoratet&lt;/Author&gt;&lt;Year&gt;2025&lt;/Year&gt;&lt;RecNum&gt;10070&lt;/RecNum&gt;&lt;DisplayText&gt;Landbruksdirektoratet, &lt;style face="italic"&gt;Ressursregnskap for reindriftsnæringen. For reindriftsåret 1. april 2024 – 31. mars 2025&lt;/style&gt;&lt;/DisplayText&gt;&lt;record&gt;&lt;rec-number&gt;10070&lt;/rec-number&gt;&lt;foreign-keys&gt;&lt;key app="EN" db-id="5sffrv50pw0vx2esf075e50jafxwafzxe9r0" timestamp="1755918593" guid="ce107af8-03ee-4b94-baff-3f2f9ca27929"&gt;10070&lt;/key&gt;&lt;/foreign-keys&gt;&lt;ref-type name="Generic"&gt;13&lt;/ref-type&gt;&lt;contributors&gt;&lt;authors&gt;&lt;author&gt;Landbruksdirektoratet&lt;/author&gt;&lt;/authors&gt;&lt;/contributors&gt;&lt;titles&gt;&lt;title&gt;Ressursregnskap for reindriftsnæringen. For reindriftsåret 1. april 2024 – 31. mars 2025&lt;/title&gt;&lt;/titles&gt;&lt;keywords&gt;&lt;keyword&gt;Urfolk samerett&lt;/keyword&gt;&lt;/keywords&gt;&lt;dates&gt;&lt;year&gt;2025&lt;/year&gt;&lt;/dates&gt;&lt;urls&gt;&lt;related-urls&gt;&lt;url&gt;https://www.landbruksdirektoratet.no/nb/nyhetsrom/rapporter/ressursregnskapet-for-reindriftsnaeringen/_/attachment/inline/1ae9ced9-7fc6-4bfe-9ef7-8cdb0db892df:1872b8a339d0076173bfb3cad5e6200e2106c612/Ressursregnskap%20for%20reindriftsn%C3%A6ringen%202024-2025.pdf&lt;/url&gt;&lt;url&gt;https://www.landbruksdirektoratet.no/nb/nyhetsrom/rapporter/ressursregnskapet-for-reindriftsnaeringen&lt;/url&gt;&lt;/related-urls&gt;&lt;/urls&gt;&lt;/record&gt;&lt;/Cite&gt;&lt;/EndNote&gt;</w:instrText>
      </w:r>
      <w:r w:rsidR="00CD439F" w:rsidRPr="00591E4B">
        <w:fldChar w:fldCharType="separate"/>
      </w:r>
      <w:r w:rsidR="00CD439F" w:rsidRPr="00693A45">
        <w:rPr>
          <w:lang w:val="nn-NO"/>
        </w:rPr>
        <w:t xml:space="preserve">Landbruksdirektoratet, </w:t>
      </w:r>
      <w:r w:rsidR="00CD439F" w:rsidRPr="007E66B0">
        <w:rPr>
          <w:rStyle w:val="kursiv"/>
          <w:lang w:val="nn-NO"/>
        </w:rPr>
        <w:t>Ressursregnskap for reindriftsnæringen. For reindriftsåret 1. april 2024 – 31. mars 2025</w:t>
      </w:r>
      <w:r w:rsidR="00CD439F" w:rsidRPr="00591E4B">
        <w:fldChar w:fldCharType="end"/>
      </w:r>
      <w:r w:rsidR="00CD439F" w:rsidRPr="00693A45">
        <w:rPr>
          <w:rFonts w:cs="Times New Roman"/>
          <w:lang w:val="nn-NO"/>
        </w:rPr>
        <w:t>, s. 37.</w:t>
      </w:r>
    </w:p>
  </w:footnote>
  <w:footnote w:id="15">
    <w:p w14:paraId="66470BFE" w14:textId="2A2247DB"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Pr>
          <w:lang w:val="nn-NO"/>
        </w:rPr>
        <w:t xml:space="preserve">St.meld. nr. </w:t>
      </w:r>
      <w:r w:rsidR="00CD439F" w:rsidRPr="00693A45">
        <w:rPr>
          <w:lang w:val="nn-NO"/>
        </w:rPr>
        <w:t>15 (2003</w:t>
      </w:r>
      <w:r w:rsidR="00CD439F">
        <w:rPr>
          <w:lang w:val="nn-NO"/>
        </w:rPr>
        <w:t>–</w:t>
      </w:r>
      <w:r w:rsidR="00CD439F" w:rsidRPr="00693A45">
        <w:rPr>
          <w:lang w:val="nn-NO"/>
        </w:rPr>
        <w:t xml:space="preserve">2004) </w:t>
      </w:r>
      <w:r w:rsidR="00CD439F" w:rsidRPr="00CD439F">
        <w:rPr>
          <w:rStyle w:val="kursiv"/>
          <w:lang w:val="nn-NO"/>
        </w:rPr>
        <w:t>Rovvilt i norsk natur</w:t>
      </w:r>
      <w:r w:rsidR="00CD439F" w:rsidRPr="00693A45">
        <w:rPr>
          <w:lang w:val="nn-NO"/>
        </w:rPr>
        <w:t>, s. 49 og 52 (</w:t>
      </w:r>
      <w:proofErr w:type="spellStart"/>
      <w:r w:rsidR="00CD439F" w:rsidRPr="00693A45">
        <w:rPr>
          <w:lang w:val="nn-NO"/>
        </w:rPr>
        <w:t>uthevet</w:t>
      </w:r>
      <w:proofErr w:type="spellEnd"/>
      <w:r w:rsidR="00CD439F" w:rsidRPr="00693A45">
        <w:rPr>
          <w:lang w:val="nn-NO"/>
        </w:rPr>
        <w:t xml:space="preserve"> her).</w:t>
      </w:r>
    </w:p>
  </w:footnote>
  <w:footnote w:id="16">
    <w:p w14:paraId="60DE0486" w14:textId="0EC01D40"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fldChar w:fldCharType="begin"/>
      </w:r>
      <w:r w:rsidR="00CD439F" w:rsidRPr="00693A45">
        <w:rPr>
          <w:lang w:val="nn-NO"/>
        </w:rPr>
        <w:instrText xml:space="preserve"> ADDIN EN.CITE &lt;EndNote&gt;&lt;Cite&gt;&lt;Author&gt;Hansen&lt;/Author&gt;&lt;Year&gt;2021&lt;/Year&gt;&lt;RecNum&gt;10069&lt;/RecNum&gt;&lt;DisplayText&gt;Hansen and others, &lt;style face="italic"&gt;Kartlegging av forskning på reindriftsområdet – kunnskapsgrunnlag og forskningsbehov&lt;/style&gt;&lt;/DisplayText&gt;&lt;record&gt;&lt;rec-number&gt;10069&lt;/rec-number&gt;&lt;foreign-keys&gt;&lt;key app="EN" db-id="5sffrv50pw0vx2esf075e50jafxwafzxe9r0" timestamp="1755918589" guid="36e25ac2-8d21-4112-9e82-966e74e9e770"&gt;10069&lt;/key&gt;&lt;/foreign-keys&gt;&lt;ref-type name="Generic"&gt;13&lt;/ref-type&gt;&lt;contributors&gt;&lt;authors&gt;&lt;author&gt;Hansen, Inger&lt;/author&gt;&lt;author&gt;Eilertsen, Svein Morten&lt;/author&gt;&lt;author&gt;Kapfer, Jutta&lt;/author&gt;&lt;author&gt;Wagner, Gabriela&lt;/author&gt;&lt;author&gt;Bjørn, Tor-Arne&lt;/author&gt;&lt;author&gt;Smuk, Stig Rune&lt;/author&gt;&lt;author&gt;Ystad, Eystein&lt;/author&gt;&lt;author&gt;Tenge, Ingrid&lt;/author&gt;&lt;/authors&gt;&lt;/contributors&gt;&lt;titles&gt;&lt;title&gt;Kartlegging av forskning på reindriftsområdet – kunnskapsgrunnlag og forskningsbehov&lt;/title&gt;&lt;/titles&gt;&lt;keywords&gt;&lt;keyword&gt;Miljø urfolk samerett rovvilt&lt;/keyword&gt;&lt;/keywords&gt;&lt;dates&gt;&lt;year&gt;2021&lt;/year&gt;&lt;/dates&gt;&lt;publisher&gt;NIBIO&lt;/publisher&gt;&lt;isbn&gt;2464-1162&amp;#xD;978-82-17-02960-1&lt;/isbn&gt;&lt;urls&gt;&lt;/urls&gt;&lt;research-notes&gt;https://nibio.brage.unit.no/nibio-xmlui/bitstream/handle/11250/2835162/NIBIO_RAPPORT_2021_7_187.pdf?sequence=3&amp;amp;isAllowed=y&lt;/research-notes&gt;&lt;/record&gt;&lt;/Cite&gt;&lt;/EndNote&gt;</w:instrText>
      </w:r>
      <w:r w:rsidR="00CD439F">
        <w:fldChar w:fldCharType="separate"/>
      </w:r>
      <w:r w:rsidR="00CD439F" w:rsidRPr="00693A45">
        <w:rPr>
          <w:lang w:val="nn-NO"/>
        </w:rPr>
        <w:t xml:space="preserve">Hansen and others, </w:t>
      </w:r>
      <w:r w:rsidR="00CD439F" w:rsidRPr="00CD439F">
        <w:rPr>
          <w:rStyle w:val="kursiv"/>
          <w:lang w:val="nn-NO"/>
        </w:rPr>
        <w:t>Kartlegging av forskning på reindriftsområdet – kunnskapsgrunnlag og forskningsbehov</w:t>
      </w:r>
      <w:r w:rsidR="00CD439F">
        <w:fldChar w:fldCharType="end"/>
      </w:r>
      <w:r w:rsidR="00CD439F" w:rsidRPr="00693A45">
        <w:rPr>
          <w:lang w:val="nn-NO"/>
        </w:rPr>
        <w:t>, s. 24 (</w:t>
      </w:r>
      <w:proofErr w:type="spellStart"/>
      <w:r w:rsidR="00CD439F" w:rsidRPr="00693A45">
        <w:rPr>
          <w:lang w:val="nn-NO"/>
        </w:rPr>
        <w:t>uthevet</w:t>
      </w:r>
      <w:proofErr w:type="spellEnd"/>
      <w:r w:rsidR="00CD439F" w:rsidRPr="00693A45">
        <w:rPr>
          <w:lang w:val="nn-NO"/>
        </w:rPr>
        <w:t xml:space="preserve"> her).</w:t>
      </w:r>
    </w:p>
  </w:footnote>
  <w:footnote w:id="17">
    <w:p w14:paraId="4EE4F7D8" w14:textId="2261448E"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proofErr w:type="spellStart"/>
      <w:r w:rsidR="00CD439F" w:rsidRPr="00693A45">
        <w:rPr>
          <w:lang w:val="nn-NO"/>
        </w:rPr>
        <w:t>Prop</w:t>
      </w:r>
      <w:proofErr w:type="spellEnd"/>
      <w:r w:rsidR="00CD439F" w:rsidRPr="00693A45">
        <w:rPr>
          <w:lang w:val="nn-NO"/>
        </w:rPr>
        <w:t>. 143</w:t>
      </w:r>
      <w:r w:rsidR="00CD439F">
        <w:rPr>
          <w:lang w:val="nn-NO"/>
        </w:rPr>
        <w:t xml:space="preserve"> </w:t>
      </w:r>
      <w:r w:rsidR="00CD439F" w:rsidRPr="00693A45">
        <w:rPr>
          <w:lang w:val="nn-NO"/>
        </w:rPr>
        <w:t xml:space="preserve">S 2024–2025 </w:t>
      </w:r>
      <w:proofErr w:type="spellStart"/>
      <w:r w:rsidR="00CD439F" w:rsidRPr="00693A45">
        <w:rPr>
          <w:lang w:val="nn-NO"/>
        </w:rPr>
        <w:t>Endringer</w:t>
      </w:r>
      <w:proofErr w:type="spellEnd"/>
      <w:r w:rsidR="00CD439F" w:rsidRPr="00693A45">
        <w:rPr>
          <w:lang w:val="nn-NO"/>
        </w:rPr>
        <w:t xml:space="preserve"> i statsbudsjettet 2025 under Landbruks- og matdepartementet. (Reindriftsavtalen 2025/2026). s. 42.</w:t>
      </w:r>
    </w:p>
  </w:footnote>
  <w:footnote w:id="18">
    <w:p w14:paraId="52859CDE" w14:textId="57384F29" w:rsidR="00CD439F" w:rsidRPr="00693A45"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fldChar w:fldCharType="begin"/>
      </w:r>
      <w:r w:rsidR="00CD439F" w:rsidRPr="00693A45">
        <w:rPr>
          <w:lang w:val="nn-NO"/>
        </w:rPr>
        <w:instrText xml:space="preserve"> ADDIN EN.CITE &lt;EndNote&gt;&lt;Cite&gt;&lt;Author&gt;Landbruksdirektoratet&lt;/Author&gt;&lt;Year&gt;2025&lt;/Year&gt;&lt;RecNum&gt;10070&lt;/RecNum&gt;&lt;DisplayText&gt;Landbruksdirektoratet, &lt;style face="italic"&gt;Ressursregnskap for reindriftsnæringen. For reindriftsåret 1. april 2024 – 31. mars 2025&lt;/style&gt;&lt;/DisplayText&gt;&lt;record&gt;&lt;rec-number&gt;10070&lt;/rec-number&gt;&lt;foreign-keys&gt;&lt;key app="EN" db-id="5sffrv50pw0vx2esf075e50jafxwafzxe9r0" timestamp="1755918593" guid="ce107af8-03ee-4b94-baff-3f2f9ca27929"&gt;10070&lt;/key&gt;&lt;/foreign-keys&gt;&lt;ref-type name="Generic"&gt;13&lt;/ref-type&gt;&lt;contributors&gt;&lt;authors&gt;&lt;author&gt;Landbruksdirektoratet&lt;/author&gt;&lt;/authors&gt;&lt;/contributors&gt;&lt;titles&gt;&lt;title&gt;Ressursregnskap for reindriftsnæringen. For reindriftsåret 1. april 2024 – 31. mars 2025&lt;/title&gt;&lt;/titles&gt;&lt;keywords&gt;&lt;keyword&gt;Urfolk samerett&lt;/keyword&gt;&lt;/keywords&gt;&lt;dates&gt;&lt;year&gt;2025&lt;/year&gt;&lt;/dates&gt;&lt;urls&gt;&lt;related-urls&gt;&lt;url&gt;https://www.landbruksdirektoratet.no/nb/nyhetsrom/rapporter/ressursregnskapet-for-reindriftsnaeringen/_/attachment/inline/1ae9ced9-7fc6-4bfe-9ef7-8cdb0db892df:1872b8a339d0076173bfb3cad5e6200e2106c612/Ressursregnskap%20for%20reindriftsn%C3%A6ringen%202024-2025.pdf&lt;/url&gt;&lt;url&gt;https://www.landbruksdirektoratet.no/nb/nyhetsrom/rapporter/ressursregnskapet-for-reindriftsnaeringen&lt;/url&gt;&lt;/related-urls&gt;&lt;/urls&gt;&lt;/record&gt;&lt;/Cite&gt;&lt;/EndNote&gt;</w:instrText>
      </w:r>
      <w:r w:rsidR="00CD439F">
        <w:fldChar w:fldCharType="separate"/>
      </w:r>
      <w:r w:rsidR="00CD439F" w:rsidRPr="00693A45">
        <w:rPr>
          <w:lang w:val="nn-NO"/>
        </w:rPr>
        <w:t xml:space="preserve">Landbruksdirektoratet, </w:t>
      </w:r>
      <w:r w:rsidR="00CD439F" w:rsidRPr="007E66B0">
        <w:rPr>
          <w:rStyle w:val="kursiv"/>
          <w:lang w:val="nn-NO"/>
        </w:rPr>
        <w:t>Ressursregnskap for reindriftsnæringen. For reindriftsåret 1. april 2024 – 31. mars 2025</w:t>
      </w:r>
      <w:r w:rsidR="00CD439F">
        <w:fldChar w:fldCharType="end"/>
      </w:r>
      <w:r w:rsidR="00CD439F" w:rsidRPr="00693A45">
        <w:rPr>
          <w:lang w:val="nn-NO"/>
        </w:rPr>
        <w:t>, side 5.</w:t>
      </w:r>
    </w:p>
  </w:footnote>
  <w:footnote w:id="19">
    <w:p w14:paraId="5F26EC03" w14:textId="5623FCFA" w:rsidR="00CD439F" w:rsidRPr="007E66B0" w:rsidRDefault="00404399" w:rsidP="00CD439F">
      <w:pPr>
        <w:pStyle w:val="Fotnotetekst"/>
      </w:pPr>
      <w:r w:rsidRPr="00CD439F">
        <w:rPr>
          <w:rStyle w:val="Fotnotereferanse"/>
        </w:rPr>
        <w:footnoteRef/>
      </w:r>
      <w:r w:rsidRPr="009264D9">
        <w:rPr>
          <w:rStyle w:val="Fotnotereferanse"/>
          <w:lang w:val="nn-NO"/>
        </w:rPr>
        <w:t xml:space="preserve"> </w:t>
      </w:r>
      <w:r w:rsidR="00CD439F">
        <w:fldChar w:fldCharType="begin"/>
      </w:r>
      <w:r w:rsidR="00CD439F" w:rsidRPr="00693A45">
        <w:rPr>
          <w:lang w:val="nn-NO"/>
        </w:rPr>
        <w:instrText xml:space="preserve"> ADDIN EN.CITE &lt;EndNote&gt;&lt;Cite&gt;&lt;Author&gt;Prop. S&lt;/Author&gt;&lt;Year&gt;2025&lt;/Year&gt;&lt;RecNum&gt;10246&lt;/RecNum&gt;&lt;DisplayText&gt;Prop. S, &lt;style face="italic"&gt;Prop. 143 S 2024–2025 Endringer i statsbudsjettet 2025 under Landbruks- og matdepartementet. (Reindriftsavtalen 2025/2026)&lt;/style&gt; (2025)&lt;/DisplayText&gt;&lt;record&gt;&lt;rec-number&gt;10246&lt;/rec-number&gt;&lt;foreign-keys&gt;&lt;key app="EN" db-id="5sffrv50pw0vx2esf075e50jafxwafzxe9r0" timestamp="1768398735" guid="cd0ddbfb-e954-4d08-b8dc-aa8c7aff6562"&gt;10246&lt;/key&gt;&lt;/foreign-keys&gt;&lt;ref-type name="Generic"&gt;13&lt;/ref-type&gt;&lt;contributors&gt;&lt;authors&gt;&lt;author&gt;Prop. S,&lt;/author&gt;&lt;/authors&gt;&lt;/contributors&gt;&lt;titles&gt;&lt;title&gt;Prop. 143 S 2024–2025 Endringer i statsbudsjettet 2025 under Landbruks- og matdepartementet. (Reindriftsavtalen 2025/2026)&lt;/title&gt;&lt;/titles&gt;&lt;keywords&gt;&lt;keyword&gt;Urfolk reindrift&lt;/keyword&gt;&lt;/keywords&gt;&lt;dates&gt;&lt;year&gt;2025&lt;/year&gt;&lt;/dates&gt;&lt;urls&gt;&lt;related-urls&gt;&lt;url&gt;https://www.stortinget.no/no/Saker-og-publikasjoner/Saker/Sak/?p=103532&amp;amp;target=case-status&lt;/url&gt;&lt;/related-urls&gt;&lt;/urls&gt;&lt;/record&gt;&lt;/Cite&gt;&lt;/EndNote&gt;</w:instrText>
      </w:r>
      <w:r w:rsidR="00CD439F">
        <w:fldChar w:fldCharType="separate"/>
      </w:r>
      <w:r w:rsidR="00CD439F" w:rsidRPr="00693A45">
        <w:rPr>
          <w:lang w:val="nn-NO"/>
        </w:rPr>
        <w:t xml:space="preserve">Prop. S, </w:t>
      </w:r>
      <w:r w:rsidR="00CD439F" w:rsidRPr="007E66B0">
        <w:rPr>
          <w:rStyle w:val="kursiv"/>
          <w:lang w:val="nn-NO"/>
        </w:rPr>
        <w:t xml:space="preserve">Prop. 143 S 2024–2025 Endringer i statsbudsjettet 2025 under Landbruks- og matdepartementet. </w:t>
      </w:r>
      <w:r w:rsidR="00CD439F" w:rsidRPr="00CD439F">
        <w:rPr>
          <w:rStyle w:val="kursiv"/>
        </w:rPr>
        <w:t>(Reindriftsavtalen 2025/2026)</w:t>
      </w:r>
      <w:r w:rsidR="00CD439F" w:rsidRPr="007E66B0">
        <w:t xml:space="preserve"> (2025)</w:t>
      </w:r>
      <w:r w:rsidR="00CD439F">
        <w:fldChar w:fldCharType="end"/>
      </w:r>
      <w:r w:rsidR="00CD439F" w:rsidRPr="007E66B0">
        <w:t>, side 42.</w:t>
      </w:r>
    </w:p>
  </w:footnote>
  <w:footnote w:id="20">
    <w:p w14:paraId="3E95A213" w14:textId="7BF71FA6"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rsidRPr="00303661">
        <w:instrText xml:space="preserve"> ADDIN EN.CITE &lt;EndNote&gt;&lt;Cite&gt;&lt;Author&gt;Eilertsen&lt;/Author&gt;&lt;Year&gt;2025&lt;/Year&gt;&lt;RecNum&gt;10079&lt;/RecNum&gt;&lt;DisplayText&gt;Svein Morten Eilertsen, &lt;style face="italic"&gt;Om tap av tamrein til fredet rovvilt&lt;/style&gt; (2025)&lt;/DisplayText&gt;&lt;record&gt;&lt;rec-number&gt;10079&lt;/rec-number&gt;&lt;foreign-keys&gt;&lt;key app="EN" db-id="5sffrv50pw0vx2esf075e50jafxwafzxe9r0" timestamp="1755918679" guid="847fe3b2-1e2c-4134-9f60-29e06cb74e48"&gt;10079&lt;/key&gt;&lt;/foreign-keys&gt;&lt;ref-type name="Generic"&gt;13&lt;/ref-type&gt;&lt;contributors&gt;&lt;authors&gt;&lt;author&gt;Eilertsen, Svein Morten&lt;/author&gt;&lt;/authors&gt;&lt;/contributors&gt;&lt;titles&gt;&lt;title&gt;Om tap av tamrein til fredet rovvilt&lt;/title&gt;&lt;/titles&gt;&lt;keywords&gt;&lt;keyword&gt;Miljø rovvilt&lt;/keyword&gt;&lt;/keywords&gt;&lt;dates&gt;&lt;year&gt;2025&lt;/year&gt;&lt;/dates&gt;&lt;urls&gt;&lt;/urls&gt;&lt;/record&gt;&lt;/Cite&gt;&lt;/EndNote&gt;</w:instrText>
      </w:r>
      <w:r w:rsidR="00CD439F">
        <w:fldChar w:fldCharType="separate"/>
      </w:r>
      <w:r w:rsidR="00CD439F" w:rsidRPr="00303661">
        <w:t xml:space="preserve">Svein Morten Eilertsen, </w:t>
      </w:r>
      <w:r w:rsidR="00CD439F" w:rsidRPr="00CD439F">
        <w:rPr>
          <w:rStyle w:val="kursiv"/>
        </w:rPr>
        <w:t>Om tap av tamrein til fredet rovvilt</w:t>
      </w:r>
      <w:r w:rsidR="00CD439F" w:rsidRPr="00303661">
        <w:t xml:space="preserve"> (2025)</w:t>
      </w:r>
      <w:r w:rsidR="00CD439F">
        <w:fldChar w:fldCharType="end"/>
      </w:r>
      <w:r w:rsidR="00CD439F" w:rsidRPr="00303661">
        <w:t xml:space="preserve">. </w:t>
      </w:r>
      <w:r w:rsidR="00CD439F">
        <w:t>F</w:t>
      </w:r>
      <w:r w:rsidR="00CD439F" w:rsidRPr="005816B9">
        <w:t xml:space="preserve">oredraget </w:t>
      </w:r>
      <w:r w:rsidR="00CD439F">
        <w:t>«</w:t>
      </w:r>
      <w:r w:rsidR="00CD439F" w:rsidRPr="005816B9">
        <w:t>Om tap av tamrein til fredet rovvilt</w:t>
      </w:r>
      <w:r w:rsidR="00CD439F">
        <w:t>»</w:t>
      </w:r>
      <w:r w:rsidR="00CD439F" w:rsidRPr="005816B9">
        <w:t xml:space="preserve"> holdt av Svein Morten Eilertsen (NIBIO) på utvalgets ekspertmøte 21. mars 2025</w:t>
      </w:r>
      <w:r w:rsidR="00CD439F">
        <w:t>.</w:t>
      </w:r>
    </w:p>
  </w:footnote>
  <w:footnote w:id="21">
    <w:p w14:paraId="5CE3C6C1" w14:textId="20A278FA" w:rsidR="00CD439F" w:rsidRPr="00591E4B" w:rsidRDefault="00404399" w:rsidP="00CD439F">
      <w:pPr>
        <w:pStyle w:val="Fotnotetekst"/>
      </w:pPr>
      <w:r w:rsidRPr="00CD439F">
        <w:rPr>
          <w:rStyle w:val="Fotnotereferanse"/>
        </w:rPr>
        <w:footnoteRef/>
      </w:r>
      <w:r>
        <w:rPr>
          <w:rStyle w:val="Fotnotereferanse"/>
        </w:rPr>
        <w:t xml:space="preserve"> </w:t>
      </w:r>
      <w:r w:rsidR="00CD439F" w:rsidRPr="00591E4B">
        <w:fldChar w:fldCharType="begin"/>
      </w:r>
      <w:r w:rsidR="00CD439F">
        <w:instrText xml:space="preserve"> ADDIN EN.CITE &lt;EndNote&gt;&lt;Cite&gt;&lt;Author&gt;Sannhets- og forsoningskommisjonen&lt;/Author&gt;&lt;Year&gt;2023&lt;/Year&gt;&lt;RecNum&gt;10076&lt;/RecNum&gt;&lt;DisplayText&gt;Sannhets- og forsoningskommisjonen, &lt;style face="italic"&gt;Sannhet og forsoning– grunnlag for et oppgjør med fornorskingspolitikk og urett  mot samer, kvener/norskfinner og skogfinner&lt;/style&gt; (2023)&lt;/DisplayText&gt;&lt;record&gt;&lt;rec-number&gt;10076&lt;/rec-number&gt;&lt;foreign-keys&gt;&lt;key app="EN" db-id="5sffrv50pw0vx2esf075e50jafxwafzxe9r0" timestamp="1755918636" guid="bddcd90e-7297-4404-a811-f92104fe5206"&gt;10076&lt;/key&gt;&lt;/foreign-keys&gt;&lt;ref-type name="Generic"&gt;13&lt;/ref-type&gt;&lt;contributors&gt;&lt;authors&gt;&lt;author&gt;Sannhets- og forsoningskommisjonen,&lt;/author&gt;&lt;/authors&gt;&lt;/contributors&gt;&lt;titles&gt;&lt;title&gt;Sannhet og forsoning– grunnlag for et oppgjør med fornorskingspolitikk og urett  mot samer, kvener/norskfinner og skogfinner&lt;/title&gt;&lt;/titles&gt;&lt;keywords&gt;&lt;keyword&gt;Urfolk samerett Norge&lt;/keyword&gt;&lt;/keywords&gt;&lt;dates&gt;&lt;year&gt;2023&lt;/year&gt;&lt;/dates&gt;&lt;urls&gt;&lt;related-urls&gt;&lt;url&gt;https://www.stortinget.no/no/Stortinget-og-demokratiet/Organene/sannhets--og-forsoningskommisjonen/&lt;/url&gt;&lt;url&gt;https://www.stortinget.no/no/Saker-og-publikasjoner/Publikasjoner/Innstillinger/Stortinget/2024-2025/inns-202425-030s/&lt;/url&gt;&lt;/related-urls&gt;&lt;/urls&gt;&lt;/record&gt;&lt;/Cite&gt;&lt;/EndNote&gt;</w:instrText>
      </w:r>
      <w:r w:rsidR="00CD439F" w:rsidRPr="00591E4B">
        <w:fldChar w:fldCharType="separate"/>
      </w:r>
      <w:r w:rsidR="00CD439F">
        <w:rPr>
          <w:noProof/>
        </w:rPr>
        <w:t xml:space="preserve">Sannhets- og forsoningskommisjonen, </w:t>
      </w:r>
      <w:r w:rsidR="00CD439F" w:rsidRPr="00CD439F">
        <w:rPr>
          <w:rStyle w:val="kursiv"/>
        </w:rPr>
        <w:t>Sannhet og forsoning– grunnlag for et oppgjør med fornorskingspolitikk og urett mot samer, kvener/norskfinner og skogfinner</w:t>
      </w:r>
      <w:r w:rsidR="00CD439F">
        <w:rPr>
          <w:noProof/>
        </w:rPr>
        <w:t xml:space="preserve"> (2023)</w:t>
      </w:r>
      <w:r w:rsidR="00CD439F" w:rsidRPr="00591E4B">
        <w:fldChar w:fldCharType="end"/>
      </w:r>
      <w:r w:rsidR="00CD439F" w:rsidRPr="04C45840">
        <w:rPr>
          <w:rFonts w:cs="Times New Roman"/>
        </w:rPr>
        <w:t>, s. 552.</w:t>
      </w:r>
    </w:p>
  </w:footnote>
  <w:footnote w:id="22">
    <w:p w14:paraId="4C1E7AE8" w14:textId="11E8B516" w:rsidR="00CD439F" w:rsidRPr="00591E4B" w:rsidRDefault="00404399" w:rsidP="00CD439F">
      <w:pPr>
        <w:pStyle w:val="Fotnotetekst"/>
      </w:pPr>
      <w:r w:rsidRPr="00CD439F">
        <w:rPr>
          <w:rStyle w:val="Fotnotereferanse"/>
        </w:rPr>
        <w:footnoteRef/>
      </w:r>
      <w:r>
        <w:rPr>
          <w:rStyle w:val="Fotnotereferanse"/>
        </w:rPr>
        <w:t xml:space="preserve"> </w:t>
      </w:r>
      <w:r w:rsidR="00CD439F" w:rsidRPr="00591E4B">
        <w:fldChar w:fldCharType="begin"/>
      </w:r>
      <w:r w:rsidR="00CD439F">
        <w:instrText xml:space="preserve"> ADDIN EN.CITE &lt;EndNote&gt;&lt;Cite&gt;&lt;Author&gt;Meld.St.&lt;/Author&gt;&lt;Year&gt;2017&lt;/Year&gt;&lt;RecNum&gt;10073&lt;/RecNum&gt;&lt;DisplayText&gt;Meld.St., &lt;style face="italic"&gt;Meld. St. 32 (2016 –2017) Reindrift. Lang tradisjon – unike muligheter&lt;/style&gt;&lt;/DisplayText&gt;&lt;record&gt;&lt;rec-number&gt;10073&lt;/rec-number&gt;&lt;foreign-keys&gt;&lt;key app="EN" db-id="5sffrv50pw0vx2esf075e50jafxwafzxe9r0" timestamp="1755918618" guid="eb32bc14-35b0-4af9-baaf-a37942a99d75"&gt;10073&lt;/key&gt;&lt;/foreign-keys&gt;&lt;ref-type name="Generic"&gt;13&lt;/ref-type&gt;&lt;contributors&gt;&lt;authors&gt;&lt;author&gt;Meld.St.,&lt;/author&gt;&lt;/authors&gt;&lt;/contributors&gt;&lt;titles&gt;&lt;title&gt;Meld. St. 32 (2016 –2017) Reindrift. Lang tradisjon – unike muligheter&lt;/title&gt;&lt;/titles&gt;&lt;dates&gt;&lt;year&gt;2017&lt;/year&gt;&lt;/dates&gt;&lt;urls&gt;&lt;related-urls&gt;&lt;url&gt;https://www.regjeringen.no/no/dokumenter/meld.-st.-32-20162017/id2547907/&lt;/url&gt;&lt;url&gt;https://www.stortinget.no/no/Saker-og-publikasjoner/Saker/Sak/?p=68488&lt;/url&gt;&lt;/related-urls&gt;&lt;/urls&gt;&lt;/record&gt;&lt;/Cite&gt;&lt;/EndNote&gt;</w:instrText>
      </w:r>
      <w:r w:rsidR="00CD439F" w:rsidRPr="00591E4B">
        <w:fldChar w:fldCharType="separate"/>
      </w:r>
      <w:r w:rsidR="00CD439F">
        <w:rPr>
          <w:noProof/>
        </w:rPr>
        <w:t xml:space="preserve">Meld.St., </w:t>
      </w:r>
      <w:r w:rsidR="00CD439F" w:rsidRPr="00CD439F">
        <w:rPr>
          <w:rStyle w:val="kursiv"/>
        </w:rPr>
        <w:t>Meld. St. 32 (2016 –2017) Reindrift. Lang tradisjon – unike muligheter</w:t>
      </w:r>
      <w:r w:rsidR="00CD439F" w:rsidRPr="00591E4B">
        <w:fldChar w:fldCharType="end"/>
      </w:r>
      <w:r w:rsidR="00CD439F" w:rsidRPr="04C45840">
        <w:rPr>
          <w:rFonts w:cs="Times New Roman"/>
        </w:rPr>
        <w:t>, s. 13.</w:t>
      </w:r>
    </w:p>
  </w:footnote>
  <w:footnote w:id="23">
    <w:p w14:paraId="3ACA9487" w14:textId="5EB06AE6"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&lt;EndNote&gt;&lt;Cite&gt;&lt;Author&gt;Prop. S&lt;/Author&gt;&lt;Year&gt;2025&lt;/Year&gt;&lt;RecNum&gt;10246&lt;/RecNum&gt;&lt;DisplayText&gt;Prop. S, &lt;style face="italic"&gt;Prop. 143 S 2024–2025 Endringer i statsbudsjettet 2025 under Landbruks- og matdepartementet. (Reindriftsavtalen 2025/2026)&lt;/style&gt;&lt;/DisplayText&gt;&lt;record&gt;&lt;rec-number&gt;10246&lt;/rec-number&gt;&lt;foreign-keys&gt;&lt;key app="EN" db-id="5sffrv50pw0vx2esf075e50jafxwafzxe9r0" timestamp="1768398735" guid="cd0ddbfb-e954-4d08-b8dc-aa8c7aff6562"&gt;10246&lt;/key&gt;&lt;/foreign-keys&gt;&lt;ref-type name="Generic"&gt;13&lt;/ref-type&gt;&lt;contributors&gt;&lt;authors&gt;&lt;author&gt;Prop. S,&lt;/author&gt;&lt;/authors&gt;&lt;/contributors&gt;&lt;titles&gt;&lt;title&gt;Prop. 143 S 2024–2025 Endringer i statsbudsjettet 2025 under Landbruks- og matdepartementet. (Reindriftsavtalen 2025/2026)&lt;/title&gt;&lt;/titles&gt;&lt;keywords&gt;&lt;keyword&gt;Urfolk reindrift&lt;/keyword&gt;&lt;/keywords&gt;&lt;dates&gt;&lt;year&gt;2025&lt;/year&gt;&lt;/dates&gt;&lt;urls&gt;&lt;related-urls&gt;&lt;url&gt;https://www.stortinget.no/no/Saker-og-publikasjoner/Saker/Sak/?p=103532&amp;amp;target=case-status&lt;/url&gt;&lt;/related-urls&gt;&lt;/urls&gt;&lt;/record&gt;&lt;/Cite&gt;&lt;/EndNote&gt;</w:instrText>
      </w:r>
      <w:r w:rsidR="00CD439F">
        <w:fldChar w:fldCharType="separate"/>
      </w:r>
      <w:r w:rsidR="00CD439F">
        <w:rPr>
          <w:noProof/>
        </w:rPr>
        <w:t xml:space="preserve">Prop. S, </w:t>
      </w:r>
      <w:r w:rsidR="00CD439F" w:rsidRPr="00CD439F">
        <w:rPr>
          <w:rStyle w:val="kursiv"/>
        </w:rPr>
        <w:t>Prop. 143 S 2024–2025 Endringer i statsbudsjettet 2025 under Landbruks- og matdepartementet. (Reindriftsavtalen 2025/2026)</w:t>
      </w:r>
      <w:r w:rsidR="00CD439F">
        <w:fldChar w:fldCharType="end"/>
      </w:r>
      <w:r w:rsidR="00CD439F">
        <w:t>, side 24 og 25.</w:t>
      </w:r>
    </w:p>
  </w:footnote>
  <w:footnote w:id="24">
    <w:p w14:paraId="478F2A63" w14:textId="5D3F5749"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&lt;EndNote&gt;&lt;Cite&gt;&lt;Author&gt;Landbruksdirektoratet&lt;/Author&gt;&lt;Year&gt;2025&lt;/Year&gt;&lt;RecNum&gt;10070&lt;/RecNum&gt;&lt;DisplayText&gt;Landbruksdirektoratet, &lt;style face="italic"&gt;Ressursregnskap for reindriftsnæringen. For reindriftsåret 1. april 2024 – 31. mars 2025&lt;/style&gt;&lt;/DisplayText&gt;&lt;record&gt;&lt;rec-number&gt;10070&lt;/rec-number&gt;&lt;foreign-keys&gt;&lt;key app="EN" db-id="5sffrv50pw0vx2esf075e50jafxwafzxe9r0" timestamp="1755918593" guid="ce107af8-03ee-4b94-baff-3f2f9ca27929"&gt;10070&lt;/key&gt;&lt;/foreign-keys&gt;&lt;ref-type name="Generic"&gt;13&lt;/ref-type&gt;&lt;contributors&gt;&lt;authors&gt;&lt;author&gt;Landbruksdirektoratet&lt;/author&gt;&lt;/authors&gt;&lt;/contributors&gt;&lt;titles&gt;&lt;title&gt;Ressursregnskap for reindriftsnæringen. For reindriftsåret 1. april 2024 – 31. mars 2025&lt;/title&gt;&lt;/titles&gt;&lt;keywords&gt;&lt;keyword&gt;Urfolk samerett&lt;/keyword&gt;&lt;/keywords&gt;&lt;dates&gt;&lt;year&gt;2025&lt;/year&gt;&lt;/dates&gt;&lt;urls&gt;&lt;related-urls&gt;&lt;url&gt;https://www.landbruksdirektoratet.no/nb/nyhetsrom/rapporter/ressursregnskapet-for-reindriftsnaeringen/_/attachment/inline/1ae9ced9-7fc6-4bfe-9ef7-8cdb0db892df:1872b8a339d0076173bfb3cad5e6200e2106c612/Ressursregnskap%20for%20reindriftsn%C3%A6ringen%202024-2025.pdf&lt;/url&gt;&lt;url&gt;https://www.landbruksdirektoratet.no/nb/nyhetsrom/rapporter/ressursregnskapet-for-reindriftsnaeringen&lt;/url&gt;&lt;/related-urls&gt;&lt;/urls&gt;&lt;/record&gt;&lt;/Cite&gt;&lt;/EndNote&gt;</w:instrText>
      </w:r>
      <w:r w:rsidR="00CD439F">
        <w:fldChar w:fldCharType="separate"/>
      </w:r>
      <w:r w:rsidR="00CD439F">
        <w:rPr>
          <w:noProof/>
        </w:rPr>
        <w:t xml:space="preserve">Landbruksdirektoratet, </w:t>
      </w:r>
      <w:r w:rsidR="00CD439F" w:rsidRPr="00CD439F">
        <w:rPr>
          <w:rStyle w:val="kursiv"/>
        </w:rPr>
        <w:t>Ressursregnskap for reindriftsnæringen. For reindriftsåret 1. april 2024 – 31. mars 2025</w:t>
      </w:r>
      <w:r w:rsidR="00CD439F">
        <w:fldChar w:fldCharType="end"/>
      </w:r>
      <w:r w:rsidR="00CD439F">
        <w:t xml:space="preserve">, side 53. </w:t>
      </w:r>
    </w:p>
  </w:footnote>
  <w:footnote w:id="25">
    <w:p w14:paraId="7CE1F523" w14:textId="3F5FA163"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&lt;EndNote&gt;&lt;Cite&gt;&lt;Author&gt;Hansen&lt;/Author&gt;&lt;Year&gt;2019&lt;/Year&gt;&lt;RecNum&gt;10088&lt;/RecNum&gt;&lt;DisplayText&gt;Hansen and others, &lt;style face="italic"&gt;Tap av tamrein - et kunnskapsgrunnlag&lt;/style&gt;&lt;/DisplayText&gt;&lt;record&gt;&lt;rec-number&gt;10088&lt;/rec-number&gt;&lt;foreign-keys&gt;&lt;key app="EN" db-id="5sffrv50pw0vx2esf075e50jafxwafzxe9r0" timestamp="1755918717" guid="3f47a105-3622-46a5-9deb-575ee6ee7022"&gt;10088&lt;/key&gt;&lt;/foreign-keys&gt;&lt;ref-type name="Report"&gt;27&lt;/ref-type&gt;&lt;contributors&gt;&lt;authors&gt;&lt;author&gt;Hansen, Inger&lt;/author&gt;&lt;author&gt;Eilertsen, Svein Morten&lt;/author&gt;&lt;author&gt;Sørensen, Ole Jakob&lt;/author&gt;&lt;author&gt;Mørk, Torill&lt;/author&gt;&lt;author&gt;Bråthen, Kari Anne&lt;/author&gt;&lt;author&gt;Johansen, Bernt&lt;/author&gt;&lt;author&gt;Moa, Pål Fossland&lt;/author&gt;&lt;author&gt;Risvoll, Camilla&lt;/author&gt;&lt;author&gt;Sandström, Camilla&lt;/author&gt;&lt;author&gt;Winje, Erlend&lt;/author&gt;&lt;/authors&gt;&lt;/contributors&gt;&lt;titles&gt;&lt;title&gt;Tap av tamrein - et kunnskapsgrunnlag&lt;/title&gt;&lt;/titles&gt;&lt;volume&gt;5&lt;/volume&gt;&lt;number&gt;174&lt;/number&gt;&lt;keywords&gt;&lt;keyword&gt;Urfolksrett rovvilt rein&lt;/keyword&gt;&lt;/keywords&gt;&lt;dates&gt;&lt;year&gt;2019&lt;/year&gt;&lt;/dates&gt;&lt;publisher&gt;NIBIO&lt;/publisher&gt;&lt;isbn&gt;2464-1162&amp;#xD;978-82-17-02478-1&lt;/isbn&gt;&lt;urls&gt;&lt;/urls&gt;&lt;research-notes&gt;https://nibio.brage.unit.no/nibio-xmlui/handle/11250/2644088&lt;/research-notes&gt;&lt;/record&gt;&lt;/Cite&gt;&lt;/EndNote&gt;</w:instrText>
      </w:r>
      <w:r w:rsidR="00CD439F">
        <w:fldChar w:fldCharType="separate"/>
      </w:r>
      <w:r w:rsidR="00CD439F">
        <w:rPr>
          <w:noProof/>
        </w:rPr>
        <w:t xml:space="preserve">Hansen and others, </w:t>
      </w:r>
      <w:r w:rsidR="00CD439F" w:rsidRPr="00CD439F">
        <w:rPr>
          <w:rStyle w:val="kursiv"/>
        </w:rPr>
        <w:t>Tap av tamrein – et kunnskapsgrunnlag</w:t>
      </w:r>
      <w:r w:rsidR="00CD439F">
        <w:fldChar w:fldCharType="end"/>
      </w:r>
      <w:r w:rsidR="00CD439F">
        <w:t>, side 41 (uthevet her).</w:t>
      </w:r>
    </w:p>
  </w:footnote>
  <w:footnote w:id="26">
    <w:p w14:paraId="42481372" w14:textId="418821DC"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&lt;EndNote&gt;&lt;Cite&gt;&lt;Author&gt;Meld.St.&lt;/Author&gt;&lt;Year&gt;2017&lt;/Year&gt;&lt;RecNum&gt;10073&lt;/RecNum&gt;&lt;DisplayText&gt;Meld.St., &lt;style face="italic"&gt;Meld. St. 32 (2016 –2017) Reindrift. Lang tradisjon – unike muligheter&lt;/style&gt;&lt;/DisplayText&gt;&lt;record&gt;&lt;rec-number&gt;10073&lt;/rec-number&gt;&lt;foreign-keys&gt;&lt;key app="EN" db-id="5sffrv50pw0vx2esf075e50jafxwafzxe9r0" timestamp="1755918618" guid="eb32bc14-35b0-4af9-baaf-a37942a99d75"&gt;10073&lt;/key&gt;&lt;/foreign-keys&gt;&lt;ref-type name="Generic"&gt;13&lt;/ref-type&gt;&lt;contributors&gt;&lt;authors&gt;&lt;author&gt;Meld.St.,&lt;/author&gt;&lt;/authors&gt;&lt;/contributors&gt;&lt;titles&gt;&lt;title&gt;Meld. St. 32 (2016 –2017) Reindrift. Lang tradisjon – unike muligheter&lt;/title&gt;&lt;/titles&gt;&lt;dates&gt;&lt;year&gt;2017&lt;/year&gt;&lt;/dates&gt;&lt;urls&gt;&lt;related-urls&gt;&lt;url&gt;https://www.regjeringen.no/no/dokumenter/meld.-st.-32-20162017/id2547907/&lt;/url&gt;&lt;url&gt;https://www.stortinget.no/no/Saker-og-publikasjoner/Saker/Sak/?p=68488&lt;/url&gt;&lt;/related-urls&gt;&lt;/urls&gt;&lt;/record&gt;&lt;/Cite&gt;&lt;/EndNote&gt;</w:instrText>
      </w:r>
      <w:r w:rsidR="00CD439F">
        <w:fldChar w:fldCharType="separate"/>
      </w:r>
      <w:r w:rsidR="00CD439F">
        <w:rPr>
          <w:noProof/>
        </w:rPr>
        <w:t xml:space="preserve">Meld.St., </w:t>
      </w:r>
      <w:r w:rsidR="00CD439F" w:rsidRPr="00CD439F">
        <w:rPr>
          <w:rStyle w:val="kursiv"/>
        </w:rPr>
        <w:t>Meld. St. 32 (2016 –2017) Reindrift. Lang tradisjon – unike muligheter</w:t>
      </w:r>
      <w:r w:rsidR="00CD439F">
        <w:fldChar w:fldCharType="end"/>
      </w:r>
      <w:r w:rsidR="00CD439F">
        <w:t>, side 52.</w:t>
      </w:r>
    </w:p>
  </w:footnote>
  <w:footnote w:id="27">
    <w:p w14:paraId="447B5111" w14:textId="66AC1342" w:rsidR="00CD439F" w:rsidRPr="00591E4B" w:rsidRDefault="00404399" w:rsidP="00CD439F">
      <w:pPr>
        <w:pStyle w:val="Fotnotetekst"/>
      </w:pPr>
      <w:r w:rsidRPr="00CD439F">
        <w:rPr>
          <w:rStyle w:val="Fotnotereferanse"/>
        </w:rPr>
        <w:footnoteRef/>
      </w:r>
      <w:r>
        <w:rPr>
          <w:rStyle w:val="Fotnotereferanse"/>
        </w:rPr>
        <w:t xml:space="preserve"> </w:t>
      </w:r>
      <w:r w:rsidR="00CD439F" w:rsidRPr="00591E4B">
        <w:fldChar w:fldCharType="begin"/>
      </w:r>
      <w:r w:rsidR="00CD439F">
        <w:instrText xml:space="preserve"> ADDIN EN.CITE &lt;EndNote&gt;&lt;Cite&gt;&lt;Author&gt;Hansen&lt;/Author&gt;&lt;Year&gt;2021&lt;/Year&gt;&lt;RecNum&gt;10069&lt;/RecNum&gt;&lt;DisplayText&gt;Hansen and others, &lt;style face="italic"&gt;Kartlegging av forskning på reindriftsområdet – kunnskapsgrunnlag og forskningsbehov&lt;/style&gt;&lt;/DisplayText&gt;&lt;record&gt;&lt;rec-number&gt;10069&lt;/rec-number&gt;&lt;foreign-keys&gt;&lt;key app="EN" db-id="5sffrv50pw0vx2esf075e50jafxwafzxe9r0" timestamp="1755918589" guid="36e25ac2-8d21-4112-9e82-966e74e9e770"&gt;10069&lt;/key&gt;&lt;/foreign-keys&gt;&lt;ref-type name="Generic"&gt;13&lt;/ref-type&gt;&lt;contributors&gt;&lt;authors&gt;&lt;author&gt;Hansen, Inger&lt;/author&gt;&lt;author&gt;Eilertsen, Svein Morten&lt;/author&gt;&lt;author&gt;Kapfer, Jutta&lt;/author&gt;&lt;author&gt;Wagner, Gabriela&lt;/author&gt;&lt;author&gt;Bjørn, Tor-Arne&lt;/author&gt;&lt;author&gt;Smuk, Stig Rune&lt;/author&gt;&lt;author&gt;Ystad, Eystein&lt;/author&gt;&lt;author&gt;Tenge, Ingrid&lt;/author&gt;&lt;/authors&gt;&lt;/contributors&gt;&lt;titles&gt;&lt;title&gt;Kartlegging av forskning på reindriftsområdet – kunnskapsgrunnlag og forskningsbehov&lt;/title&gt;&lt;/titles&gt;&lt;keywords&gt;&lt;keyword&gt;Miljø urfolk samerett rovvilt&lt;/keyword&gt;&lt;/keywords&gt;&lt;dates&gt;&lt;year&gt;2021&lt;/year&gt;&lt;/dates&gt;&lt;publisher&gt;NIBIO&lt;/publisher&gt;&lt;isbn&gt;2464-1162&amp;#xD;978-82-17-02960-1&lt;/isbn&gt;&lt;urls&gt;&lt;/urls&gt;&lt;research-notes&gt;https://nibio.brage.unit.no/nibio-xmlui/bitstream/handle/11250/2835162/NIBIO_RAPPORT_2021_7_187.pdf?sequence=3&amp;amp;isAllowed=y&lt;/research-notes&gt;&lt;/record&gt;&lt;/Cite&gt;&lt;/EndNote&gt;</w:instrText>
      </w:r>
      <w:r w:rsidR="00CD439F" w:rsidRPr="00591E4B">
        <w:fldChar w:fldCharType="separate"/>
      </w:r>
      <w:r w:rsidR="00CD439F">
        <w:rPr>
          <w:noProof/>
        </w:rPr>
        <w:t xml:space="preserve">Hansen and others, </w:t>
      </w:r>
      <w:r w:rsidR="00CD439F" w:rsidRPr="00CD439F">
        <w:rPr>
          <w:rStyle w:val="kursiv"/>
        </w:rPr>
        <w:t>Kartlegging av forskning på reindriftsområdet – kunnskapsgrunnlag og forskningsbehov</w:t>
      </w:r>
      <w:r w:rsidR="00CD439F" w:rsidRPr="00591E4B">
        <w:fldChar w:fldCharType="end"/>
      </w:r>
      <w:r w:rsidR="00CD439F" w:rsidRPr="04C45840">
        <w:rPr>
          <w:rFonts w:cs="Times New Roman"/>
        </w:rPr>
        <w:t xml:space="preserve">, </w:t>
      </w:r>
      <w:r w:rsidR="00CD439F">
        <w:rPr>
          <w:rFonts w:cs="Times New Roman"/>
        </w:rPr>
        <w:t xml:space="preserve">side </w:t>
      </w:r>
      <w:r w:rsidR="00CD439F" w:rsidRPr="04C45840">
        <w:rPr>
          <w:rFonts w:cs="Times New Roman"/>
        </w:rPr>
        <w:t>83. Rapporten går gjennom betydningen av ulike former for arealinngrep: energiutbygging, mineralutvinning, veier, tog, bolig- og hyttefelt samt friluftsaktiviteter, og lys og støy.</w:t>
      </w:r>
    </w:p>
  </w:footnote>
  <w:footnote w:id="28">
    <w:p w14:paraId="6E1111C3" w14:textId="5D5ACA15"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&lt;EndNote&gt;&lt;Cite&gt;&lt;Author&gt;Landbruksdirektoratet&lt;/Author&gt;&lt;Year&gt;2025&lt;/Year&gt;&lt;RecNum&gt;10070&lt;/RecNum&gt;&lt;DisplayText&gt;Landbruksdirektoratet, &lt;style face="italic"&gt;Ressursregnskap for reindriftsnæringen. For reindriftsåret 1. april 2024 – 31. mars 2025&lt;/style&gt;&lt;/DisplayText&gt;&lt;record&gt;&lt;rec-number&gt;10070&lt;/rec-number&gt;&lt;foreign-keys&gt;&lt;key app="EN" db-id="5sffrv50pw0vx2esf075e50jafxwafzxe9r0" timestamp="1755918593" guid="ce107af8-03ee-4b94-baff-3f2f9ca27929"&gt;10070&lt;/key&gt;&lt;/foreign-keys&gt;&lt;ref-type name="Generic"&gt;13&lt;/ref-type&gt;&lt;contributors&gt;&lt;authors&gt;&lt;author&gt;Landbruksdirektoratet&lt;/author&gt;&lt;/authors&gt;&lt;/contributors&gt;&lt;titles&gt;&lt;title&gt;Ressursregnskap for reindriftsnæringen. For reindriftsåret 1. april 2024 – 31. mars 2025&lt;/title&gt;&lt;/titles&gt;&lt;keywords&gt;&lt;keyword&gt;Urfolk samerett&lt;/keyword&gt;&lt;/keywords&gt;&lt;dates&gt;&lt;year&gt;2025&lt;/year&gt;&lt;/dates&gt;&lt;urls&gt;&lt;related-urls&gt;&lt;url&gt;https://www.landbruksdirektoratet.no/nb/nyhetsrom/rapporter/ressursregnskapet-for-reindriftsnaeringen/_/attachment/inline/1ae9ced9-7fc6-4bfe-9ef7-8cdb0db892df:1872b8a339d0076173bfb3cad5e6200e2106c612/Ressursregnskap%20for%20reindriftsn%C3%A6ringen%202024-2025.pdf&lt;/url&gt;&lt;url&gt;https://www.landbruksdirektoratet.no/nb/nyhetsrom/rapporter/ressursregnskapet-for-reindriftsnaeringen&lt;/url&gt;&lt;/related-urls&gt;&lt;/urls&gt;&lt;/record&gt;&lt;/Cite&gt;&lt;/EndNote&gt;</w:instrText>
      </w:r>
      <w:r w:rsidR="00CD439F">
        <w:fldChar w:fldCharType="separate"/>
      </w:r>
      <w:r w:rsidR="00CD439F">
        <w:rPr>
          <w:noProof/>
        </w:rPr>
        <w:t xml:space="preserve">Landbruksdirektoratet, </w:t>
      </w:r>
      <w:r w:rsidR="00CD439F" w:rsidRPr="00CD439F">
        <w:rPr>
          <w:rStyle w:val="kursiv"/>
        </w:rPr>
        <w:t>Ressursregnskap for reindriftsnæringen. For reindriftsåret 1. april 2024 – 31. mars 2025</w:t>
      </w:r>
      <w:r w:rsidR="00CD439F">
        <w:fldChar w:fldCharType="end"/>
      </w:r>
      <w:r w:rsidR="00CD439F">
        <w:t>, side 15 (fotnoter utelatt).</w:t>
      </w:r>
    </w:p>
  </w:footnote>
  <w:footnote w:id="29">
    <w:p w14:paraId="0D071E83" w14:textId="4E653A12" w:rsidR="00CD439F" w:rsidRPr="00591E4B" w:rsidRDefault="00404399" w:rsidP="00CD439F">
      <w:pPr>
        <w:pStyle w:val="Fotnotetekst"/>
      </w:pPr>
      <w:r w:rsidRPr="00CD439F">
        <w:rPr>
          <w:rStyle w:val="Fotnotereferanse"/>
        </w:rPr>
        <w:footnoteRef/>
      </w:r>
      <w:r>
        <w:rPr>
          <w:rStyle w:val="Fotnotereferanse"/>
        </w:rPr>
        <w:t xml:space="preserve"> </w:t>
      </w:r>
      <w:r w:rsidR="00CD439F" w:rsidRPr="00591E4B">
        <w:fldChar w:fldCharType="begin"/>
      </w:r>
      <w:r w:rsidR="00CD439F">
        <w:instrText xml:space="preserve"> ADDIN EN.CITE &lt;EndNote&gt;&lt;Cite&gt;&lt;Author&gt;Hansen&lt;/Author&gt;&lt;Year&gt;2019&lt;/Year&gt;&lt;RecNum&gt;10088&lt;/RecNum&gt;&lt;DisplayText&gt;Hansen and others, &lt;style face="italic"&gt;Tap av tamrein - et kunnskapsgrunnlag&lt;/style&gt;&lt;/DisplayText&gt;&lt;record&gt;&lt;rec-number&gt;10088&lt;/rec-number&gt;&lt;foreign-keys&gt;&lt;key app="EN" db-id="5sffrv50pw0vx2esf075e50jafxwafzxe9r0" timestamp="1755918717" guid="3f47a105-3622-46a5-9deb-575ee6ee7022"&gt;10088&lt;/key&gt;&lt;/foreign-keys&gt;&lt;ref-type name="Report"&gt;27&lt;/ref-type&gt;&lt;contributors&gt;&lt;authors&gt;&lt;author&gt;Hansen, Inger&lt;/author&gt;&lt;author&gt;Eilertsen, Svein Morten&lt;/author&gt;&lt;author&gt;Sørensen, Ole Jakob&lt;/author&gt;&lt;author&gt;Mørk, Torill&lt;/author&gt;&lt;author&gt;Bråthen, Kari Anne&lt;/author&gt;&lt;author&gt;Johansen, Bernt&lt;/author&gt;&lt;author&gt;Moa, Pål Fossland&lt;/author&gt;&lt;author&gt;Risvoll, Camilla&lt;/author&gt;&lt;author&gt;Sandström, Camilla&lt;/author&gt;&lt;author&gt;Winje, Erlend&lt;/author&gt;&lt;/authors&gt;&lt;/contributors&gt;&lt;titles&gt;&lt;title&gt;Tap av tamrein - et kunnskapsgrunnlag&lt;/title&gt;&lt;/titles&gt;&lt;volume&gt;5&lt;/volume&gt;&lt;number&gt;174&lt;/number&gt;&lt;keywords&gt;&lt;keyword&gt;Urfolksrett rovvilt rein&lt;/keyword&gt;&lt;/keywords&gt;&lt;dates&gt;&lt;year&gt;2019&lt;/year&gt;&lt;/dates&gt;&lt;publisher&gt;NIBIO&lt;/publisher&gt;&lt;isbn&gt;2464-1162&amp;#xD;978-82-17-02478-1&lt;/isbn&gt;&lt;urls&gt;&lt;/urls&gt;&lt;research-notes&gt;https://nibio.brage.unit.no/nibio-xmlui/handle/11250/2644088&lt;/research-notes&gt;&lt;/record&gt;&lt;/Cite&gt;&lt;/EndNote&gt;</w:instrText>
      </w:r>
      <w:r w:rsidR="00CD439F" w:rsidRPr="00591E4B">
        <w:fldChar w:fldCharType="separate"/>
      </w:r>
      <w:r w:rsidR="00CD439F">
        <w:rPr>
          <w:noProof/>
        </w:rPr>
        <w:t xml:space="preserve">Hansen and others, </w:t>
      </w:r>
      <w:r w:rsidR="00CD439F" w:rsidRPr="00CD439F">
        <w:rPr>
          <w:rStyle w:val="kursiv"/>
        </w:rPr>
        <w:t>Tap av tamrein – et kunnskapsgrunnlag</w:t>
      </w:r>
      <w:r w:rsidR="00CD439F" w:rsidRPr="00591E4B">
        <w:fldChar w:fldCharType="end"/>
      </w:r>
      <w:r w:rsidR="00CD439F" w:rsidRPr="04C45840">
        <w:rPr>
          <w:rFonts w:cs="Times New Roman"/>
        </w:rPr>
        <w:t>, 41 (uthevet her).</w:t>
      </w:r>
    </w:p>
  </w:footnote>
  <w:footnote w:id="30">
    <w:p w14:paraId="5D0E3188" w14:textId="2B107A43"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&lt;EndNote&gt;&lt;Cite&gt;&lt;Author&gt;Prop. S&lt;/Author&gt;&lt;Year&gt;2025&lt;/Year&gt;&lt;RecNum&gt;10246&lt;/RecNum&gt;&lt;DisplayText&gt;Prop. S, &lt;style face="italic"&gt;Prop. 143 S 2024–2025 Endringer i statsbudsjettet 2025 under Landbruks- og matdepartementet. (Reindriftsavtalen 2025/2026)&lt;/style&gt;&lt;/DisplayText&gt;&lt;record&gt;&lt;rec-number&gt;10246&lt;/rec-number&gt;&lt;foreign-keys&gt;&lt;key app="EN" db-id="5sffrv50pw0vx2esf075e50jafxwafzxe9r0" timestamp="1768398735" guid="cd0ddbfb-e954-4d08-b8dc-aa8c7aff6562"&gt;10246&lt;/key&gt;&lt;/foreign-keys&gt;&lt;ref-type name="Generic"&gt;13&lt;/ref-type&gt;&lt;contributors&gt;&lt;authors&gt;&lt;author&gt;Prop. S,&lt;/author&gt;&lt;/authors&gt;&lt;/contributors&gt;&lt;titles&gt;&lt;title&gt;Prop. 143 S 2024–2025 Endringer i statsbudsjettet 2025 under Landbruks- og matdepartementet. (Reindriftsavtalen 2025/2026)&lt;/title&gt;&lt;/titles&gt;&lt;keywords&gt;&lt;keyword&gt;Urfolk reindrift&lt;/keyword&gt;&lt;/keywords&gt;&lt;dates&gt;&lt;year&gt;2025&lt;/year&gt;&lt;/dates&gt;&lt;urls&gt;&lt;related-urls&gt;&lt;url&gt;https://www.stortinget.no/no/Saker-og-publikasjoner/Saker/Sak/?p=103532&amp;amp;target=case-status&lt;/url&gt;&lt;/related-urls&gt;&lt;/urls&gt;&lt;/record&gt;&lt;/Cite&gt;&lt;/EndNote&gt;</w:instrText>
      </w:r>
      <w:r w:rsidR="00CD439F">
        <w:fldChar w:fldCharType="separate"/>
      </w:r>
      <w:r w:rsidR="00CD439F">
        <w:rPr>
          <w:noProof/>
        </w:rPr>
        <w:t xml:space="preserve">Prop. S, </w:t>
      </w:r>
      <w:r w:rsidR="00CD439F" w:rsidRPr="00CD439F">
        <w:rPr>
          <w:rStyle w:val="kursiv"/>
        </w:rPr>
        <w:t>Prop. 143 S 2024–2025 Endringer i statsbudsjettet 2025 under Landbruks- og matdepartementet. (Reindriftsavtalen 2025/2026)</w:t>
      </w:r>
      <w:r w:rsidR="00CD439F">
        <w:fldChar w:fldCharType="end"/>
      </w:r>
      <w:r w:rsidR="00CD439F">
        <w:t>, side 49.</w:t>
      </w:r>
    </w:p>
  </w:footnote>
  <w:footnote w:id="31">
    <w:p w14:paraId="2E5173B9" w14:textId="5B690E83" w:rsidR="00CD439F" w:rsidRPr="00591E4B" w:rsidRDefault="00404399" w:rsidP="00CD439F">
      <w:pPr>
        <w:pStyle w:val="Fotnotetekst"/>
      </w:pPr>
      <w:r w:rsidRPr="00CD439F">
        <w:rPr>
          <w:rStyle w:val="Fotnotereferanse"/>
        </w:rPr>
        <w:footnoteRef/>
      </w:r>
      <w:r>
        <w:rPr>
          <w:rStyle w:val="Fotnotereferanse"/>
        </w:rPr>
        <w:t xml:space="preserve"> </w:t>
      </w:r>
      <w:r w:rsidR="00CD439F" w:rsidRPr="00591E4B">
        <w:fldChar w:fldCharType="begin"/>
      </w:r>
      <w:r w:rsidR="00CD439F">
        <w:instrText xml:space="preserve"> ADDIN EN.CITE &lt;EndNote&gt;&lt;Cite&gt;&lt;Author&gt;Hansen&lt;/Author&gt;&lt;Year&gt;2019&lt;/Year&gt;&lt;RecNum&gt;10088&lt;/RecNum&gt;&lt;DisplayText&gt;Hansen and others, &lt;style face="italic"&gt;Tap av tamrein - et kunnskapsgrunnlag&lt;/style&gt;&lt;/DisplayText&gt;&lt;record&gt;&lt;rec-number&gt;10088&lt;/rec-number&gt;&lt;foreign-keys&gt;&lt;key app="EN" db-id="5sffrv50pw0vx2esf075e50jafxwafzxe9r0" timestamp="1755918717" guid="3f47a105-3622-46a5-9deb-575ee6ee7022"&gt;10088&lt;/key&gt;&lt;/foreign-keys&gt;&lt;ref-type name="Report"&gt;27&lt;/ref-type&gt;&lt;contributors&gt;&lt;authors&gt;&lt;author&gt;Hansen, Inger&lt;/author&gt;&lt;author&gt;Eilertsen, Svein Morten&lt;/author&gt;&lt;author&gt;Sørensen, Ole Jakob&lt;/author&gt;&lt;author&gt;Mørk, Torill&lt;/author&gt;&lt;author&gt;Bråthen, Kari Anne&lt;/author&gt;&lt;author&gt;Johansen, Bernt&lt;/author&gt;&lt;author&gt;Moa, Pål Fossland&lt;/author&gt;&lt;author&gt;Risvoll, Camilla&lt;/author&gt;&lt;author&gt;Sandström, Camilla&lt;/author&gt;&lt;author&gt;Winje, Erlend&lt;/author&gt;&lt;/authors&gt;&lt;/contributors&gt;&lt;titles&gt;&lt;title&gt;Tap av tamrein - et kunnskapsgrunnlag&lt;/title&gt;&lt;/titles&gt;&lt;volume&gt;5&lt;/volume&gt;&lt;number&gt;174&lt;/number&gt;&lt;keywords&gt;&lt;keyword&gt;Urfolksrett rovvilt rein&lt;/keyword&gt;&lt;/keywords&gt;&lt;dates&gt;&lt;year&gt;2019&lt;/year&gt;&lt;/dates&gt;&lt;publisher&gt;NIBIO&lt;/publisher&gt;&lt;isbn&gt;2464-1162&amp;#xD;978-82-17-02478-1&lt;/isbn&gt;&lt;urls&gt;&lt;/urls&gt;&lt;research-notes&gt;https://nibio.brage.unit.no/nibio-xmlui/handle/11250/2644088&lt;/research-notes&gt;&lt;/record&gt;&lt;/Cite&gt;&lt;/EndNote&gt;</w:instrText>
      </w:r>
      <w:r w:rsidR="00CD439F" w:rsidRPr="00591E4B">
        <w:fldChar w:fldCharType="separate"/>
      </w:r>
      <w:r w:rsidR="00CD439F">
        <w:rPr>
          <w:noProof/>
        </w:rPr>
        <w:t xml:space="preserve">Hansen and others, </w:t>
      </w:r>
      <w:r w:rsidR="00CD439F" w:rsidRPr="00CD439F">
        <w:rPr>
          <w:rStyle w:val="kursiv"/>
        </w:rPr>
        <w:t>Tap av tamrein – et kunnskapsgrunnlag</w:t>
      </w:r>
      <w:r w:rsidR="00CD439F" w:rsidRPr="00591E4B">
        <w:fldChar w:fldCharType="end"/>
      </w:r>
      <w:r w:rsidR="00CD439F" w:rsidRPr="04C45840">
        <w:rPr>
          <w:rFonts w:cs="Times New Roman"/>
        </w:rPr>
        <w:t>, 42 (uthevet her).</w:t>
      </w:r>
    </w:p>
  </w:footnote>
  <w:footnote w:id="32">
    <w:p w14:paraId="1143BC55" w14:textId="7CDDAE72" w:rsidR="00CD439F" w:rsidRPr="004B2EB7"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fldChar w:fldCharType="begin"/>
      </w:r>
      <w:r w:rsidR="00CD439F">
        <w:rPr>
          <w:lang w:val="en-US"/>
        </w:rPr>
        <w:instrText xml:space="preserve"> ADDIN EN.CITE &lt;EndNote&gt;&lt;Cite ExcludeAuth="1"&gt;&lt;Author&gt;Traktat&lt;/Author&gt;&lt;Year&gt;2007&lt;/Year&gt;&lt;RecNum&gt;9057&lt;/RecNum&gt;&lt;DisplayText&gt;, &lt;style face="italic"&gt;United Nations Declaration on the Rights of Indigenous Peoples&lt;/style&gt; (2007)&lt;/DisplayText&gt;&lt;record&gt;&lt;rec-number&gt;9057&lt;/rec-number&gt;&lt;foreign-keys&gt;&lt;key app="EN" db-id="5sffrv50pw0vx2esf075e50jafxwafzxe9r0" timestamp="1755912645" guid="5ff14fac-e6d4-433c-a2fb-193199437ba3"&gt;9057&lt;/key&gt;&lt;/foreign-keys&gt;&lt;ref-type name="Generic"&gt;13&lt;/ref-type&gt;&lt;contributors&gt;&lt;authors&gt;&lt;author&gt;Traktat&lt;/author&gt;&lt;/authors&gt;&lt;/contributors&gt;&lt;titles&gt;&lt;title&gt;United Nations Declaration on the Rights of Indigenous Peoples&lt;/title&gt;&lt;/titles&gt;&lt;keywords&gt;&lt;keyword&gt;Urfolk samerett FN selvbestemmelse&lt;/keyword&gt;&lt;/keywords&gt;&lt;dates&gt;&lt;year&gt;2007&lt;/year&gt;&lt;/dates&gt;&lt;urls&gt;&lt;/urls&gt;&lt;/record&gt;&lt;/Cite&gt;&lt;/EndNote&gt;</w:instrText>
      </w:r>
      <w:r w:rsidR="00CD439F">
        <w:fldChar w:fldCharType="separate"/>
      </w:r>
      <w:r w:rsidR="00CD439F" w:rsidRPr="00CD439F">
        <w:rPr>
          <w:rStyle w:val="kursiv"/>
          <w:lang w:val="en-US"/>
        </w:rPr>
        <w:t>United Nations Declaration on the Rights of Indigenous Peoples</w:t>
      </w:r>
      <w:r w:rsidR="00CD439F" w:rsidRPr="00FF7788">
        <w:rPr>
          <w:noProof/>
          <w:lang w:val="en-US"/>
        </w:rPr>
        <w:t xml:space="preserve"> (2007)</w:t>
      </w:r>
      <w:r w:rsidR="00CD439F">
        <w:fldChar w:fldCharType="end"/>
      </w:r>
      <w:r w:rsidR="00CD439F" w:rsidRPr="004B2EB7">
        <w:rPr>
          <w:lang w:val="en-US"/>
        </w:rPr>
        <w:t>.</w:t>
      </w:r>
    </w:p>
  </w:footnote>
  <w:footnote w:id="33">
    <w:p w14:paraId="7B2EEA29" w14:textId="041D56A6" w:rsidR="00CD439F" w:rsidRPr="00591E4B" w:rsidRDefault="00404399" w:rsidP="00CD439F">
      <w:pPr>
        <w:pStyle w:val="Fotnotetekst"/>
      </w:pPr>
      <w:r w:rsidRPr="00CD439F">
        <w:rPr>
          <w:rStyle w:val="Fotnotereferanse"/>
        </w:rPr>
        <w:footnoteRef/>
      </w:r>
      <w:r>
        <w:rPr>
          <w:rStyle w:val="Fotnotereferanse"/>
        </w:rPr>
        <w:t xml:space="preserve"> </w:t>
      </w:r>
      <w:r w:rsidR="00CD439F" w:rsidRPr="00444396">
        <w:t xml:space="preserve">Se blant annet </w:t>
      </w:r>
      <w:proofErr w:type="spellStart"/>
      <w:r w:rsidR="00CD439F" w:rsidRPr="00444396">
        <w:t>Rt</w:t>
      </w:r>
      <w:proofErr w:type="spellEnd"/>
      <w:r w:rsidR="00CD439F" w:rsidRPr="00444396">
        <w:t>. 2001 s. 1006 (KRL-fag) på s. 1015, HR-2011-476-A (konsesjonsnektelse) avsnitt 47 og HR-2015-342-A (Oslo Steinerskole) avsnitt 35 flg.</w:t>
      </w:r>
    </w:p>
  </w:footnote>
  <w:footnote w:id="34">
    <w:p w14:paraId="25512373" w14:textId="144D4711"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HR-2008-2175-S (</w:t>
      </w:r>
      <w:proofErr w:type="spellStart"/>
      <w:r w:rsidR="00CD439F" w:rsidRPr="00836F21">
        <w:rPr>
          <w:lang w:val="en-GB"/>
        </w:rPr>
        <w:t>ankenektelse</w:t>
      </w:r>
      <w:proofErr w:type="spellEnd"/>
      <w:r w:rsidR="00CD439F" w:rsidRPr="00836F21">
        <w:rPr>
          <w:lang w:val="en-GB"/>
        </w:rPr>
        <w:t xml:space="preserve">) </w:t>
      </w:r>
      <w:proofErr w:type="spellStart"/>
      <w:r w:rsidR="00CD439F" w:rsidRPr="00836F21">
        <w:rPr>
          <w:lang w:val="en-GB"/>
        </w:rPr>
        <w:t>avsnitt</w:t>
      </w:r>
      <w:proofErr w:type="spellEnd"/>
      <w:r w:rsidR="00CD439F" w:rsidRPr="00836F21">
        <w:rPr>
          <w:lang w:val="en-GB"/>
        </w:rPr>
        <w:t xml:space="preserve"> 81.</w:t>
      </w:r>
    </w:p>
  </w:footnote>
  <w:footnote w:id="35">
    <w:p w14:paraId="221B0C98" w14:textId="7D7E0928"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284771">
        <w:rPr>
          <w:lang w:val="en-GB"/>
        </w:rPr>
        <w:t xml:space="preserve">Human Rights Committee, </w:t>
      </w:r>
      <w:r w:rsidR="00CD439F" w:rsidRPr="00CD439F">
        <w:rPr>
          <w:rStyle w:val="kursiv"/>
          <w:lang w:val="en-US"/>
        </w:rPr>
        <w:t>Jovsset Ante Sara. v. Norway</w:t>
      </w:r>
      <w:r w:rsidR="00CD439F" w:rsidRPr="00284771">
        <w:rPr>
          <w:lang w:val="en-GB"/>
        </w:rPr>
        <w:t xml:space="preserve"> (Communication No. 3588/2019).</w:t>
      </w:r>
    </w:p>
  </w:footnote>
  <w:footnote w:id="36">
    <w:p w14:paraId="5432AA76" w14:textId="41A42ABE" w:rsidR="00CD439F" w:rsidRPr="00693A45" w:rsidRDefault="00404399" w:rsidP="00CD439F">
      <w:pPr>
        <w:pStyle w:val="Fotnotetekst"/>
        <w:rPr>
          <w:lang w:val="en-GB"/>
        </w:rPr>
      </w:pPr>
      <w:r w:rsidRPr="00CD439F">
        <w:rPr>
          <w:rStyle w:val="Fotnotereferanse"/>
        </w:rPr>
        <w:footnoteRef/>
      </w:r>
      <w:r w:rsidRPr="009264D9">
        <w:rPr>
          <w:rStyle w:val="Fotnotereferanse"/>
          <w:lang w:val="en-GB"/>
        </w:rPr>
        <w:t xml:space="preserve"> </w:t>
      </w:r>
      <w:r w:rsidR="00CD439F" w:rsidRPr="00693A45">
        <w:rPr>
          <w:lang w:val="en-GB"/>
        </w:rPr>
        <w:t xml:space="preserve">HR-2017-2428-A (Jovsset Ante Sara) </w:t>
      </w:r>
      <w:proofErr w:type="spellStart"/>
      <w:r w:rsidR="00CD439F" w:rsidRPr="00693A45">
        <w:rPr>
          <w:lang w:val="en-GB"/>
        </w:rPr>
        <w:t>avsnitt</w:t>
      </w:r>
      <w:proofErr w:type="spellEnd"/>
      <w:r w:rsidR="00CD439F" w:rsidRPr="00693A45">
        <w:rPr>
          <w:lang w:val="en-GB"/>
        </w:rPr>
        <w:t xml:space="preserve"> 57 </w:t>
      </w:r>
      <w:proofErr w:type="spellStart"/>
      <w:r w:rsidR="00CD439F" w:rsidRPr="00693A45">
        <w:rPr>
          <w:lang w:val="en-GB"/>
        </w:rPr>
        <w:t>til</w:t>
      </w:r>
      <w:proofErr w:type="spellEnd"/>
      <w:r w:rsidR="00CD439F" w:rsidRPr="00693A45">
        <w:rPr>
          <w:lang w:val="en-GB"/>
        </w:rPr>
        <w:t xml:space="preserve"> 76 og HR-2021-1975-S (Fosen) </w:t>
      </w:r>
      <w:proofErr w:type="spellStart"/>
      <w:r w:rsidR="00CD439F" w:rsidRPr="00693A45">
        <w:rPr>
          <w:lang w:val="en-GB"/>
        </w:rPr>
        <w:t>avsnitt</w:t>
      </w:r>
      <w:proofErr w:type="spellEnd"/>
      <w:r w:rsidR="00CD439F" w:rsidRPr="00693A45">
        <w:rPr>
          <w:lang w:val="en-GB"/>
        </w:rPr>
        <w:t xml:space="preserve"> 111-119.</w:t>
      </w:r>
    </w:p>
  </w:footnote>
  <w:footnote w:id="37">
    <w:p w14:paraId="2F2B6408" w14:textId="245744BD" w:rsidR="00CD439F" w:rsidRPr="00693A45" w:rsidRDefault="00404399" w:rsidP="00CD439F">
      <w:pPr>
        <w:pStyle w:val="Fotnotetekst"/>
        <w:rPr>
          <w:lang w:val="en-GB"/>
        </w:rPr>
      </w:pPr>
      <w:r w:rsidRPr="00CD439F">
        <w:rPr>
          <w:rStyle w:val="Fotnotereferanse"/>
        </w:rPr>
        <w:footnoteRef/>
      </w:r>
      <w:r w:rsidRPr="009264D9">
        <w:rPr>
          <w:rStyle w:val="Fotnotereferanse"/>
          <w:lang w:val="en-GB"/>
        </w:rPr>
        <w:t xml:space="preserve"> </w:t>
      </w:r>
      <w:r w:rsidR="00CD439F" w:rsidRPr="00693A45">
        <w:rPr>
          <w:lang w:val="en-GB"/>
        </w:rPr>
        <w:t xml:space="preserve">HR-2017-2428-A </w:t>
      </w:r>
      <w:proofErr w:type="spellStart"/>
      <w:r w:rsidR="00CD439F" w:rsidRPr="00693A45">
        <w:rPr>
          <w:lang w:val="en-GB"/>
        </w:rPr>
        <w:t>avsnitt</w:t>
      </w:r>
      <w:proofErr w:type="spellEnd"/>
      <w:r w:rsidR="00CD439F" w:rsidRPr="00693A45">
        <w:rPr>
          <w:lang w:val="en-GB"/>
        </w:rPr>
        <w:t xml:space="preserve"> 57. Se </w:t>
      </w:r>
      <w:proofErr w:type="spellStart"/>
      <w:r w:rsidR="00CD439F" w:rsidRPr="00693A45">
        <w:rPr>
          <w:lang w:val="en-GB"/>
        </w:rPr>
        <w:t>også</w:t>
      </w:r>
      <w:proofErr w:type="spellEnd"/>
      <w:r w:rsidR="00CD439F" w:rsidRPr="00693A45">
        <w:rPr>
          <w:lang w:val="en-GB"/>
        </w:rPr>
        <w:t xml:space="preserve"> </w:t>
      </w:r>
      <w:proofErr w:type="spellStart"/>
      <w:r w:rsidR="00CD439F" w:rsidRPr="00693A45">
        <w:rPr>
          <w:lang w:val="en-GB"/>
        </w:rPr>
        <w:t>avsnitt</w:t>
      </w:r>
      <w:proofErr w:type="spellEnd"/>
      <w:r w:rsidR="00CD439F" w:rsidRPr="00693A45">
        <w:rPr>
          <w:lang w:val="en-GB"/>
        </w:rPr>
        <w:t xml:space="preserve"> 58 </w:t>
      </w:r>
      <w:proofErr w:type="spellStart"/>
      <w:r w:rsidR="00CD439F" w:rsidRPr="00693A45">
        <w:rPr>
          <w:lang w:val="en-GB"/>
        </w:rPr>
        <w:t>til</w:t>
      </w:r>
      <w:proofErr w:type="spellEnd"/>
      <w:r w:rsidR="00CD439F" w:rsidRPr="00693A45">
        <w:rPr>
          <w:lang w:val="en-GB"/>
        </w:rPr>
        <w:t xml:space="preserve"> 76 (</w:t>
      </w:r>
      <w:proofErr w:type="spellStart"/>
      <w:r w:rsidR="00CD439F" w:rsidRPr="00693A45">
        <w:rPr>
          <w:lang w:val="en-GB"/>
        </w:rPr>
        <w:t>flertallet</w:t>
      </w:r>
      <w:proofErr w:type="spellEnd"/>
      <w:r w:rsidR="00CD439F" w:rsidRPr="00693A45">
        <w:rPr>
          <w:lang w:val="en-GB"/>
        </w:rPr>
        <w:t>) og 111-115, 122-125 og 133 (</w:t>
      </w:r>
      <w:proofErr w:type="spellStart"/>
      <w:r w:rsidR="00CD439F" w:rsidRPr="00693A45">
        <w:rPr>
          <w:lang w:val="en-GB"/>
        </w:rPr>
        <w:t>mindretallet</w:t>
      </w:r>
      <w:proofErr w:type="spellEnd"/>
      <w:r w:rsidR="00CD439F" w:rsidRPr="00693A45">
        <w:rPr>
          <w:lang w:val="en-GB"/>
        </w:rPr>
        <w:t>).</w:t>
      </w:r>
    </w:p>
  </w:footnote>
  <w:footnote w:id="38">
    <w:p w14:paraId="4891B620" w14:textId="50037305"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 xml:space="preserve">Ominayak (Lubicon Lake Band) v. Canada </w:t>
      </w:r>
      <w:r w:rsidR="00CD439F" w:rsidRPr="00836F21">
        <w:rPr>
          <w:lang w:val="en-GB"/>
        </w:rPr>
        <w:t xml:space="preserve">(Communication No. 169/1984) </w:t>
      </w:r>
      <w:proofErr w:type="spellStart"/>
      <w:r w:rsidR="00CD439F">
        <w:rPr>
          <w:lang w:val="en-GB"/>
        </w:rPr>
        <w:t>avsnitt</w:t>
      </w:r>
      <w:proofErr w:type="spellEnd"/>
      <w:r w:rsidR="00CD439F" w:rsidRPr="00836F21">
        <w:rPr>
          <w:lang w:val="en-GB"/>
        </w:rPr>
        <w:t xml:space="preserve"> 32.1. Se </w:t>
      </w:r>
      <w:proofErr w:type="spellStart"/>
      <w:r w:rsidR="00CD439F" w:rsidRPr="00836F21">
        <w:rPr>
          <w:lang w:val="en-GB"/>
        </w:rPr>
        <w:t>også</w:t>
      </w:r>
      <w:proofErr w:type="spellEnd"/>
      <w:r w:rsidR="00CD439F" w:rsidRPr="00836F21">
        <w:rPr>
          <w:lang w:val="en-GB"/>
        </w:rPr>
        <w:t xml:space="preserve"> </w:t>
      </w:r>
      <w:proofErr w:type="spellStart"/>
      <w:r w:rsidR="00CD439F">
        <w:rPr>
          <w:lang w:val="en-GB"/>
        </w:rPr>
        <w:t>avsnitt</w:t>
      </w:r>
      <w:proofErr w:type="spellEnd"/>
      <w:r w:rsidR="00CD439F" w:rsidRPr="00836F21">
        <w:rPr>
          <w:lang w:val="en-GB"/>
        </w:rPr>
        <w:t xml:space="preserve"> 13.3.</w:t>
      </w:r>
    </w:p>
  </w:footnote>
  <w:footnote w:id="39">
    <w:p w14:paraId="4563B3F5" w14:textId="5CAE2A54"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Human Rights Committee,</w:t>
      </w:r>
      <w:r w:rsidR="00CD439F" w:rsidRPr="00CD439F">
        <w:rPr>
          <w:rStyle w:val="kursiv"/>
          <w:lang w:val="en-US"/>
        </w:rPr>
        <w:t xml:space="preserve"> E.P. et al. v. Colombia</w:t>
      </w:r>
      <w:r w:rsidR="00CD439F" w:rsidRPr="00836F21">
        <w:rPr>
          <w:lang w:val="en-GB"/>
        </w:rPr>
        <w:t xml:space="preserve"> (Communication No. 318/1988) </w:t>
      </w:r>
      <w:proofErr w:type="spellStart"/>
      <w:r w:rsidR="00CD439F">
        <w:rPr>
          <w:lang w:val="en-GB"/>
        </w:rPr>
        <w:t>avsnitt</w:t>
      </w:r>
      <w:proofErr w:type="spellEnd"/>
      <w:r w:rsidR="00CD439F" w:rsidRPr="00836F21">
        <w:rPr>
          <w:lang w:val="en-GB"/>
        </w:rPr>
        <w:t xml:space="preserve"> 8.2. </w:t>
      </w:r>
    </w:p>
  </w:footnote>
  <w:footnote w:id="40">
    <w:p w14:paraId="3573D9AD" w14:textId="1BE5ED73"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Apirana Mahuika et al. v. New Zealand</w:t>
      </w:r>
      <w:r w:rsidR="00CD439F" w:rsidRPr="00836F21">
        <w:rPr>
          <w:lang w:val="en-GB"/>
        </w:rPr>
        <w:t xml:space="preserve"> (Communication No. 547/1993) </w:t>
      </w:r>
      <w:proofErr w:type="spellStart"/>
      <w:r w:rsidR="00CD439F">
        <w:rPr>
          <w:lang w:val="en-GB"/>
        </w:rPr>
        <w:t>avsnitt</w:t>
      </w:r>
      <w:proofErr w:type="spellEnd"/>
      <w:r w:rsidR="00CD439F" w:rsidRPr="00836F21">
        <w:rPr>
          <w:lang w:val="en-GB"/>
        </w:rPr>
        <w:t xml:space="preserve"> 9.2.</w:t>
      </w:r>
    </w:p>
  </w:footnote>
  <w:footnote w:id="41">
    <w:p w14:paraId="0A518311" w14:textId="61854AF2"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693A45">
        <w:rPr>
          <w:lang w:val="nn-NO"/>
        </w:rPr>
        <w:t xml:space="preserve">Human Rights Committee, </w:t>
      </w:r>
      <w:proofErr w:type="spellStart"/>
      <w:r w:rsidR="00CD439F" w:rsidRPr="00CD439F">
        <w:rPr>
          <w:rStyle w:val="kursiv"/>
          <w:lang w:val="nn-NO"/>
        </w:rPr>
        <w:t>Apirana</w:t>
      </w:r>
      <w:proofErr w:type="spellEnd"/>
      <w:r w:rsidR="00CD439F" w:rsidRPr="00CD439F">
        <w:rPr>
          <w:rStyle w:val="kursiv"/>
          <w:lang w:val="nn-NO"/>
        </w:rPr>
        <w:t xml:space="preserve"> </w:t>
      </w:r>
      <w:proofErr w:type="spellStart"/>
      <w:r w:rsidR="00CD439F" w:rsidRPr="00CD439F">
        <w:rPr>
          <w:rStyle w:val="kursiv"/>
          <w:lang w:val="nn-NO"/>
        </w:rPr>
        <w:t>Mahuika</w:t>
      </w:r>
      <w:proofErr w:type="spellEnd"/>
      <w:r w:rsidR="00CD439F" w:rsidRPr="00CD439F">
        <w:rPr>
          <w:rStyle w:val="kursiv"/>
          <w:lang w:val="nn-NO"/>
        </w:rPr>
        <w:t xml:space="preserve"> et al. v. New Zealand</w:t>
      </w:r>
      <w:r w:rsidR="00CD439F" w:rsidRPr="00693A45">
        <w:rPr>
          <w:lang w:val="nn-NO"/>
        </w:rPr>
        <w:t>, avsnitt 9.6 flg., jf. avsnitt 5.1 til 5.13.</w:t>
      </w:r>
    </w:p>
  </w:footnote>
  <w:footnote w:id="42">
    <w:p w14:paraId="0127D2EF" w14:textId="27D4180A"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Human Rights Committee,</w:t>
      </w:r>
      <w:r w:rsidR="00CD439F" w:rsidRPr="00CD439F">
        <w:rPr>
          <w:rStyle w:val="kursiv"/>
          <w:lang w:val="en-US"/>
        </w:rPr>
        <w:t xml:space="preserve"> </w:t>
      </w:r>
      <w:proofErr w:type="spellStart"/>
      <w:r w:rsidR="00CD439F" w:rsidRPr="00CD439F">
        <w:rPr>
          <w:rStyle w:val="kursiv"/>
          <w:lang w:val="en-US"/>
        </w:rPr>
        <w:t>Klemeti</w:t>
      </w:r>
      <w:proofErr w:type="spellEnd"/>
      <w:r w:rsidR="00CD439F" w:rsidRPr="00CD439F">
        <w:rPr>
          <w:rStyle w:val="kursiv"/>
          <w:lang w:val="en-US"/>
        </w:rPr>
        <w:t xml:space="preserve"> </w:t>
      </w:r>
      <w:proofErr w:type="spellStart"/>
      <w:r w:rsidR="00CD439F" w:rsidRPr="00CD439F">
        <w:rPr>
          <w:rStyle w:val="kursiv"/>
          <w:lang w:val="en-US"/>
        </w:rPr>
        <w:t>Käkkäläjävri</w:t>
      </w:r>
      <w:proofErr w:type="spellEnd"/>
      <w:r w:rsidR="00CD439F" w:rsidRPr="00CD439F">
        <w:rPr>
          <w:rStyle w:val="kursiv"/>
          <w:lang w:val="en-US"/>
        </w:rPr>
        <w:t xml:space="preserve"> et al. v. Finland</w:t>
      </w:r>
      <w:r w:rsidR="00CD439F" w:rsidRPr="00836F21">
        <w:rPr>
          <w:lang w:val="en-GB"/>
        </w:rPr>
        <w:t xml:space="preserve"> (Communication No. 2950/2017), </w:t>
      </w:r>
      <w:proofErr w:type="spellStart"/>
      <w:r w:rsidR="00CD439F">
        <w:rPr>
          <w:lang w:val="en-GB"/>
        </w:rPr>
        <w:t>avsnitt</w:t>
      </w:r>
      <w:proofErr w:type="spellEnd"/>
      <w:r w:rsidR="00CD439F" w:rsidRPr="00836F21">
        <w:rPr>
          <w:lang w:val="en-GB"/>
        </w:rPr>
        <w:t xml:space="preserve"> 9.11.</w:t>
      </w:r>
    </w:p>
  </w:footnote>
  <w:footnote w:id="43">
    <w:p w14:paraId="2DE8774C" w14:textId="520E83EC"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Human Rights Committee,</w:t>
      </w:r>
      <w:r w:rsidR="00CD439F" w:rsidRPr="00CD439F">
        <w:rPr>
          <w:rStyle w:val="kursiv"/>
          <w:lang w:val="en-US"/>
        </w:rPr>
        <w:t xml:space="preserve"> </w:t>
      </w:r>
      <w:proofErr w:type="spellStart"/>
      <w:r w:rsidR="00CD439F" w:rsidRPr="00CD439F">
        <w:rPr>
          <w:rStyle w:val="kursiv"/>
          <w:lang w:val="en-US"/>
        </w:rPr>
        <w:t>Klemeti</w:t>
      </w:r>
      <w:proofErr w:type="spellEnd"/>
      <w:r w:rsidR="00CD439F" w:rsidRPr="00CD439F">
        <w:rPr>
          <w:rStyle w:val="kursiv"/>
          <w:lang w:val="en-US"/>
        </w:rPr>
        <w:t xml:space="preserve"> </w:t>
      </w:r>
      <w:proofErr w:type="spellStart"/>
      <w:r w:rsidR="00CD439F" w:rsidRPr="00CD439F">
        <w:rPr>
          <w:rStyle w:val="kursiv"/>
          <w:lang w:val="en-US"/>
        </w:rPr>
        <w:t>Käkkäläjävri</w:t>
      </w:r>
      <w:proofErr w:type="spellEnd"/>
      <w:r w:rsidR="00CD439F" w:rsidRPr="00CD439F">
        <w:rPr>
          <w:rStyle w:val="kursiv"/>
          <w:lang w:val="en-US"/>
        </w:rPr>
        <w:t xml:space="preserve"> et al. v. Finland</w:t>
      </w:r>
      <w:r w:rsidR="00CD439F" w:rsidRPr="00836F21">
        <w:rPr>
          <w:lang w:val="en-GB"/>
        </w:rPr>
        <w:t xml:space="preserve">, </w:t>
      </w:r>
      <w:proofErr w:type="spellStart"/>
      <w:r w:rsidR="00CD439F">
        <w:rPr>
          <w:lang w:val="en-GB"/>
        </w:rPr>
        <w:t>avsnitt</w:t>
      </w:r>
      <w:proofErr w:type="spellEnd"/>
      <w:r w:rsidR="00CD439F" w:rsidRPr="00836F21">
        <w:rPr>
          <w:lang w:val="en-GB"/>
        </w:rPr>
        <w:t xml:space="preserve"> 9.8.</w:t>
      </w:r>
    </w:p>
  </w:footnote>
  <w:footnote w:id="44">
    <w:p w14:paraId="681A3ECE" w14:textId="71E6B97A"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proofErr w:type="spellStart"/>
      <w:r w:rsidR="00CD439F" w:rsidRPr="00693A45">
        <w:rPr>
          <w:lang w:val="nn-NO"/>
        </w:rPr>
        <w:t>Rt</w:t>
      </w:r>
      <w:proofErr w:type="spellEnd"/>
      <w:r w:rsidR="00CD439F" w:rsidRPr="00693A45">
        <w:rPr>
          <w:lang w:val="nn-NO"/>
        </w:rPr>
        <w:t>. 1982 s. 241 (Alta) på s. 299.</w:t>
      </w:r>
    </w:p>
  </w:footnote>
  <w:footnote w:id="45">
    <w:p w14:paraId="58871479" w14:textId="51DC0F6A"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Ivan </w:t>
      </w:r>
      <w:proofErr w:type="spellStart"/>
      <w:r w:rsidR="00CD439F" w:rsidRPr="00836F21">
        <w:rPr>
          <w:lang w:val="en-GB"/>
        </w:rPr>
        <w:t>Kitok</w:t>
      </w:r>
      <w:proofErr w:type="spellEnd"/>
      <w:r w:rsidR="00CD439F" w:rsidRPr="00836F21">
        <w:rPr>
          <w:lang w:val="en-GB"/>
        </w:rPr>
        <w:t xml:space="preserve"> v. Sweden (Communication No. 197/1985).</w:t>
      </w:r>
    </w:p>
  </w:footnote>
  <w:footnote w:id="46">
    <w:p w14:paraId="41A85A6E" w14:textId="24C68275" w:rsidR="00CD439F" w:rsidRPr="00836F21" w:rsidRDefault="00404399" w:rsidP="00CD439F">
      <w:pPr>
        <w:pStyle w:val="Fotnotetekst"/>
        <w:rPr>
          <w:lang w:val="en-GB"/>
        </w:rPr>
      </w:pPr>
      <w:r w:rsidRPr="00CD439F">
        <w:rPr>
          <w:rStyle w:val="Fotnotereferanse"/>
        </w:rPr>
        <w:footnoteRef/>
      </w:r>
      <w:r w:rsidRPr="00404399">
        <w:rPr>
          <w:rStyle w:val="Fotnotereferanse"/>
          <w:lang w:val="en-GB"/>
        </w:rPr>
        <w:t xml:space="preserve"> </w:t>
      </w:r>
      <w:r w:rsidR="00CD439F" w:rsidRPr="002A5427">
        <w:rPr>
          <w:lang w:val="en-GB"/>
        </w:rPr>
        <w:t xml:space="preserve">Se for </w:t>
      </w:r>
      <w:proofErr w:type="spellStart"/>
      <w:r w:rsidR="00CD439F" w:rsidRPr="002A5427">
        <w:rPr>
          <w:lang w:val="en-GB"/>
        </w:rPr>
        <w:t>eksempel</w:t>
      </w:r>
      <w:proofErr w:type="spellEnd"/>
      <w:r w:rsidR="00CD439F" w:rsidRPr="002A5427">
        <w:rPr>
          <w:lang w:val="en-GB"/>
        </w:rPr>
        <w:t xml:space="preserve"> Klemetti </w:t>
      </w:r>
      <w:proofErr w:type="spellStart"/>
      <w:r w:rsidR="00CD439F" w:rsidRPr="002A5427">
        <w:rPr>
          <w:lang w:val="en-GB"/>
        </w:rPr>
        <w:t>Käkkäläjärvi</w:t>
      </w:r>
      <w:proofErr w:type="spellEnd"/>
      <w:r w:rsidR="00CD439F" w:rsidRPr="002A5427">
        <w:rPr>
          <w:lang w:val="en-GB"/>
        </w:rPr>
        <w:t xml:space="preserve"> et al. v. Finland (Communication No. 2950/2017 </w:t>
      </w:r>
      <w:proofErr w:type="spellStart"/>
      <w:r w:rsidR="00CD439F" w:rsidRPr="002A5427">
        <w:rPr>
          <w:lang w:val="en-GB"/>
        </w:rPr>
        <w:t>avsnitt</w:t>
      </w:r>
      <w:proofErr w:type="spellEnd"/>
      <w:r w:rsidR="00CD439F" w:rsidRPr="002A5427">
        <w:rPr>
          <w:lang w:val="en-GB"/>
        </w:rPr>
        <w:t xml:space="preserve"> </w:t>
      </w:r>
      <w:r w:rsidR="00CD439F" w:rsidRPr="00836F21">
        <w:rPr>
          <w:lang w:val="en-GB"/>
        </w:rPr>
        <w:t xml:space="preserve">8.5 </w:t>
      </w:r>
      <w:proofErr w:type="spellStart"/>
      <w:r w:rsidR="00CD439F" w:rsidRPr="00836F21">
        <w:rPr>
          <w:lang w:val="en-GB"/>
        </w:rPr>
        <w:t>til</w:t>
      </w:r>
      <w:proofErr w:type="spellEnd"/>
      <w:r w:rsidR="00CD439F" w:rsidRPr="00836F21">
        <w:rPr>
          <w:lang w:val="en-GB"/>
        </w:rPr>
        <w:t xml:space="preserve"> 8.9 og Jovsset Ante Sara v. Norway (Communication No. 3588/2019) </w:t>
      </w:r>
      <w:proofErr w:type="spellStart"/>
      <w:r w:rsidR="00CD439F">
        <w:rPr>
          <w:lang w:val="en-GB"/>
        </w:rPr>
        <w:t>avsnitt</w:t>
      </w:r>
      <w:proofErr w:type="spellEnd"/>
      <w:r w:rsidR="00CD439F" w:rsidRPr="00836F21">
        <w:rPr>
          <w:lang w:val="en-GB"/>
        </w:rPr>
        <w:t xml:space="preserve"> 13.</w:t>
      </w:r>
    </w:p>
  </w:footnote>
  <w:footnote w:id="47">
    <w:p w14:paraId="4A05C7A1" w14:textId="1A406EB1" w:rsidR="00CD439F" w:rsidRPr="006A0611"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836F21">
        <w:rPr>
          <w:lang w:val="en-GB"/>
        </w:rPr>
        <w:t>Human Rights Committee, General Comment No. 23 (1994), Article 27</w:t>
      </w:r>
      <w:r w:rsidR="00CD439F">
        <w:rPr>
          <w:lang w:val="en-GB"/>
        </w:rPr>
        <w:t xml:space="preserve"> </w:t>
      </w:r>
      <w:proofErr w:type="spellStart"/>
      <w:r w:rsidR="00CD439F">
        <w:rPr>
          <w:lang w:val="en-GB"/>
        </w:rPr>
        <w:t>avsnitt</w:t>
      </w:r>
      <w:proofErr w:type="spellEnd"/>
      <w:r w:rsidR="00CD439F" w:rsidRPr="00836F21">
        <w:rPr>
          <w:lang w:val="en-GB"/>
        </w:rPr>
        <w:t xml:space="preserve"> </w:t>
      </w:r>
      <w:r w:rsidR="00CD439F" w:rsidRPr="006A0611">
        <w:rPr>
          <w:lang w:val="en-US"/>
        </w:rPr>
        <w:t>6.2.</w:t>
      </w:r>
    </w:p>
  </w:footnote>
  <w:footnote w:id="48">
    <w:p w14:paraId="7B494E52" w14:textId="52DABAA6" w:rsidR="00CD439F" w:rsidRPr="00591E4B" w:rsidRDefault="00404399" w:rsidP="00CD439F">
      <w:pPr>
        <w:pStyle w:val="Fotnotetekst"/>
      </w:pPr>
      <w:r w:rsidRPr="00CD439F">
        <w:rPr>
          <w:rStyle w:val="Fotnotereferanse"/>
        </w:rPr>
        <w:footnoteRef/>
      </w:r>
      <w:r>
        <w:rPr>
          <w:rStyle w:val="Fotnotereferanse"/>
        </w:rPr>
        <w:t xml:space="preserve"> </w:t>
      </w:r>
      <w:r w:rsidR="00CD439F" w:rsidRPr="04C45840">
        <w:t>Se nærmere HR-2021-1975-S (Fosen) avsnitt 103-110.</w:t>
      </w:r>
    </w:p>
  </w:footnote>
  <w:footnote w:id="49">
    <w:p w14:paraId="65C10FD1" w14:textId="4FF72FC7" w:rsidR="00CD439F" w:rsidRPr="00591E4B" w:rsidRDefault="00404399" w:rsidP="00CD439F">
      <w:pPr>
        <w:pStyle w:val="Fotnotetekst"/>
      </w:pPr>
      <w:r w:rsidRPr="00CD439F">
        <w:rPr>
          <w:rStyle w:val="Fotnotereferanse"/>
        </w:rPr>
        <w:footnoteRef/>
      </w:r>
      <w:r>
        <w:rPr>
          <w:rStyle w:val="Fotnotereferanse"/>
        </w:rPr>
        <w:t xml:space="preserve"> </w:t>
      </w:r>
      <w:r w:rsidR="00CD439F" w:rsidRPr="04C45840">
        <w:t>Se for eksempel NOU 1984: 18 s. 284.</w:t>
      </w:r>
    </w:p>
  </w:footnote>
  <w:footnote w:id="50">
    <w:p w14:paraId="2B6B423B" w14:textId="2C061827" w:rsidR="00CD439F" w:rsidRPr="007E66B0"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Lubicon Lake Band v. Canada</w:t>
      </w:r>
      <w:r w:rsidR="00CD439F" w:rsidRPr="00836F21">
        <w:rPr>
          <w:lang w:val="en-GB"/>
        </w:rPr>
        <w:t xml:space="preserve"> (Communication No. 167/1984) </w:t>
      </w:r>
      <w:proofErr w:type="spellStart"/>
      <w:r w:rsidR="00CD439F">
        <w:rPr>
          <w:lang w:val="en-GB"/>
        </w:rPr>
        <w:t>avsnitt</w:t>
      </w:r>
      <w:proofErr w:type="spellEnd"/>
      <w:r w:rsidR="00CD439F">
        <w:rPr>
          <w:lang w:val="en-GB"/>
        </w:rPr>
        <w:t xml:space="preserve"> 13.1. og 13.2.</w:t>
      </w:r>
    </w:p>
  </w:footnote>
  <w:footnote w:id="51">
    <w:p w14:paraId="0788281C" w14:textId="04DC5627"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Human Rights Committee,</w:t>
      </w:r>
      <w:r w:rsidR="00CD439F" w:rsidRPr="00CD439F">
        <w:rPr>
          <w:rStyle w:val="kursiv"/>
          <w:lang w:val="en-US"/>
        </w:rPr>
        <w:t xml:space="preserve"> Jarle Jonassen et al. v. Norway</w:t>
      </w:r>
      <w:r w:rsidR="00CD439F" w:rsidRPr="00836F21">
        <w:rPr>
          <w:lang w:val="en-GB"/>
        </w:rPr>
        <w:t xml:space="preserve"> (Communication No. 942(2000</w:t>
      </w:r>
      <w:r w:rsidR="00CD439F">
        <w:rPr>
          <w:lang w:val="en-GB"/>
        </w:rPr>
        <w:t xml:space="preserve"> </w:t>
      </w:r>
      <w:proofErr w:type="spellStart"/>
      <w:r w:rsidR="00CD439F">
        <w:rPr>
          <w:lang w:val="en-GB"/>
        </w:rPr>
        <w:t>avsnitt</w:t>
      </w:r>
      <w:proofErr w:type="spellEnd"/>
      <w:r w:rsidR="00CD439F" w:rsidRPr="00836F21">
        <w:rPr>
          <w:lang w:val="en-GB"/>
        </w:rPr>
        <w:t xml:space="preserve"> 1.</w:t>
      </w:r>
    </w:p>
  </w:footnote>
  <w:footnote w:id="52">
    <w:p w14:paraId="43F6FD4A" w14:textId="15058DBD"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Howard v. Canada</w:t>
      </w:r>
      <w:r w:rsidR="00CD439F" w:rsidRPr="00836F21">
        <w:rPr>
          <w:lang w:val="en-GB"/>
        </w:rPr>
        <w:t xml:space="preserve"> (Communication No. 879/1999)</w:t>
      </w:r>
      <w:r w:rsidR="00CD439F">
        <w:rPr>
          <w:lang w:val="en-GB"/>
        </w:rPr>
        <w:t xml:space="preserve"> </w:t>
      </w:r>
      <w:proofErr w:type="spellStart"/>
      <w:r w:rsidR="00CD439F">
        <w:rPr>
          <w:lang w:val="en-GB"/>
        </w:rPr>
        <w:t>avsnitt</w:t>
      </w:r>
      <w:proofErr w:type="spellEnd"/>
      <w:r w:rsidR="00CD439F" w:rsidRPr="00836F21">
        <w:rPr>
          <w:color w:val="FF0000"/>
          <w:lang w:val="en-GB"/>
        </w:rPr>
        <w:t xml:space="preserve"> </w:t>
      </w:r>
      <w:r w:rsidR="00CD439F" w:rsidRPr="00836F21">
        <w:rPr>
          <w:lang w:val="en-GB"/>
        </w:rPr>
        <w:t>8-3.</w:t>
      </w:r>
    </w:p>
  </w:footnote>
  <w:footnote w:id="53">
    <w:p w14:paraId="3387D0A1" w14:textId="44EEF0E7"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General Comment No. 23 (1994), Article 27, </w:t>
      </w:r>
      <w:proofErr w:type="spellStart"/>
      <w:r w:rsidR="00CD439F">
        <w:rPr>
          <w:lang w:val="en-GB"/>
        </w:rPr>
        <w:t>avsnitt</w:t>
      </w:r>
      <w:proofErr w:type="spellEnd"/>
      <w:r w:rsidR="00CD439F" w:rsidRPr="00836F21">
        <w:rPr>
          <w:lang w:val="en-GB"/>
        </w:rPr>
        <w:t xml:space="preserve"> 3.2 og 7.</w:t>
      </w:r>
    </w:p>
  </w:footnote>
  <w:footnote w:id="54">
    <w:p w14:paraId="6627BCAD" w14:textId="163D7E36" w:rsidR="00CD439F" w:rsidRPr="00836F21" w:rsidRDefault="00404399" w:rsidP="00CD439F">
      <w:pPr>
        <w:pStyle w:val="Fotnotetekst"/>
        <w:rPr>
          <w:lang w:val="en-GB"/>
        </w:rPr>
      </w:pPr>
      <w:r w:rsidRPr="00CD439F">
        <w:rPr>
          <w:rStyle w:val="Fotnotereferanse"/>
        </w:rPr>
        <w:footnoteRef/>
      </w:r>
      <w:r w:rsidRPr="00404399">
        <w:rPr>
          <w:rStyle w:val="Fotnotereferanse"/>
          <w:lang w:val="en-GB"/>
        </w:rPr>
        <w:t xml:space="preserve"> </w:t>
      </w:r>
      <w:r w:rsidR="00CD439F" w:rsidRPr="00836F21">
        <w:rPr>
          <w:lang w:val="en-GB"/>
        </w:rPr>
        <w:t xml:space="preserve">Human Rights Committee, Ilmari </w:t>
      </w:r>
      <w:proofErr w:type="spellStart"/>
      <w:r w:rsidR="00CD439F" w:rsidRPr="00836F21">
        <w:rPr>
          <w:lang w:val="en-GB"/>
        </w:rPr>
        <w:t>Länsman</w:t>
      </w:r>
      <w:proofErr w:type="spellEnd"/>
      <w:r w:rsidR="00CD439F" w:rsidRPr="00836F21">
        <w:rPr>
          <w:lang w:val="en-GB"/>
        </w:rPr>
        <w:t xml:space="preserve"> et al. v Finland (Communication No. 511/1992), Jouni E. </w:t>
      </w:r>
      <w:proofErr w:type="spellStart"/>
      <w:r w:rsidR="00CD439F" w:rsidRPr="00836F21">
        <w:rPr>
          <w:lang w:val="en-GB"/>
        </w:rPr>
        <w:t>Länsman</w:t>
      </w:r>
      <w:proofErr w:type="spellEnd"/>
      <w:r w:rsidR="00CD439F" w:rsidRPr="00836F21">
        <w:rPr>
          <w:lang w:val="en-GB"/>
        </w:rPr>
        <w:t xml:space="preserve"> et al. v Finland (Communication No. 671/1995), Jouni E. </w:t>
      </w:r>
      <w:proofErr w:type="spellStart"/>
      <w:r w:rsidR="00CD439F" w:rsidRPr="00836F21">
        <w:rPr>
          <w:lang w:val="en-GB"/>
        </w:rPr>
        <w:t>Länsman</w:t>
      </w:r>
      <w:proofErr w:type="spellEnd"/>
      <w:r w:rsidR="00CD439F" w:rsidRPr="00836F21">
        <w:rPr>
          <w:lang w:val="en-GB"/>
        </w:rPr>
        <w:t xml:space="preserve"> et al. v Finland II (Communication No. 1023/2001), </w:t>
      </w:r>
      <w:proofErr w:type="spellStart"/>
      <w:r w:rsidR="00CD439F" w:rsidRPr="00836F21">
        <w:rPr>
          <w:lang w:val="en-GB"/>
        </w:rPr>
        <w:t>Ääralä</w:t>
      </w:r>
      <w:proofErr w:type="spellEnd"/>
      <w:r w:rsidR="00CD439F" w:rsidRPr="00836F21">
        <w:rPr>
          <w:lang w:val="en-GB"/>
        </w:rPr>
        <w:t xml:space="preserve"> and </w:t>
      </w:r>
      <w:proofErr w:type="spellStart"/>
      <w:r w:rsidR="00CD439F" w:rsidRPr="00836F21">
        <w:rPr>
          <w:lang w:val="en-GB"/>
        </w:rPr>
        <w:t>Näkkäläjärvi</w:t>
      </w:r>
      <w:proofErr w:type="spellEnd"/>
      <w:r w:rsidR="00CD439F" w:rsidRPr="00836F21">
        <w:rPr>
          <w:lang w:val="en-GB"/>
        </w:rPr>
        <w:t xml:space="preserve"> v. Finland (Communication No. 779/1997) og Jovsset Ante Sara v. Norway (Communication No. 3588/2019).</w:t>
      </w:r>
    </w:p>
  </w:footnote>
  <w:footnote w:id="55">
    <w:p w14:paraId="57D5B84A" w14:textId="6CB2D0FD"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 xml:space="preserve">Ilmari </w:t>
      </w:r>
      <w:proofErr w:type="spellStart"/>
      <w:r w:rsidR="00CD439F" w:rsidRPr="00CD439F">
        <w:rPr>
          <w:rStyle w:val="kursiv"/>
          <w:lang w:val="en-US"/>
        </w:rPr>
        <w:t>Länsman</w:t>
      </w:r>
      <w:proofErr w:type="spellEnd"/>
      <w:r w:rsidR="00CD439F" w:rsidRPr="00CD439F">
        <w:rPr>
          <w:rStyle w:val="kursiv"/>
          <w:lang w:val="en-US"/>
        </w:rPr>
        <w:t xml:space="preserve"> et al. v Finland</w:t>
      </w:r>
      <w:r w:rsidR="00CD439F" w:rsidRPr="00836F21">
        <w:rPr>
          <w:lang w:val="en-GB"/>
        </w:rPr>
        <w:t xml:space="preserve"> (Communic</w:t>
      </w:r>
      <w:r w:rsidR="00CD439F">
        <w:rPr>
          <w:lang w:val="en-GB"/>
        </w:rPr>
        <w:t>a</w:t>
      </w:r>
      <w:r w:rsidR="00CD439F" w:rsidRPr="00836F21">
        <w:rPr>
          <w:lang w:val="en-GB"/>
        </w:rPr>
        <w:t xml:space="preserve">tion No. 511/1992) </w:t>
      </w:r>
      <w:proofErr w:type="spellStart"/>
      <w:r w:rsidR="00CD439F">
        <w:rPr>
          <w:lang w:val="en-GB"/>
        </w:rPr>
        <w:t>avsnitt</w:t>
      </w:r>
      <w:proofErr w:type="spellEnd"/>
      <w:r w:rsidR="00CD439F" w:rsidRPr="00836F21">
        <w:rPr>
          <w:lang w:val="en-GB"/>
        </w:rPr>
        <w:t xml:space="preserve"> 9.3.</w:t>
      </w:r>
    </w:p>
  </w:footnote>
  <w:footnote w:id="56">
    <w:p w14:paraId="755AB283" w14:textId="04E8E763"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Pr>
          <w:lang w:val="en-GB"/>
        </w:rPr>
        <w:fldChar w:fldCharType="begin"/>
      </w:r>
      <w:r w:rsidR="00CD439F">
        <w:rPr>
          <w:lang w:val="en-GB"/>
        </w:rPr>
        <w:instrText xml:space="preserve"> ADDIN EN.CITE &lt;EndNote&gt;&lt;Cite&gt;&lt;Author&gt;Nowak&lt;/Author&gt;&lt;Year&gt;2019&lt;/Year&gt;&lt;RecNum&gt;9067&lt;/RecNum&gt;&lt;DisplayText&gt;Manfred Nowak and William A. Schabas, &lt;style face="italic"&gt;U.N. International Covenant on Civil and Political Rights : Nowak&amp;apos;s CCPR commentary&lt;/style&gt; (Nowak&amp;apos;s CCPR commentary, 3rd revised edition William A. Schabas. edn, N.P. Engel 2019)&lt;/DisplayText&gt;&lt;record&gt;&lt;rec-number&gt;9067&lt;/rec-number&gt;&lt;foreign-keys&gt;&lt;key app="EN" db-id="5sffrv50pw0vx2esf075e50jafxwafzxe9r0" timestamp="1755912660" guid="825d80e4-65bb-4a9d-8d1b-11191e1963dc"&gt;9067&lt;/key&gt;&lt;/foreign-keys&gt;&lt;ref-type name="Book"&gt;6&lt;/ref-type&gt;&lt;contributors&gt;&lt;authors&gt;&lt;author&gt;Nowak, Manfred&lt;/author&gt;&lt;author&gt;Schabas, William A.&lt;/author&gt;&lt;/authors&gt;&lt;/contributors&gt;&lt;titles&gt;&lt;title&gt;U.N. International Covenant on Civil and Political Rights : Nowak&amp;apos;s CCPR commentary&lt;/title&gt;&lt;secondary-title&gt;Nowak&amp;apos;s CCPR commentary&lt;/secondary-title&gt;&lt;/titles&gt;&lt;edition&gt;3rd revised edition William A. Schabas.&lt;/edition&gt;&lt;keywords&gt;&lt;keyword&gt;Menneskerettigheter SP ICCPR&lt;/keyword&gt;&lt;/keywords&gt;&lt;dates&gt;&lt;year&gt;2019&lt;/year&gt;&lt;/dates&gt;&lt;pub-location&gt;Kehl&lt;/pub-location&gt;&lt;publisher&gt;N.P. Engel&lt;/publisher&gt;&lt;isbn&gt;9783883571591,3883571598&lt;/isbn&gt;&lt;urls&gt;&lt;/urls&gt;&lt;/record&gt;&lt;/Cite&gt;&lt;/EndNote&gt;</w:instrText>
      </w:r>
      <w:r w:rsidR="00CD439F">
        <w:rPr>
          <w:lang w:val="en-GB"/>
        </w:rPr>
        <w:fldChar w:fldCharType="separate"/>
      </w:r>
      <w:r w:rsidR="00CD439F">
        <w:rPr>
          <w:noProof/>
          <w:lang w:val="en-GB"/>
        </w:rPr>
        <w:t xml:space="preserve">Manfred Nowak and William A. Schabas, </w:t>
      </w:r>
      <w:r w:rsidR="00CD439F" w:rsidRPr="00CD439F">
        <w:rPr>
          <w:rStyle w:val="kursiv"/>
          <w:lang w:val="en-US"/>
        </w:rPr>
        <w:t>U.N. International Covenant on Civil and Political Rights : Nowak’s CCPR commentary</w:t>
      </w:r>
      <w:r w:rsidR="00CD439F">
        <w:rPr>
          <w:noProof/>
          <w:lang w:val="en-GB"/>
        </w:rPr>
        <w:t xml:space="preserve"> (Nowak’s CCPR commentary, 3rd revised edition William A. Schabas. edn, N.P. Engel 2019)</w:t>
      </w:r>
      <w:r w:rsidR="00CD439F">
        <w:rPr>
          <w:lang w:val="en-GB"/>
        </w:rPr>
        <w:fldChar w:fldCharType="end"/>
      </w:r>
      <w:r w:rsidR="00CD439F">
        <w:rPr>
          <w:lang w:val="en-GB"/>
        </w:rPr>
        <w:t xml:space="preserve"> s. 821.</w:t>
      </w:r>
    </w:p>
  </w:footnote>
  <w:footnote w:id="57">
    <w:p w14:paraId="42BA62DA" w14:textId="0C2575A2"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General Comment No. 23 (1994), Article 27, </w:t>
      </w:r>
      <w:proofErr w:type="spellStart"/>
      <w:r w:rsidR="00CD439F">
        <w:rPr>
          <w:lang w:val="en-GB"/>
        </w:rPr>
        <w:t>avsnitt</w:t>
      </w:r>
      <w:proofErr w:type="spellEnd"/>
      <w:r w:rsidR="00CD439F" w:rsidRPr="00836F21">
        <w:rPr>
          <w:lang w:val="en-GB"/>
        </w:rPr>
        <w:t xml:space="preserve"> 6.1.</w:t>
      </w:r>
    </w:p>
  </w:footnote>
  <w:footnote w:id="58">
    <w:p w14:paraId="2AD59B56" w14:textId="0B50506B"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 xml:space="preserve">Ilmari </w:t>
      </w:r>
      <w:proofErr w:type="spellStart"/>
      <w:r w:rsidR="00CD439F" w:rsidRPr="00CD439F">
        <w:rPr>
          <w:rStyle w:val="kursiv"/>
          <w:lang w:val="en-US"/>
        </w:rPr>
        <w:t>Länsman</w:t>
      </w:r>
      <w:proofErr w:type="spellEnd"/>
      <w:r w:rsidR="00CD439F" w:rsidRPr="00CD439F">
        <w:rPr>
          <w:rStyle w:val="kursiv"/>
          <w:lang w:val="en-US"/>
        </w:rPr>
        <w:t xml:space="preserve"> et al. v. Finland</w:t>
      </w:r>
      <w:r w:rsidR="00CD439F" w:rsidRPr="00836F21">
        <w:rPr>
          <w:lang w:val="en-GB"/>
        </w:rPr>
        <w:t xml:space="preserve"> (Communication No. 511/1992) </w:t>
      </w:r>
      <w:proofErr w:type="spellStart"/>
      <w:r w:rsidR="00CD439F">
        <w:rPr>
          <w:lang w:val="en-GB"/>
        </w:rPr>
        <w:t>avsnitt</w:t>
      </w:r>
      <w:proofErr w:type="spellEnd"/>
      <w:r w:rsidR="00CD439F" w:rsidRPr="00836F21">
        <w:rPr>
          <w:lang w:val="en-GB"/>
        </w:rPr>
        <w:t xml:space="preserve"> 9.5.</w:t>
      </w:r>
    </w:p>
  </w:footnote>
  <w:footnote w:id="59">
    <w:p w14:paraId="368F9C4F" w14:textId="09147BF7" w:rsidR="00CD439F" w:rsidRPr="00612642"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 xml:space="preserve">Jouni E. </w:t>
      </w:r>
      <w:proofErr w:type="spellStart"/>
      <w:r w:rsidR="00CD439F" w:rsidRPr="00CD439F">
        <w:rPr>
          <w:rStyle w:val="kursiv"/>
          <w:lang w:val="en-US"/>
        </w:rPr>
        <w:t>Länsman</w:t>
      </w:r>
      <w:proofErr w:type="spellEnd"/>
      <w:r w:rsidR="00CD439F" w:rsidRPr="00CD439F">
        <w:rPr>
          <w:rStyle w:val="kursiv"/>
          <w:lang w:val="en-US"/>
        </w:rPr>
        <w:t xml:space="preserve"> et al. v. Finland</w:t>
      </w:r>
      <w:r w:rsidR="00CD439F" w:rsidRPr="00836F21">
        <w:rPr>
          <w:lang w:val="en-GB"/>
        </w:rPr>
        <w:t xml:space="preserve"> (Communication No. 671/1995) </w:t>
      </w:r>
      <w:proofErr w:type="spellStart"/>
      <w:r w:rsidR="00CD439F">
        <w:rPr>
          <w:lang w:val="en-GB"/>
        </w:rPr>
        <w:t>avsnitt</w:t>
      </w:r>
      <w:proofErr w:type="spellEnd"/>
      <w:r w:rsidR="00CD439F" w:rsidRPr="00836F21">
        <w:rPr>
          <w:lang w:val="en-GB"/>
        </w:rPr>
        <w:t xml:space="preserve"> </w:t>
      </w:r>
      <w:r w:rsidR="00CD439F" w:rsidRPr="00853769">
        <w:rPr>
          <w:lang w:val="en-GB"/>
        </w:rPr>
        <w:t xml:space="preserve">10.7. </w:t>
      </w:r>
      <w:r w:rsidR="00CD439F" w:rsidRPr="00612642">
        <w:rPr>
          <w:lang w:val="en-GB"/>
        </w:rPr>
        <w:t xml:space="preserve">Se </w:t>
      </w:r>
      <w:proofErr w:type="spellStart"/>
      <w:r w:rsidR="00CD439F" w:rsidRPr="00612642">
        <w:rPr>
          <w:lang w:val="en-GB"/>
        </w:rPr>
        <w:t>også</w:t>
      </w:r>
      <w:proofErr w:type="spellEnd"/>
      <w:r w:rsidR="00CD439F" w:rsidRPr="00612642">
        <w:rPr>
          <w:lang w:val="en-GB"/>
        </w:rPr>
        <w:t xml:space="preserve"> </w:t>
      </w:r>
      <w:r w:rsidR="00CD439F" w:rsidRPr="007E66B0">
        <w:rPr>
          <w:rStyle w:val="kursiv"/>
          <w:lang w:val="en-GB"/>
        </w:rPr>
        <w:t xml:space="preserve">Jouni E. </w:t>
      </w:r>
      <w:proofErr w:type="spellStart"/>
      <w:r w:rsidR="00CD439F" w:rsidRPr="007E66B0">
        <w:rPr>
          <w:rStyle w:val="kursiv"/>
          <w:lang w:val="en-GB"/>
        </w:rPr>
        <w:t>Länsmann</w:t>
      </w:r>
      <w:proofErr w:type="spellEnd"/>
      <w:r w:rsidR="00CD439F" w:rsidRPr="007E66B0">
        <w:rPr>
          <w:rStyle w:val="kursiv"/>
          <w:lang w:val="en-GB"/>
        </w:rPr>
        <w:t xml:space="preserve"> et al. v. Finland II </w:t>
      </w:r>
      <w:r w:rsidR="00CD439F" w:rsidRPr="00612642">
        <w:rPr>
          <w:lang w:val="en-GB"/>
        </w:rPr>
        <w:t xml:space="preserve">(Communication 1023/2001) </w:t>
      </w:r>
      <w:proofErr w:type="spellStart"/>
      <w:r w:rsidR="00CD439F" w:rsidRPr="00612642">
        <w:rPr>
          <w:lang w:val="en-GB"/>
        </w:rPr>
        <w:t>avsnitt</w:t>
      </w:r>
      <w:proofErr w:type="spellEnd"/>
      <w:r w:rsidR="00CD439F" w:rsidRPr="00612642">
        <w:rPr>
          <w:lang w:val="en-GB"/>
        </w:rPr>
        <w:t xml:space="preserve"> 10.2.</w:t>
      </w:r>
    </w:p>
  </w:footnote>
  <w:footnote w:id="60">
    <w:p w14:paraId="5AB8A1EB" w14:textId="29245FFF" w:rsidR="00CD439F" w:rsidRPr="00E50AF7"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E50AF7">
        <w:rPr>
          <w:lang w:val="en-GB"/>
        </w:rPr>
        <w:t xml:space="preserve">HR-2017-2428-A (Jovsset Ante Sara) </w:t>
      </w:r>
      <w:proofErr w:type="spellStart"/>
      <w:r w:rsidR="00CD439F" w:rsidRPr="00E50AF7">
        <w:rPr>
          <w:lang w:val="en-GB"/>
        </w:rPr>
        <w:t>avsnitt</w:t>
      </w:r>
      <w:proofErr w:type="spellEnd"/>
      <w:r w:rsidR="00CD439F" w:rsidRPr="00E50AF7">
        <w:rPr>
          <w:lang w:val="en-GB"/>
        </w:rPr>
        <w:t xml:space="preserve"> 56, 61 og 71.</w:t>
      </w:r>
    </w:p>
  </w:footnote>
  <w:footnote w:id="61">
    <w:p w14:paraId="60907C4D" w14:textId="3D226094" w:rsidR="00CD439F" w:rsidRPr="00CA1D06" w:rsidRDefault="00404399" w:rsidP="00CD439F">
      <w:pPr>
        <w:pStyle w:val="Fotnotetekst"/>
        <w:rPr>
          <w:lang w:val="fr-FR"/>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 xml:space="preserve">Ilmari </w:t>
      </w:r>
      <w:proofErr w:type="spellStart"/>
      <w:r w:rsidR="00CD439F" w:rsidRPr="00CD439F">
        <w:rPr>
          <w:rStyle w:val="kursiv"/>
          <w:lang w:val="en-US"/>
        </w:rPr>
        <w:t>Länsman</w:t>
      </w:r>
      <w:proofErr w:type="spellEnd"/>
      <w:r w:rsidR="00CD439F" w:rsidRPr="00CD439F">
        <w:rPr>
          <w:rStyle w:val="kursiv"/>
          <w:lang w:val="en-US"/>
        </w:rPr>
        <w:t xml:space="preserve"> et al. v. Finland</w:t>
      </w:r>
      <w:r w:rsidR="00CD439F" w:rsidRPr="00836F21">
        <w:rPr>
          <w:lang w:val="en-GB"/>
        </w:rPr>
        <w:t xml:space="preserve"> (Communication No. 511/1992) para. </w:t>
      </w:r>
      <w:r w:rsidR="00CD439F" w:rsidRPr="00CA1D06">
        <w:rPr>
          <w:lang w:val="fr-FR"/>
        </w:rPr>
        <w:t>9.4.</w:t>
      </w:r>
    </w:p>
  </w:footnote>
  <w:footnote w:id="62">
    <w:p w14:paraId="4D711499" w14:textId="1D614ACD" w:rsidR="00CD439F" w:rsidRPr="00612642" w:rsidRDefault="00404399" w:rsidP="00CD439F">
      <w:pPr>
        <w:pStyle w:val="Fotnotetekst"/>
        <w:rPr>
          <w:lang w:val="nn-NO"/>
        </w:rPr>
      </w:pPr>
      <w:r w:rsidRPr="00CD439F">
        <w:rPr>
          <w:rStyle w:val="Fotnotereferanse"/>
        </w:rPr>
        <w:footnoteRef/>
      </w:r>
      <w:r w:rsidRPr="00404399">
        <w:rPr>
          <w:rStyle w:val="Fotnotereferanse"/>
          <w:lang w:val="fr-FR"/>
        </w:rPr>
        <w:t xml:space="preserve"> </w:t>
      </w:r>
      <w:r w:rsidR="00CD439F" w:rsidRPr="00CA1D06">
        <w:rPr>
          <w:lang w:val="fr-FR"/>
        </w:rPr>
        <w:t>Se blant annet</w:t>
      </w:r>
      <w:r w:rsidR="00CD439F" w:rsidRPr="00CD439F">
        <w:rPr>
          <w:rStyle w:val="kursiv"/>
          <w:lang w:val="fr-FR"/>
        </w:rPr>
        <w:t xml:space="preserve"> Jouni E. Länsman et al. v. Finland</w:t>
      </w:r>
      <w:r w:rsidR="00CD439F" w:rsidRPr="00CA1D06">
        <w:rPr>
          <w:lang w:val="fr-FR"/>
        </w:rPr>
        <w:t xml:space="preserve"> (Communication No. 671/1995) para. </w:t>
      </w:r>
      <w:r w:rsidR="00CD439F" w:rsidRPr="00612642">
        <w:rPr>
          <w:lang w:val="nn-NO"/>
        </w:rPr>
        <w:t xml:space="preserve">10.3, jf. avsnitt 6.7, </w:t>
      </w:r>
      <w:proofErr w:type="spellStart"/>
      <w:r w:rsidR="00CD439F" w:rsidRPr="007E66B0">
        <w:rPr>
          <w:rStyle w:val="kursiv"/>
          <w:lang w:val="nn-NO"/>
        </w:rPr>
        <w:t>Apirana</w:t>
      </w:r>
      <w:proofErr w:type="spellEnd"/>
      <w:r w:rsidR="00CD439F" w:rsidRPr="007E66B0">
        <w:rPr>
          <w:rStyle w:val="kursiv"/>
          <w:lang w:val="nn-NO"/>
        </w:rPr>
        <w:t xml:space="preserve"> </w:t>
      </w:r>
      <w:proofErr w:type="spellStart"/>
      <w:r w:rsidR="00CD439F" w:rsidRPr="007E66B0">
        <w:rPr>
          <w:rStyle w:val="kursiv"/>
          <w:lang w:val="nn-NO"/>
        </w:rPr>
        <w:t>Mahuika</w:t>
      </w:r>
      <w:proofErr w:type="spellEnd"/>
      <w:r w:rsidR="00CD439F" w:rsidRPr="007E66B0">
        <w:rPr>
          <w:rStyle w:val="kursiv"/>
          <w:lang w:val="nn-NO"/>
        </w:rPr>
        <w:t xml:space="preserve"> et al. v. New Zealand </w:t>
      </w:r>
      <w:r w:rsidR="00CD439F" w:rsidRPr="00612642">
        <w:rPr>
          <w:lang w:val="nn-NO"/>
        </w:rPr>
        <w:t>(</w:t>
      </w:r>
      <w:proofErr w:type="spellStart"/>
      <w:r w:rsidR="00CD439F" w:rsidRPr="00612642">
        <w:rPr>
          <w:lang w:val="nn-NO"/>
        </w:rPr>
        <w:t>Communication</w:t>
      </w:r>
      <w:proofErr w:type="spellEnd"/>
      <w:r w:rsidR="00CD439F" w:rsidRPr="00612642">
        <w:rPr>
          <w:lang w:val="nn-NO"/>
        </w:rPr>
        <w:t xml:space="preserve"> No. 547/1993) para. 9.4, </w:t>
      </w:r>
      <w:proofErr w:type="spellStart"/>
      <w:r w:rsidR="00CD439F" w:rsidRPr="007E66B0">
        <w:rPr>
          <w:rStyle w:val="kursiv"/>
          <w:lang w:val="nn-NO"/>
        </w:rPr>
        <w:t>Jouni</w:t>
      </w:r>
      <w:proofErr w:type="spellEnd"/>
      <w:r w:rsidR="00CD439F" w:rsidRPr="007E66B0">
        <w:rPr>
          <w:rStyle w:val="kursiv"/>
          <w:lang w:val="nn-NO"/>
        </w:rPr>
        <w:t xml:space="preserve"> E. </w:t>
      </w:r>
      <w:proofErr w:type="spellStart"/>
      <w:r w:rsidR="00CD439F" w:rsidRPr="007E66B0">
        <w:rPr>
          <w:rStyle w:val="kursiv"/>
          <w:lang w:val="nn-NO"/>
        </w:rPr>
        <w:t>Länsman</w:t>
      </w:r>
      <w:proofErr w:type="spellEnd"/>
      <w:r w:rsidR="00CD439F" w:rsidRPr="007E66B0">
        <w:rPr>
          <w:rStyle w:val="kursiv"/>
          <w:lang w:val="nn-NO"/>
        </w:rPr>
        <w:t xml:space="preserve"> et al. v. Finland II </w:t>
      </w:r>
      <w:r w:rsidR="00CD439F" w:rsidRPr="00612642">
        <w:rPr>
          <w:lang w:val="nn-NO"/>
        </w:rPr>
        <w:t>(</w:t>
      </w:r>
      <w:proofErr w:type="spellStart"/>
      <w:r w:rsidR="00CD439F" w:rsidRPr="00612642">
        <w:rPr>
          <w:lang w:val="nn-NO"/>
        </w:rPr>
        <w:t>Communication</w:t>
      </w:r>
      <w:proofErr w:type="spellEnd"/>
      <w:r w:rsidR="00CD439F" w:rsidRPr="00612642">
        <w:rPr>
          <w:lang w:val="nn-NO"/>
        </w:rPr>
        <w:t xml:space="preserve"> 1023/2001) avsnitt 10.1 og </w:t>
      </w:r>
      <w:proofErr w:type="spellStart"/>
      <w:r w:rsidR="00CD439F" w:rsidRPr="007E66B0">
        <w:rPr>
          <w:rStyle w:val="kursiv"/>
          <w:lang w:val="nn-NO"/>
        </w:rPr>
        <w:t>Poma</w:t>
      </w:r>
      <w:proofErr w:type="spellEnd"/>
      <w:r w:rsidR="00CD439F" w:rsidRPr="007E66B0">
        <w:rPr>
          <w:rStyle w:val="kursiv"/>
          <w:lang w:val="nn-NO"/>
        </w:rPr>
        <w:t xml:space="preserve"> </w:t>
      </w:r>
      <w:proofErr w:type="spellStart"/>
      <w:r w:rsidR="00CD439F" w:rsidRPr="007E66B0">
        <w:rPr>
          <w:rStyle w:val="kursiv"/>
          <w:lang w:val="nn-NO"/>
        </w:rPr>
        <w:t>Poma</w:t>
      </w:r>
      <w:proofErr w:type="spellEnd"/>
      <w:r w:rsidR="00CD439F" w:rsidRPr="007E66B0">
        <w:rPr>
          <w:rStyle w:val="kursiv"/>
          <w:lang w:val="nn-NO"/>
        </w:rPr>
        <w:t xml:space="preserve"> v. Peru</w:t>
      </w:r>
      <w:r w:rsidR="00CD439F" w:rsidRPr="00612642">
        <w:rPr>
          <w:lang w:val="nn-NO"/>
        </w:rPr>
        <w:t xml:space="preserve"> (</w:t>
      </w:r>
      <w:proofErr w:type="spellStart"/>
      <w:r w:rsidR="00CD439F" w:rsidRPr="00612642">
        <w:rPr>
          <w:lang w:val="nn-NO"/>
        </w:rPr>
        <w:t>Communication</w:t>
      </w:r>
      <w:proofErr w:type="spellEnd"/>
      <w:r w:rsidR="00CD439F" w:rsidRPr="00612642">
        <w:rPr>
          <w:lang w:val="nn-NO"/>
        </w:rPr>
        <w:t xml:space="preserve"> No. 1457/2006) avsnitt 7.4.</w:t>
      </w:r>
    </w:p>
  </w:footnote>
  <w:footnote w:id="63">
    <w:p w14:paraId="3D92003B" w14:textId="27566612" w:rsidR="00CD439F" w:rsidRPr="009264D9"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rsidRPr="009264D9">
        <w:rPr>
          <w:lang w:val="nn-NO"/>
        </w:rPr>
        <w:t xml:space="preserve">Human Rights Committee, </w:t>
      </w:r>
      <w:r w:rsidR="00CD439F" w:rsidRPr="009264D9">
        <w:rPr>
          <w:rStyle w:val="kursiv"/>
          <w:lang w:val="nn-NO"/>
        </w:rPr>
        <w:t xml:space="preserve">Ilmari </w:t>
      </w:r>
      <w:proofErr w:type="spellStart"/>
      <w:r w:rsidR="00CD439F" w:rsidRPr="009264D9">
        <w:rPr>
          <w:rStyle w:val="kursiv"/>
          <w:lang w:val="nn-NO"/>
        </w:rPr>
        <w:t>Länsman</w:t>
      </w:r>
      <w:proofErr w:type="spellEnd"/>
      <w:r w:rsidR="00CD439F" w:rsidRPr="009264D9">
        <w:rPr>
          <w:rStyle w:val="kursiv"/>
          <w:lang w:val="nn-NO"/>
        </w:rPr>
        <w:t xml:space="preserve"> et al. v. Finland</w:t>
      </w:r>
      <w:r w:rsidR="00CD439F" w:rsidRPr="009264D9">
        <w:rPr>
          <w:lang w:val="nn-NO"/>
        </w:rPr>
        <w:t xml:space="preserve"> (</w:t>
      </w:r>
      <w:proofErr w:type="spellStart"/>
      <w:r w:rsidR="00CD439F" w:rsidRPr="009264D9">
        <w:rPr>
          <w:lang w:val="nn-NO"/>
        </w:rPr>
        <w:t>Communication</w:t>
      </w:r>
      <w:proofErr w:type="spellEnd"/>
      <w:r w:rsidR="00CD439F" w:rsidRPr="009264D9">
        <w:rPr>
          <w:lang w:val="nn-NO"/>
        </w:rPr>
        <w:t xml:space="preserve"> No. 511/1992) avsnitt 9.8.</w:t>
      </w:r>
    </w:p>
  </w:footnote>
  <w:footnote w:id="64">
    <w:p w14:paraId="318E0CB7" w14:textId="600FAE3B"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proofErr w:type="spellStart"/>
      <w:r w:rsidR="00CD439F" w:rsidRPr="00CD439F">
        <w:rPr>
          <w:rStyle w:val="kursiv"/>
          <w:lang w:val="en-US"/>
        </w:rPr>
        <w:t>Ääralã</w:t>
      </w:r>
      <w:proofErr w:type="spellEnd"/>
      <w:r w:rsidR="00CD439F" w:rsidRPr="00CD439F">
        <w:rPr>
          <w:rStyle w:val="kursiv"/>
          <w:lang w:val="en-US"/>
        </w:rPr>
        <w:t xml:space="preserve"> and </w:t>
      </w:r>
      <w:proofErr w:type="spellStart"/>
      <w:r w:rsidR="00CD439F" w:rsidRPr="00CD439F">
        <w:rPr>
          <w:rStyle w:val="kursiv"/>
          <w:lang w:val="en-US"/>
        </w:rPr>
        <w:t>Näkkäläjärvi</w:t>
      </w:r>
      <w:proofErr w:type="spellEnd"/>
      <w:r w:rsidR="00CD439F" w:rsidRPr="00CD439F">
        <w:rPr>
          <w:rStyle w:val="kursiv"/>
          <w:lang w:val="en-US"/>
        </w:rPr>
        <w:t xml:space="preserve"> v. Finland</w:t>
      </w:r>
      <w:r w:rsidR="00CD439F" w:rsidRPr="00836F21">
        <w:rPr>
          <w:lang w:val="en-GB"/>
        </w:rPr>
        <w:t xml:space="preserve"> (Communication No. 779/1997) </w:t>
      </w:r>
      <w:proofErr w:type="spellStart"/>
      <w:r w:rsidR="00CD439F">
        <w:rPr>
          <w:lang w:val="en-GB"/>
        </w:rPr>
        <w:t>avsnitt</w:t>
      </w:r>
      <w:proofErr w:type="spellEnd"/>
      <w:r w:rsidR="00CD439F" w:rsidRPr="00836F21">
        <w:rPr>
          <w:lang w:val="en-GB"/>
        </w:rPr>
        <w:t xml:space="preserve"> 7.6.</w:t>
      </w:r>
    </w:p>
  </w:footnote>
  <w:footnote w:id="65">
    <w:p w14:paraId="37ACC49C" w14:textId="75AD97A0" w:rsidR="00CD439F" w:rsidRPr="00486F9D"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 xml:space="preserve">Jouni E. </w:t>
      </w:r>
      <w:proofErr w:type="spellStart"/>
      <w:r w:rsidR="00CD439F" w:rsidRPr="00CD439F">
        <w:rPr>
          <w:rStyle w:val="kursiv"/>
          <w:lang w:val="en-US"/>
        </w:rPr>
        <w:t>Länsman</w:t>
      </w:r>
      <w:proofErr w:type="spellEnd"/>
      <w:r w:rsidR="00CD439F" w:rsidRPr="00CD439F">
        <w:rPr>
          <w:rStyle w:val="kursiv"/>
          <w:lang w:val="en-US"/>
        </w:rPr>
        <w:t xml:space="preserve"> et al. v. Finland</w:t>
      </w:r>
      <w:r w:rsidR="00CD439F" w:rsidRPr="00836F21">
        <w:rPr>
          <w:lang w:val="en-GB"/>
        </w:rPr>
        <w:t xml:space="preserve"> (Communication No. 671/1995) </w:t>
      </w:r>
      <w:proofErr w:type="spellStart"/>
      <w:r w:rsidR="00CD439F">
        <w:rPr>
          <w:lang w:val="en-GB"/>
        </w:rPr>
        <w:t>avsnitt</w:t>
      </w:r>
      <w:proofErr w:type="spellEnd"/>
      <w:r w:rsidR="00CD439F" w:rsidRPr="00836F21">
        <w:rPr>
          <w:lang w:val="en-GB"/>
        </w:rPr>
        <w:t xml:space="preserve"> </w:t>
      </w:r>
      <w:r w:rsidR="00CD439F" w:rsidRPr="00486F9D">
        <w:rPr>
          <w:lang w:val="en-US"/>
        </w:rPr>
        <w:t>10.6.</w:t>
      </w:r>
    </w:p>
  </w:footnote>
  <w:footnote w:id="66">
    <w:p w14:paraId="5794D3A2" w14:textId="652D4BC3" w:rsidR="00CD439F" w:rsidRPr="00612642" w:rsidRDefault="00404399" w:rsidP="00CD439F">
      <w:pPr>
        <w:pStyle w:val="Fotnotetekst"/>
        <w:rPr>
          <w:lang w:val="nn-NO"/>
        </w:rPr>
      </w:pPr>
      <w:r w:rsidRPr="00CD439F">
        <w:rPr>
          <w:rStyle w:val="Fotnotereferanse"/>
        </w:rPr>
        <w:footnoteRef/>
      </w:r>
      <w:r w:rsidRPr="00404399">
        <w:rPr>
          <w:rStyle w:val="Fotnotereferanse"/>
          <w:lang w:val="nn-NO"/>
        </w:rPr>
        <w:t xml:space="preserve"> </w:t>
      </w:r>
      <w:proofErr w:type="spellStart"/>
      <w:r w:rsidR="00CD439F" w:rsidRPr="00612642">
        <w:rPr>
          <w:rStyle w:val="FotnotetekstTegn"/>
          <w:lang w:val="nn-NO"/>
        </w:rPr>
        <w:t>Jouni</w:t>
      </w:r>
      <w:proofErr w:type="spellEnd"/>
      <w:r w:rsidR="00CD439F" w:rsidRPr="00612642">
        <w:rPr>
          <w:rStyle w:val="FotnotetekstTegn"/>
          <w:lang w:val="nn-NO"/>
        </w:rPr>
        <w:t xml:space="preserve"> E. </w:t>
      </w:r>
      <w:proofErr w:type="spellStart"/>
      <w:r w:rsidR="00CD439F" w:rsidRPr="00612642">
        <w:rPr>
          <w:rStyle w:val="FotnotetekstTegn"/>
          <w:lang w:val="nn-NO"/>
        </w:rPr>
        <w:t>Länsman</w:t>
      </w:r>
      <w:proofErr w:type="spellEnd"/>
      <w:r w:rsidR="00CD439F" w:rsidRPr="00612642">
        <w:rPr>
          <w:rStyle w:val="FotnotetekstTegn"/>
          <w:lang w:val="nn-NO"/>
        </w:rPr>
        <w:t xml:space="preserve"> (II) v. Finland, </w:t>
      </w:r>
      <w:proofErr w:type="spellStart"/>
      <w:r w:rsidR="00CD439F" w:rsidRPr="00612642">
        <w:rPr>
          <w:rStyle w:val="FotnotetekstTegn"/>
          <w:lang w:val="nn-NO"/>
        </w:rPr>
        <w:t>Communication</w:t>
      </w:r>
      <w:proofErr w:type="spellEnd"/>
      <w:r w:rsidR="00CD439F" w:rsidRPr="00612642">
        <w:rPr>
          <w:rStyle w:val="FotnotetekstTegn"/>
          <w:lang w:val="nn-NO"/>
        </w:rPr>
        <w:t xml:space="preserve"> No. 1023/2021 avsnitt 10.3</w:t>
      </w:r>
      <w:r w:rsidR="00CD439F" w:rsidRPr="00612642">
        <w:rPr>
          <w:lang w:val="nn-NO"/>
        </w:rPr>
        <w:t>.</w:t>
      </w:r>
    </w:p>
  </w:footnote>
  <w:footnote w:id="67">
    <w:p w14:paraId="773B89DD" w14:textId="46FB6A42" w:rsidR="00CD439F" w:rsidRPr="00612642"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612642">
        <w:rPr>
          <w:lang w:val="nn-NO"/>
        </w:rPr>
        <w:t>HR-2021-1975-S (Fosen) avsnitt 134.</w:t>
      </w:r>
    </w:p>
  </w:footnote>
  <w:footnote w:id="68">
    <w:p w14:paraId="76B6E811" w14:textId="28C1BC27" w:rsidR="00CD439F" w:rsidRPr="00612642"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612642">
        <w:rPr>
          <w:lang w:val="nn-NO"/>
        </w:rPr>
        <w:t>HR-2021-1975-S (Fosen) avsnitt 137-140 og 141.</w:t>
      </w:r>
    </w:p>
  </w:footnote>
  <w:footnote w:id="69">
    <w:p w14:paraId="0575C0A5" w14:textId="0A1219FD" w:rsidR="00CD439F" w:rsidRPr="00F1511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AF67D8">
        <w:rPr>
          <w:rStyle w:val="FotnotetekstTegn"/>
          <w:lang w:val="en-US"/>
        </w:rPr>
        <w:t xml:space="preserve">HR-2021-1975-S </w:t>
      </w:r>
      <w:proofErr w:type="spellStart"/>
      <w:r w:rsidR="00CD439F" w:rsidRPr="00AF67D8">
        <w:rPr>
          <w:rStyle w:val="FotnotetekstTegn"/>
          <w:lang w:val="en-US"/>
        </w:rPr>
        <w:t>avsnitt</w:t>
      </w:r>
      <w:proofErr w:type="spellEnd"/>
      <w:r w:rsidR="00CD439F" w:rsidRPr="00AF67D8">
        <w:rPr>
          <w:rStyle w:val="FotnotetekstTegn"/>
          <w:lang w:val="en-US"/>
        </w:rPr>
        <w:t xml:space="preserve"> 148.</w:t>
      </w:r>
    </w:p>
  </w:footnote>
  <w:footnote w:id="70">
    <w:p w14:paraId="17E28AB3" w14:textId="5E4B959E" w:rsidR="00CD439F" w:rsidRPr="00F1511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5C6A9A">
        <w:rPr>
          <w:rStyle w:val="FotnotetekstTegn"/>
          <w:lang w:val="en-US"/>
        </w:rPr>
        <w:t xml:space="preserve">Human Rights Committee, Jovsset Ante Sara v. Norway (Communication No. 3588/2019) </w:t>
      </w:r>
      <w:proofErr w:type="spellStart"/>
      <w:r w:rsidR="00CD439F">
        <w:rPr>
          <w:rFonts w:cs="Times New Roman"/>
          <w:lang w:val="en-GB"/>
        </w:rPr>
        <w:t>avsnitt</w:t>
      </w:r>
      <w:proofErr w:type="spellEnd"/>
      <w:r w:rsidR="00CD439F" w:rsidRPr="005C6A9A">
        <w:rPr>
          <w:rStyle w:val="FotnotetekstTegn"/>
          <w:lang w:val="en-US"/>
        </w:rPr>
        <w:t xml:space="preserve"> 6.2.</w:t>
      </w:r>
    </w:p>
  </w:footnote>
  <w:footnote w:id="71">
    <w:p w14:paraId="14C9D5ED" w14:textId="37B769D3"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General Comment No. 23 (1994), Article 27, </w:t>
      </w:r>
      <w:proofErr w:type="spellStart"/>
      <w:r w:rsidR="00CD439F">
        <w:rPr>
          <w:lang w:val="en-GB"/>
        </w:rPr>
        <w:t>avsnitt</w:t>
      </w:r>
      <w:proofErr w:type="spellEnd"/>
      <w:r w:rsidR="00CD439F" w:rsidRPr="00836F21">
        <w:rPr>
          <w:lang w:val="en-GB"/>
        </w:rPr>
        <w:t xml:space="preserve"> 6.1 og 6.2.</w:t>
      </w:r>
    </w:p>
  </w:footnote>
  <w:footnote w:id="72">
    <w:p w14:paraId="273E8305" w14:textId="7AE59C8A"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proofErr w:type="spellStart"/>
      <w:r w:rsidR="00CD439F" w:rsidRPr="00836F21">
        <w:rPr>
          <w:lang w:val="en-GB"/>
        </w:rPr>
        <w:t>Ot</w:t>
      </w:r>
      <w:r w:rsidR="00CD439F">
        <w:rPr>
          <w:lang w:val="en-GB"/>
        </w:rPr>
        <w:t>.prp</w:t>
      </w:r>
      <w:proofErr w:type="spellEnd"/>
      <w:r w:rsidR="00CD439F">
        <w:rPr>
          <w:lang w:val="en-GB"/>
        </w:rPr>
        <w:t xml:space="preserve">. nr. </w:t>
      </w:r>
      <w:r w:rsidR="00CD439F" w:rsidRPr="00836F21">
        <w:rPr>
          <w:lang w:val="en-GB"/>
        </w:rPr>
        <w:t>53 (2002</w:t>
      </w:r>
      <w:r w:rsidR="00CD439F">
        <w:rPr>
          <w:lang w:val="en-GB"/>
        </w:rPr>
        <w:t>–</w:t>
      </w:r>
      <w:r w:rsidR="00CD439F" w:rsidRPr="00836F21">
        <w:rPr>
          <w:lang w:val="en-GB"/>
        </w:rPr>
        <w:t>2003) s. 84.</w:t>
      </w:r>
    </w:p>
  </w:footnote>
  <w:footnote w:id="73">
    <w:p w14:paraId="5C8AEC47" w14:textId="6C8EB122"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Manfred Nowak, U.N. Covenant on Civil and Political Rights. CCPR Commentary, 2</w:t>
      </w:r>
      <w:r w:rsidR="00CD439F" w:rsidRPr="00836F21">
        <w:rPr>
          <w:vertAlign w:val="superscript"/>
          <w:lang w:val="en-GB"/>
        </w:rPr>
        <w:t>nd</w:t>
      </w:r>
      <w:r w:rsidR="00CD439F" w:rsidRPr="00836F21">
        <w:rPr>
          <w:lang w:val="en-GB"/>
        </w:rPr>
        <w:t xml:space="preserve"> ed. (2005) s. 666.</w:t>
      </w:r>
    </w:p>
  </w:footnote>
  <w:footnote w:id="74">
    <w:p w14:paraId="1CEE1EF2" w14:textId="5049C8C2"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Jovsset Ante Sara v. Norway</w:t>
      </w:r>
      <w:r w:rsidR="00CD439F" w:rsidRPr="00836F21">
        <w:rPr>
          <w:lang w:val="en-GB"/>
        </w:rPr>
        <w:t xml:space="preserve"> (Communication No.3588/2019) </w:t>
      </w:r>
      <w:proofErr w:type="spellStart"/>
      <w:r w:rsidR="00CD439F">
        <w:rPr>
          <w:lang w:val="en-GB"/>
        </w:rPr>
        <w:t>avsnitt</w:t>
      </w:r>
      <w:proofErr w:type="spellEnd"/>
      <w:r w:rsidR="00CD439F" w:rsidRPr="00836F21">
        <w:rPr>
          <w:lang w:val="en-GB"/>
        </w:rPr>
        <w:t xml:space="preserve"> 10.3.</w:t>
      </w:r>
    </w:p>
  </w:footnote>
  <w:footnote w:id="75">
    <w:p w14:paraId="0660A99D" w14:textId="03866DC7" w:rsidR="00CD439F" w:rsidRPr="003F6777" w:rsidRDefault="00404399" w:rsidP="00CD439F">
      <w:pPr>
        <w:pStyle w:val="Fotnotetekst"/>
        <w:rPr>
          <w:rStyle w:val="FotnotetekstTegn"/>
        </w:rPr>
      </w:pPr>
      <w:r w:rsidRPr="00CD439F">
        <w:rPr>
          <w:rStyle w:val="Fotnotereferanse"/>
        </w:rPr>
        <w:footnoteRef/>
      </w:r>
      <w:r w:rsidRPr="00404399">
        <w:rPr>
          <w:rStyle w:val="Fotnotereferanse"/>
          <w:lang w:val="en-US"/>
        </w:rPr>
        <w:t xml:space="preserve"> </w:t>
      </w:r>
      <w:r w:rsidR="00CD439F" w:rsidRPr="00AF67D8">
        <w:rPr>
          <w:rStyle w:val="FotnotetekstTegn"/>
          <w:lang w:val="en-US"/>
        </w:rPr>
        <w:t xml:space="preserve">Human Rights Committee, Daniel Billy and others v. Australia (Communication No. 3624/2019) </w:t>
      </w:r>
      <w:proofErr w:type="spellStart"/>
      <w:r w:rsidR="00CD439F" w:rsidRPr="00AF67D8">
        <w:rPr>
          <w:rStyle w:val="FotnotetekstTegn"/>
          <w:lang w:val="en-US"/>
        </w:rPr>
        <w:t>avsnitt</w:t>
      </w:r>
      <w:proofErr w:type="spellEnd"/>
      <w:r w:rsidR="00CD439F" w:rsidRPr="00AF67D8">
        <w:rPr>
          <w:rStyle w:val="FotnotetekstTegn"/>
          <w:lang w:val="en-US"/>
        </w:rPr>
        <w:t xml:space="preserve"> 8.14. </w:t>
      </w:r>
      <w:r w:rsidR="00CD439F" w:rsidRPr="003F6777">
        <w:rPr>
          <w:rStyle w:val="FotnotetekstTegn"/>
        </w:rPr>
        <w:t>Se også avsnitt 8.5.</w:t>
      </w:r>
    </w:p>
  </w:footnote>
  <w:footnote w:id="76">
    <w:p w14:paraId="6B8FB2DE" w14:textId="64F476B5" w:rsidR="00CD439F" w:rsidRPr="00F1511F" w:rsidRDefault="00404399" w:rsidP="00CD439F">
      <w:pPr>
        <w:pStyle w:val="Fotnotetekst"/>
      </w:pPr>
      <w:r w:rsidRPr="00CD439F">
        <w:rPr>
          <w:rStyle w:val="Fotnotereferanse"/>
        </w:rPr>
        <w:footnoteRef/>
      </w:r>
      <w:r>
        <w:rPr>
          <w:rStyle w:val="Fotnotereferanse"/>
        </w:rPr>
        <w:t xml:space="preserve"> </w:t>
      </w:r>
      <w:r w:rsidR="00CD439F" w:rsidRPr="003F6777">
        <w:t>Se for eksempel HR-2021-1975-S (Fosen) avsnitt 99.</w:t>
      </w:r>
    </w:p>
  </w:footnote>
  <w:footnote w:id="77">
    <w:p w14:paraId="39748671" w14:textId="0EC739B9" w:rsidR="00CD439F" w:rsidRPr="005F70DB" w:rsidRDefault="00404399" w:rsidP="00CD439F">
      <w:pPr>
        <w:pStyle w:val="Fotnotetekst"/>
      </w:pPr>
      <w:r w:rsidRPr="00CD439F">
        <w:rPr>
          <w:rStyle w:val="Fotnotereferanse"/>
        </w:rPr>
        <w:footnoteRef/>
      </w:r>
      <w:r>
        <w:rPr>
          <w:rStyle w:val="Fotnotereferanse"/>
        </w:rPr>
        <w:t xml:space="preserve"> </w:t>
      </w:r>
      <w:r w:rsidR="00CD439F" w:rsidRPr="005F70DB">
        <w:t xml:space="preserve">HR-2021-1975-S (Fosen) </w:t>
      </w:r>
      <w:r w:rsidR="00CD439F">
        <w:rPr>
          <w:lang w:val="en-US"/>
        </w:rPr>
        <w:fldChar w:fldCharType="begin">
          <w:fldData xml:space="preserve">PEVuZE5vdGU+PENpdGU+PEF1dGhvcj5Iw7h5ZXN0ZXJldHQ8L0F1dGhvcj48WWVhcj4yMDIxPC9Z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</w:fldData>
        </w:fldChar>
      </w:r>
      <w:r w:rsidR="00CD439F" w:rsidRPr="005F70DB">
        <w:instrText xml:space="preserve"> ADDIN EN.CITE </w:instrText>
      </w:r>
      <w:r w:rsidR="00CD439F">
        <w:rPr>
          <w:lang w:val="en-US"/>
        </w:rPr>
        <w:fldChar w:fldCharType="begin">
          <w:fldData xml:space="preserve">PEVuZE5vdGU+PENpdGU+PEF1dGhvcj5Iw7h5ZXN0ZXJldHQ8L0F1dGhvcj48WWVhcj4yMDIxPC9Z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</w:fldData>
        </w:fldChar>
      </w:r>
      <w:r w:rsidR="00CD439F" w:rsidRPr="005F70DB">
        <w:instrText xml:space="preserve"> ADDIN EN.CITE.DATA </w:instrText>
      </w:r>
      <w:r w:rsidR="00CD439F">
        <w:rPr>
          <w:lang w:val="en-US"/>
        </w:rPr>
      </w:r>
      <w:r w:rsidR="00CD439F">
        <w:rPr>
          <w:lang w:val="en-US"/>
        </w:rPr>
        <w:fldChar w:fldCharType="end"/>
      </w:r>
      <w:r w:rsidR="00CD439F">
        <w:rPr>
          <w:lang w:val="en-US"/>
        </w:rPr>
      </w:r>
      <w:r w:rsidR="00CD439F">
        <w:rPr>
          <w:lang w:val="en-US"/>
        </w:rPr>
        <w:fldChar w:fldCharType="separate"/>
      </w:r>
      <w:r w:rsidR="00CD439F" w:rsidRPr="005F70DB">
        <w:rPr>
          <w:noProof/>
        </w:rPr>
        <w:t xml:space="preserve">Høyesterett, </w:t>
      </w:r>
      <w:r w:rsidR="00CD439F" w:rsidRPr="00CD439F">
        <w:rPr>
          <w:rStyle w:val="kursiv"/>
        </w:rPr>
        <w:t>Vindkraft Fosen (HR-2021-1975-S)</w:t>
      </w:r>
      <w:r w:rsidR="00CD439F" w:rsidRPr="005F70DB">
        <w:rPr>
          <w:noProof/>
        </w:rPr>
        <w:t xml:space="preserve"> (2021)</w:t>
      </w:r>
      <w:r w:rsidR="00CD439F">
        <w:rPr>
          <w:lang w:val="en-US"/>
        </w:rPr>
        <w:fldChar w:fldCharType="end"/>
      </w:r>
      <w:r w:rsidR="00CD439F" w:rsidRPr="00486F9D">
        <w:t xml:space="preserve">, </w:t>
      </w:r>
      <w:r w:rsidR="00CD439F" w:rsidRPr="005F70DB">
        <w:t>avsnitt 149.</w:t>
      </w:r>
    </w:p>
  </w:footnote>
  <w:footnote w:id="78">
    <w:p w14:paraId="473B6053" w14:textId="368F5878"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AF67D8">
        <w:rPr>
          <w:lang w:val="en-US"/>
        </w:rPr>
        <w:t xml:space="preserve">Human Rights Committee, General Comment No. 23 (1994), Article 27, </w:t>
      </w:r>
      <w:proofErr w:type="spellStart"/>
      <w:r w:rsidR="00CD439F">
        <w:rPr>
          <w:rFonts w:cs="Times New Roman"/>
          <w:lang w:val="en-GB"/>
        </w:rPr>
        <w:t>avsnitt</w:t>
      </w:r>
      <w:proofErr w:type="spellEnd"/>
      <w:r w:rsidR="00CD439F" w:rsidRPr="00AF67D8">
        <w:rPr>
          <w:lang w:val="en-US"/>
        </w:rPr>
        <w:t xml:space="preserve"> 7.</w:t>
      </w:r>
    </w:p>
  </w:footnote>
  <w:footnote w:id="79">
    <w:p w14:paraId="6604A638" w14:textId="1BD58EBE"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Apirana Mahuika et al. v. New Zealand</w:t>
      </w:r>
      <w:r w:rsidR="00CD439F" w:rsidRPr="00836F21">
        <w:rPr>
          <w:lang w:val="en-GB"/>
        </w:rPr>
        <w:t xml:space="preserve"> (Communication No. 547/1993) </w:t>
      </w:r>
      <w:proofErr w:type="spellStart"/>
      <w:r w:rsidR="00CD439F">
        <w:rPr>
          <w:lang w:val="en-GB"/>
        </w:rPr>
        <w:t>avsnitt</w:t>
      </w:r>
      <w:proofErr w:type="spellEnd"/>
      <w:r w:rsidR="00CD439F" w:rsidRPr="00836F21">
        <w:rPr>
          <w:lang w:val="en-GB"/>
        </w:rPr>
        <w:t xml:space="preserve"> 9.6 og 9.8.</w:t>
      </w:r>
    </w:p>
  </w:footnote>
  <w:footnote w:id="80">
    <w:p w14:paraId="1F79CF36" w14:textId="6A26AB14"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Human Rights Committee,</w:t>
      </w:r>
      <w:r w:rsidR="00CD439F" w:rsidRPr="00CD439F">
        <w:rPr>
          <w:rStyle w:val="kursiv"/>
          <w:lang w:val="en-US"/>
        </w:rPr>
        <w:t xml:space="preserve"> Jovsset Ante Sara v. Norway</w:t>
      </w:r>
      <w:r w:rsidR="00CD439F" w:rsidRPr="00836F21">
        <w:rPr>
          <w:lang w:val="en-GB"/>
        </w:rPr>
        <w:t xml:space="preserve"> (Communication No. 3588/2019) </w:t>
      </w:r>
      <w:proofErr w:type="spellStart"/>
      <w:r w:rsidR="00CD439F">
        <w:rPr>
          <w:lang w:val="en-GB"/>
        </w:rPr>
        <w:t>avsnitt</w:t>
      </w:r>
      <w:proofErr w:type="spellEnd"/>
      <w:r w:rsidR="00CD439F" w:rsidRPr="00836F21">
        <w:rPr>
          <w:lang w:val="en-GB"/>
        </w:rPr>
        <w:t xml:space="preserve"> 10.10.</w:t>
      </w:r>
    </w:p>
  </w:footnote>
  <w:footnote w:id="81">
    <w:p w14:paraId="21C00A6C" w14:textId="226286F2" w:rsidR="00CD439F" w:rsidRPr="00836F21"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 xml:space="preserve">Poma </w:t>
      </w:r>
      <w:proofErr w:type="spellStart"/>
      <w:r w:rsidR="00CD439F" w:rsidRPr="00CD439F">
        <w:rPr>
          <w:rStyle w:val="kursiv"/>
          <w:lang w:val="en-US"/>
        </w:rPr>
        <w:t>Poma</w:t>
      </w:r>
      <w:proofErr w:type="spellEnd"/>
      <w:r w:rsidR="00CD439F" w:rsidRPr="00CD439F">
        <w:rPr>
          <w:rStyle w:val="kursiv"/>
          <w:lang w:val="en-US"/>
        </w:rPr>
        <w:t xml:space="preserve"> v. Peru</w:t>
      </w:r>
      <w:r w:rsidR="00CD439F" w:rsidRPr="00836F21">
        <w:rPr>
          <w:lang w:val="en-GB"/>
        </w:rPr>
        <w:t xml:space="preserve"> (Communication No. 1457/2006) </w:t>
      </w:r>
      <w:proofErr w:type="spellStart"/>
      <w:r w:rsidR="00CD439F">
        <w:rPr>
          <w:lang w:val="en-GB"/>
        </w:rPr>
        <w:t>avsnitt</w:t>
      </w:r>
      <w:proofErr w:type="spellEnd"/>
      <w:r w:rsidR="00CD439F" w:rsidRPr="00836F21">
        <w:rPr>
          <w:lang w:val="en-GB"/>
        </w:rPr>
        <w:t xml:space="preserve"> 7.6.</w:t>
      </w:r>
    </w:p>
  </w:footnote>
  <w:footnote w:id="82">
    <w:p w14:paraId="7FF1F4E1" w14:textId="73D30D4F" w:rsidR="00CD439F" w:rsidRPr="00A31B94"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36F21">
        <w:rPr>
          <w:lang w:val="en-GB"/>
        </w:rPr>
        <w:t xml:space="preserve">Human Rights Committee, </w:t>
      </w:r>
      <w:r w:rsidR="00CD439F" w:rsidRPr="00CD439F">
        <w:rPr>
          <w:rStyle w:val="kursiv"/>
          <w:lang w:val="en-US"/>
        </w:rPr>
        <w:t xml:space="preserve">Poma </w:t>
      </w:r>
      <w:proofErr w:type="spellStart"/>
      <w:r w:rsidR="00CD439F" w:rsidRPr="00CD439F">
        <w:rPr>
          <w:rStyle w:val="kursiv"/>
          <w:lang w:val="en-US"/>
        </w:rPr>
        <w:t>Poma</w:t>
      </w:r>
      <w:proofErr w:type="spellEnd"/>
      <w:r w:rsidR="00CD439F" w:rsidRPr="00CD439F">
        <w:rPr>
          <w:rStyle w:val="kursiv"/>
          <w:lang w:val="en-US"/>
        </w:rPr>
        <w:t xml:space="preserve"> v. Peru</w:t>
      </w:r>
      <w:r w:rsidR="00CD439F" w:rsidRPr="00836F21">
        <w:rPr>
          <w:lang w:val="en-GB"/>
        </w:rPr>
        <w:t xml:space="preserve"> (Communication No. 1457/2006) </w:t>
      </w:r>
      <w:proofErr w:type="spellStart"/>
      <w:r w:rsidR="00CD439F">
        <w:rPr>
          <w:lang w:val="en-GB"/>
        </w:rPr>
        <w:t>avsnitt</w:t>
      </w:r>
      <w:proofErr w:type="spellEnd"/>
      <w:r w:rsidR="00CD439F" w:rsidRPr="00836F21">
        <w:rPr>
          <w:lang w:val="en-GB"/>
        </w:rPr>
        <w:t xml:space="preserve"> </w:t>
      </w:r>
      <w:r w:rsidR="00CD439F" w:rsidRPr="00A31B94">
        <w:rPr>
          <w:lang w:val="en-GB"/>
        </w:rPr>
        <w:t>7.7.</w:t>
      </w:r>
    </w:p>
  </w:footnote>
  <w:footnote w:id="83">
    <w:p w14:paraId="7DF853C7" w14:textId="2E692D4E" w:rsidR="00CD439F" w:rsidRPr="00425BF5"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425BF5">
        <w:rPr>
          <w:lang w:val="en-GB"/>
        </w:rPr>
        <w:t xml:space="preserve">Human Rights Committee, </w:t>
      </w:r>
      <w:r w:rsidR="00CD439F" w:rsidRPr="00CD439F">
        <w:rPr>
          <w:rStyle w:val="kursiv"/>
          <w:lang w:val="en-US"/>
        </w:rPr>
        <w:t xml:space="preserve">Alisa Roy v. Australia </w:t>
      </w:r>
      <w:r w:rsidR="00CD439F" w:rsidRPr="00425BF5">
        <w:rPr>
          <w:lang w:val="en-GB"/>
        </w:rPr>
        <w:t xml:space="preserve">(Communication No. 3585/2019) </w:t>
      </w:r>
      <w:proofErr w:type="spellStart"/>
      <w:r w:rsidR="00CD439F">
        <w:rPr>
          <w:lang w:val="en-GB"/>
        </w:rPr>
        <w:t>avsnitt</w:t>
      </w:r>
      <w:proofErr w:type="spellEnd"/>
      <w:r w:rsidR="00CD439F" w:rsidRPr="00425BF5">
        <w:rPr>
          <w:lang w:val="en-GB"/>
        </w:rPr>
        <w:t xml:space="preserve"> 8.5 og 8.6.</w:t>
      </w:r>
    </w:p>
  </w:footnote>
  <w:footnote w:id="84">
    <w:p w14:paraId="7644626F" w14:textId="1A601949" w:rsidR="00CD439F" w:rsidRPr="00425BF5"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425BF5">
        <w:rPr>
          <w:lang w:val="en-GB"/>
        </w:rPr>
        <w:t xml:space="preserve">Human Rights Committee, </w:t>
      </w:r>
      <w:r w:rsidR="00CD439F" w:rsidRPr="00CD439F">
        <w:rPr>
          <w:rStyle w:val="kursiv"/>
          <w:lang w:val="en-US"/>
        </w:rPr>
        <w:t xml:space="preserve">Ilmari </w:t>
      </w:r>
      <w:proofErr w:type="spellStart"/>
      <w:r w:rsidR="00CD439F" w:rsidRPr="00CD439F">
        <w:rPr>
          <w:rStyle w:val="kursiv"/>
          <w:lang w:val="en-US"/>
        </w:rPr>
        <w:t>Länsman</w:t>
      </w:r>
      <w:proofErr w:type="spellEnd"/>
      <w:r w:rsidR="00CD439F" w:rsidRPr="00CD439F">
        <w:rPr>
          <w:rStyle w:val="kursiv"/>
          <w:lang w:val="en-US"/>
        </w:rPr>
        <w:t xml:space="preserve"> et al. v. Finland</w:t>
      </w:r>
      <w:r w:rsidR="00CD439F" w:rsidRPr="00425BF5">
        <w:rPr>
          <w:lang w:val="en-GB"/>
        </w:rPr>
        <w:t xml:space="preserve"> (Communication No. 511/1992) </w:t>
      </w:r>
      <w:proofErr w:type="spellStart"/>
      <w:r w:rsidR="00CD439F">
        <w:rPr>
          <w:lang w:val="en-GB"/>
        </w:rPr>
        <w:t>avsnitt</w:t>
      </w:r>
      <w:proofErr w:type="spellEnd"/>
      <w:r w:rsidR="00CD439F" w:rsidRPr="00425BF5">
        <w:rPr>
          <w:lang w:val="en-GB"/>
        </w:rPr>
        <w:t xml:space="preserve"> 9.4.</w:t>
      </w:r>
    </w:p>
  </w:footnote>
  <w:footnote w:id="85">
    <w:p w14:paraId="087B1C78" w14:textId="6CEC5AB5" w:rsidR="00CD439F" w:rsidRPr="00425BF5"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425BF5">
        <w:rPr>
          <w:lang w:val="en-GB"/>
        </w:rPr>
        <w:t xml:space="preserve">NOU 2007: 13 s. 196 og HR-2021-1975-S (Fosen) </w:t>
      </w:r>
      <w:proofErr w:type="spellStart"/>
      <w:r w:rsidR="00CD439F" w:rsidRPr="00425BF5">
        <w:rPr>
          <w:lang w:val="en-GB"/>
        </w:rPr>
        <w:t>avsnitt</w:t>
      </w:r>
      <w:proofErr w:type="spellEnd"/>
      <w:r w:rsidR="00CD439F" w:rsidRPr="00425BF5">
        <w:rPr>
          <w:lang w:val="en-GB"/>
        </w:rPr>
        <w:t xml:space="preserve"> 129.</w:t>
      </w:r>
    </w:p>
  </w:footnote>
  <w:footnote w:id="86">
    <w:p w14:paraId="14BDF6BA" w14:textId="6FBB7BF6" w:rsidR="00CD439F" w:rsidRPr="00425BF5"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425BF5">
        <w:rPr>
          <w:lang w:val="en-GB"/>
        </w:rPr>
        <w:t xml:space="preserve">Human Rights Committee, </w:t>
      </w:r>
      <w:r w:rsidR="00CD439F" w:rsidRPr="00CD439F">
        <w:rPr>
          <w:rStyle w:val="kursiv"/>
          <w:lang w:val="en-US"/>
        </w:rPr>
        <w:t>Lovelace v. Canada</w:t>
      </w:r>
      <w:r w:rsidR="00CD439F" w:rsidRPr="00425BF5">
        <w:rPr>
          <w:lang w:val="en-GB"/>
        </w:rPr>
        <w:t xml:space="preserve"> (Communication No. 24/1977) </w:t>
      </w:r>
      <w:proofErr w:type="spellStart"/>
      <w:r w:rsidR="00CD439F">
        <w:rPr>
          <w:rFonts w:cs="Times New Roman"/>
          <w:lang w:val="en-GB"/>
        </w:rPr>
        <w:t>avsnitt</w:t>
      </w:r>
      <w:proofErr w:type="spellEnd"/>
      <w:r w:rsidR="00CD439F" w:rsidRPr="00425BF5">
        <w:rPr>
          <w:lang w:val="en-GB"/>
        </w:rPr>
        <w:t xml:space="preserve"> 16 og 17. </w:t>
      </w:r>
    </w:p>
  </w:footnote>
  <w:footnote w:id="87">
    <w:p w14:paraId="6CE592F4" w14:textId="2289B1AE" w:rsidR="00CD439F" w:rsidRPr="00486F9D"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425BF5">
        <w:rPr>
          <w:lang w:val="en-GB"/>
        </w:rPr>
        <w:t xml:space="preserve">Human Rights Committee, </w:t>
      </w:r>
      <w:proofErr w:type="spellStart"/>
      <w:r w:rsidR="00CD439F" w:rsidRPr="00CD439F">
        <w:rPr>
          <w:rStyle w:val="kursiv"/>
          <w:lang w:val="en-US"/>
        </w:rPr>
        <w:t>Kitok</w:t>
      </w:r>
      <w:proofErr w:type="spellEnd"/>
      <w:r w:rsidR="00CD439F" w:rsidRPr="00CD439F">
        <w:rPr>
          <w:rStyle w:val="kursiv"/>
          <w:lang w:val="en-US"/>
        </w:rPr>
        <w:t xml:space="preserve"> v. Sweden</w:t>
      </w:r>
      <w:r w:rsidR="00CD439F" w:rsidRPr="00425BF5">
        <w:rPr>
          <w:lang w:val="en-GB"/>
        </w:rPr>
        <w:t xml:space="preserve"> (Communication No. 197/1985) </w:t>
      </w:r>
      <w:proofErr w:type="spellStart"/>
      <w:r w:rsidR="00CD439F">
        <w:rPr>
          <w:rFonts w:cs="Times New Roman"/>
          <w:lang w:val="en-GB"/>
        </w:rPr>
        <w:t>avsnitt</w:t>
      </w:r>
      <w:proofErr w:type="spellEnd"/>
      <w:r w:rsidR="00CD439F" w:rsidRPr="00425BF5">
        <w:rPr>
          <w:lang w:val="en-GB"/>
        </w:rPr>
        <w:t xml:space="preserve"> </w:t>
      </w:r>
      <w:r w:rsidR="00CD439F" w:rsidRPr="00486F9D">
        <w:rPr>
          <w:lang w:val="en-US"/>
        </w:rPr>
        <w:t>9.8.</w:t>
      </w:r>
    </w:p>
  </w:footnote>
  <w:footnote w:id="88">
    <w:p w14:paraId="3227922D" w14:textId="7943C830" w:rsidR="00CD439F" w:rsidRPr="00612642"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612642">
        <w:rPr>
          <w:lang w:val="en-US"/>
        </w:rPr>
        <w:t xml:space="preserve">Se </w:t>
      </w:r>
      <w:proofErr w:type="spellStart"/>
      <w:r w:rsidR="00CD439F" w:rsidRPr="00612642">
        <w:rPr>
          <w:lang w:val="en-US"/>
        </w:rPr>
        <w:t>blant</w:t>
      </w:r>
      <w:proofErr w:type="spellEnd"/>
      <w:r w:rsidR="00CD439F" w:rsidRPr="00612642">
        <w:rPr>
          <w:lang w:val="en-US"/>
        </w:rPr>
        <w:t xml:space="preserve"> </w:t>
      </w:r>
      <w:proofErr w:type="spellStart"/>
      <w:r w:rsidR="00CD439F" w:rsidRPr="00612642">
        <w:rPr>
          <w:lang w:val="en-US"/>
        </w:rPr>
        <w:t>annet</w:t>
      </w:r>
      <w:proofErr w:type="spellEnd"/>
      <w:r w:rsidR="00CD439F" w:rsidRPr="00612642">
        <w:rPr>
          <w:lang w:val="en-US"/>
        </w:rPr>
        <w:t xml:space="preserve"> Poma </w:t>
      </w:r>
      <w:proofErr w:type="spellStart"/>
      <w:r w:rsidR="00CD439F" w:rsidRPr="00612642">
        <w:rPr>
          <w:lang w:val="en-US"/>
        </w:rPr>
        <w:t>Poma</w:t>
      </w:r>
      <w:proofErr w:type="spellEnd"/>
      <w:r w:rsidR="00CD439F" w:rsidRPr="00612642">
        <w:rPr>
          <w:lang w:val="en-US"/>
        </w:rPr>
        <w:t xml:space="preserve"> v. Peru (Communication No. 1457/2006) </w:t>
      </w:r>
      <w:proofErr w:type="spellStart"/>
      <w:r w:rsidR="00CD439F" w:rsidRPr="00612642">
        <w:rPr>
          <w:rFonts w:cs="Times New Roman"/>
          <w:lang w:val="en-US"/>
        </w:rPr>
        <w:t>avsnitt</w:t>
      </w:r>
      <w:proofErr w:type="spellEnd"/>
      <w:r w:rsidR="00CD439F" w:rsidRPr="00612642">
        <w:rPr>
          <w:lang w:val="en-US"/>
        </w:rPr>
        <w:t xml:space="preserve"> 7.6 og Pereira et al. v. Paraguay (Communication No. 2552/2015) </w:t>
      </w:r>
      <w:proofErr w:type="spellStart"/>
      <w:r w:rsidR="00CD439F" w:rsidRPr="00612642">
        <w:rPr>
          <w:rFonts w:cs="Times New Roman"/>
          <w:lang w:val="en-US"/>
        </w:rPr>
        <w:t>avsnitt</w:t>
      </w:r>
      <w:proofErr w:type="spellEnd"/>
      <w:r w:rsidR="00CD439F" w:rsidRPr="00612642">
        <w:rPr>
          <w:lang w:val="en-US"/>
        </w:rPr>
        <w:t xml:space="preserve"> 8.7.</w:t>
      </w:r>
    </w:p>
  </w:footnote>
  <w:footnote w:id="89">
    <w:p w14:paraId="4503CD16" w14:textId="6F43B92A" w:rsidR="00CD439F" w:rsidRPr="00D42E68"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D42E68">
        <w:rPr>
          <w:lang w:val="en-US"/>
        </w:rPr>
        <w:t xml:space="preserve">HR-2021-1975-S (Fosen) </w:t>
      </w:r>
      <w:proofErr w:type="spellStart"/>
      <w:r w:rsidR="00CD439F" w:rsidRPr="00D42E68">
        <w:rPr>
          <w:lang w:val="en-US"/>
        </w:rPr>
        <w:t>avsnitt</w:t>
      </w:r>
      <w:proofErr w:type="spellEnd"/>
      <w:r w:rsidR="00CD439F" w:rsidRPr="00D42E68">
        <w:rPr>
          <w:lang w:val="en-US"/>
        </w:rPr>
        <w:t xml:space="preserve"> 131.</w:t>
      </w:r>
    </w:p>
  </w:footnote>
  <w:footnote w:id="90">
    <w:p w14:paraId="65E086C3" w14:textId="0963B771" w:rsidR="00CD439F" w:rsidRPr="00D42E68"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AF67D8">
        <w:rPr>
          <w:rStyle w:val="FotnotetekstTegn"/>
          <w:lang w:val="en-US"/>
        </w:rPr>
        <w:t xml:space="preserve">Human Rights Committee, Daniel Billy and others v. Australia (Communication No. 3624/2019, </w:t>
      </w:r>
      <w:proofErr w:type="spellStart"/>
      <w:r w:rsidR="00CD439F" w:rsidRPr="00AF67D8">
        <w:rPr>
          <w:rStyle w:val="FotnotetekstTegn"/>
          <w:lang w:val="en-US"/>
        </w:rPr>
        <w:t>blant</w:t>
      </w:r>
      <w:proofErr w:type="spellEnd"/>
      <w:r w:rsidR="00CD439F" w:rsidRPr="00AF67D8">
        <w:rPr>
          <w:rStyle w:val="FotnotetekstTegn"/>
          <w:lang w:val="en-US"/>
        </w:rPr>
        <w:t xml:space="preserve"> </w:t>
      </w:r>
      <w:proofErr w:type="spellStart"/>
      <w:r w:rsidR="00CD439F" w:rsidRPr="00AF67D8">
        <w:rPr>
          <w:rStyle w:val="FotnotetekstTegn"/>
          <w:lang w:val="en-US"/>
        </w:rPr>
        <w:t>annet</w:t>
      </w:r>
      <w:proofErr w:type="spellEnd"/>
      <w:r w:rsidR="00CD439F" w:rsidRPr="00AF67D8">
        <w:rPr>
          <w:rStyle w:val="FotnotetekstTegn"/>
          <w:lang w:val="en-US"/>
        </w:rPr>
        <w:t xml:space="preserve"> </w:t>
      </w:r>
      <w:proofErr w:type="spellStart"/>
      <w:r w:rsidR="00CD439F" w:rsidRPr="00AF67D8">
        <w:rPr>
          <w:rStyle w:val="FotnotetekstTegn"/>
          <w:lang w:val="en-US"/>
        </w:rPr>
        <w:t>avsnitt</w:t>
      </w:r>
      <w:proofErr w:type="spellEnd"/>
      <w:r w:rsidR="00CD439F" w:rsidRPr="00AF67D8">
        <w:rPr>
          <w:rStyle w:val="FotnotetekstTegn"/>
          <w:lang w:val="en-US"/>
        </w:rPr>
        <w:t xml:space="preserve"> 8.2, 8.5 og 8.14.</w:t>
      </w:r>
    </w:p>
  </w:footnote>
  <w:footnote w:id="91">
    <w:p w14:paraId="35D6B23A" w14:textId="4FF14502" w:rsidR="00CD439F" w:rsidRPr="00A935AA"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A935AA">
        <w:rPr>
          <w:rFonts w:eastAsia="Aptos" w:cs="Open Sans"/>
          <w:color w:val="000000" w:themeColor="text1"/>
          <w:lang w:val="en-US"/>
        </w:rPr>
        <w:t xml:space="preserve">International </w:t>
      </w:r>
      <w:proofErr w:type="spellStart"/>
      <w:r w:rsidR="00CD439F" w:rsidRPr="00A935AA">
        <w:rPr>
          <w:rFonts w:eastAsia="Aptos" w:cs="Open Sans"/>
          <w:color w:val="000000" w:themeColor="text1"/>
          <w:lang w:val="en-US"/>
        </w:rPr>
        <w:t>Labour</w:t>
      </w:r>
      <w:proofErr w:type="spellEnd"/>
      <w:r w:rsidR="00CD439F" w:rsidRPr="00A935AA">
        <w:rPr>
          <w:rFonts w:eastAsia="Aptos" w:cs="Open Sans"/>
          <w:color w:val="000000" w:themeColor="text1"/>
          <w:lang w:val="en-US"/>
        </w:rPr>
        <w:t xml:space="preserve"> </w:t>
      </w:r>
      <w:proofErr w:type="spellStart"/>
      <w:r w:rsidR="00CD439F" w:rsidRPr="00A935AA">
        <w:rPr>
          <w:rFonts w:eastAsia="Aptos" w:cs="Open Sans"/>
          <w:color w:val="000000" w:themeColor="text1"/>
          <w:lang w:val="en-US"/>
        </w:rPr>
        <w:t>Organisation</w:t>
      </w:r>
      <w:proofErr w:type="spellEnd"/>
      <w:r w:rsidR="00CD439F" w:rsidRPr="00A935AA">
        <w:rPr>
          <w:rFonts w:eastAsia="Aptos" w:cs="Open Sans"/>
          <w:color w:val="000000" w:themeColor="text1"/>
          <w:lang w:val="en-US"/>
        </w:rPr>
        <w:t xml:space="preserve">: </w:t>
      </w:r>
      <w:hyperlink r:id="rId4" w:history="1">
        <w:r w:rsidR="00CD439F" w:rsidRPr="00A935AA">
          <w:rPr>
            <w:rStyle w:val="Hyperkobling"/>
            <w:rFonts w:eastAsia="Aptos" w:cs="Open Sans"/>
            <w:color w:val="000000" w:themeColor="text1"/>
            <w:lang w:val="en-US"/>
          </w:rPr>
          <w:t>Ratifications of ILO conventions: Ratifications by Convention</w:t>
        </w:r>
      </w:hyperlink>
      <w:r w:rsidR="00CD439F" w:rsidRPr="00A935AA">
        <w:rPr>
          <w:rFonts w:cs="Open Sans"/>
          <w:color w:val="000000" w:themeColor="text1"/>
          <w:lang w:val="en-US"/>
        </w:rPr>
        <w:t>.</w:t>
      </w:r>
    </w:p>
  </w:footnote>
  <w:footnote w:id="92">
    <w:p w14:paraId="0AC27E97" w14:textId="4D4889E1" w:rsidR="00CD439F" w:rsidRPr="00612642"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Pr>
          <w:rFonts w:eastAsia="Aptos"/>
          <w:lang w:val="en-US"/>
        </w:rPr>
        <w:t xml:space="preserve">Prop. </w:t>
      </w:r>
      <w:r w:rsidR="00CD439F" w:rsidRPr="00612642">
        <w:rPr>
          <w:rFonts w:eastAsia="Aptos"/>
          <w:lang w:val="en-US"/>
        </w:rPr>
        <w:t>86</w:t>
      </w:r>
      <w:r w:rsidR="00CD439F">
        <w:rPr>
          <w:rFonts w:eastAsia="Aptos"/>
          <w:lang w:val="en-US"/>
        </w:rPr>
        <w:t xml:space="preserve"> </w:t>
      </w:r>
      <w:r w:rsidR="00CD439F" w:rsidRPr="00612642">
        <w:rPr>
          <w:rFonts w:eastAsia="Aptos"/>
          <w:lang w:val="en-US"/>
        </w:rPr>
        <w:t>L (2020</w:t>
      </w:r>
      <w:r w:rsidR="00CD439F">
        <w:rPr>
          <w:rFonts w:eastAsia="Aptos"/>
          <w:lang w:val="en-US"/>
        </w:rPr>
        <w:t>–</w:t>
      </w:r>
      <w:r w:rsidR="00CD439F" w:rsidRPr="00612642">
        <w:rPr>
          <w:rFonts w:eastAsia="Aptos"/>
          <w:lang w:val="en-US"/>
        </w:rPr>
        <w:t xml:space="preserve">2021) </w:t>
      </w:r>
      <w:proofErr w:type="spellStart"/>
      <w:r w:rsidR="00CD439F" w:rsidRPr="00612642">
        <w:rPr>
          <w:rFonts w:eastAsia="Aptos"/>
          <w:lang w:val="en-US"/>
        </w:rPr>
        <w:t>blant</w:t>
      </w:r>
      <w:proofErr w:type="spellEnd"/>
      <w:r w:rsidR="00CD439F" w:rsidRPr="00612642">
        <w:rPr>
          <w:rFonts w:eastAsia="Aptos"/>
          <w:lang w:val="en-US"/>
        </w:rPr>
        <w:t xml:space="preserve"> </w:t>
      </w:r>
      <w:proofErr w:type="spellStart"/>
      <w:r w:rsidR="00CD439F" w:rsidRPr="00612642">
        <w:rPr>
          <w:rFonts w:eastAsia="Aptos"/>
          <w:lang w:val="en-US"/>
        </w:rPr>
        <w:t>annet</w:t>
      </w:r>
      <w:proofErr w:type="spellEnd"/>
      <w:r w:rsidR="00CD439F" w:rsidRPr="00612642">
        <w:rPr>
          <w:rFonts w:eastAsia="Aptos"/>
          <w:lang w:val="en-US"/>
        </w:rPr>
        <w:t xml:space="preserve"> s. 6-8 og s. 48 </w:t>
      </w:r>
      <w:proofErr w:type="spellStart"/>
      <w:r w:rsidR="00CD439F" w:rsidRPr="00612642">
        <w:rPr>
          <w:rFonts w:eastAsia="Aptos"/>
          <w:lang w:val="en-US"/>
        </w:rPr>
        <w:t>flg</w:t>
      </w:r>
      <w:proofErr w:type="spellEnd"/>
      <w:r w:rsidR="00CD439F" w:rsidRPr="00612642">
        <w:rPr>
          <w:rFonts w:eastAsia="Aptos"/>
          <w:lang w:val="en-US"/>
        </w:rPr>
        <w:t>.</w:t>
      </w:r>
    </w:p>
  </w:footnote>
  <w:footnote w:id="93">
    <w:p w14:paraId="756C357C" w14:textId="3B61B1DD" w:rsidR="00CD439F" w:rsidRPr="00612642"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612642">
        <w:rPr>
          <w:rFonts w:eastAsia="Aptos"/>
          <w:lang w:val="en-US"/>
        </w:rPr>
        <w:t xml:space="preserve">NOU 1997: 5 </w:t>
      </w:r>
      <w:proofErr w:type="spellStart"/>
      <w:r w:rsidR="00CD439F" w:rsidRPr="00612642">
        <w:rPr>
          <w:rFonts w:eastAsia="Aptos"/>
          <w:lang w:val="en-US"/>
        </w:rPr>
        <w:t>Urfolks</w:t>
      </w:r>
      <w:proofErr w:type="spellEnd"/>
      <w:r w:rsidR="00CD439F" w:rsidRPr="00612642">
        <w:rPr>
          <w:rFonts w:eastAsia="Aptos"/>
          <w:lang w:val="en-US"/>
        </w:rPr>
        <w:t xml:space="preserve"> </w:t>
      </w:r>
      <w:proofErr w:type="spellStart"/>
      <w:r w:rsidR="00CD439F" w:rsidRPr="00612642">
        <w:rPr>
          <w:rFonts w:eastAsia="Aptos"/>
          <w:lang w:val="en-US"/>
        </w:rPr>
        <w:t>landrettigheter</w:t>
      </w:r>
      <w:proofErr w:type="spellEnd"/>
      <w:r w:rsidR="00CD439F" w:rsidRPr="00612642">
        <w:rPr>
          <w:rFonts w:eastAsia="Aptos"/>
          <w:lang w:val="en-US"/>
        </w:rPr>
        <w:t xml:space="preserve"> </w:t>
      </w:r>
      <w:proofErr w:type="spellStart"/>
      <w:r w:rsidR="00CD439F" w:rsidRPr="00612642">
        <w:rPr>
          <w:rFonts w:eastAsia="Aptos"/>
          <w:lang w:val="en-US"/>
        </w:rPr>
        <w:t>etter</w:t>
      </w:r>
      <w:proofErr w:type="spellEnd"/>
      <w:r w:rsidR="00CD439F" w:rsidRPr="00612642">
        <w:rPr>
          <w:rFonts w:eastAsia="Aptos"/>
          <w:lang w:val="en-US"/>
        </w:rPr>
        <w:t xml:space="preserve"> </w:t>
      </w:r>
      <w:proofErr w:type="spellStart"/>
      <w:r w:rsidR="00CD439F" w:rsidRPr="00612642">
        <w:rPr>
          <w:rFonts w:eastAsia="Aptos"/>
          <w:lang w:val="en-US"/>
        </w:rPr>
        <w:t>folkerett</w:t>
      </w:r>
      <w:proofErr w:type="spellEnd"/>
      <w:r w:rsidR="00CD439F" w:rsidRPr="00612642">
        <w:rPr>
          <w:rFonts w:eastAsia="Aptos"/>
          <w:lang w:val="en-US"/>
        </w:rPr>
        <w:t xml:space="preserve"> og </w:t>
      </w:r>
      <w:proofErr w:type="spellStart"/>
      <w:r w:rsidR="00CD439F" w:rsidRPr="00612642">
        <w:rPr>
          <w:rFonts w:eastAsia="Aptos"/>
          <w:lang w:val="en-US"/>
        </w:rPr>
        <w:t>utenlandsk</w:t>
      </w:r>
      <w:proofErr w:type="spellEnd"/>
      <w:r w:rsidR="00CD439F" w:rsidRPr="00612642">
        <w:rPr>
          <w:rFonts w:eastAsia="Aptos"/>
          <w:lang w:val="en-US"/>
        </w:rPr>
        <w:t xml:space="preserve"> </w:t>
      </w:r>
      <w:proofErr w:type="spellStart"/>
      <w:r w:rsidR="00CD439F" w:rsidRPr="00612642">
        <w:rPr>
          <w:rFonts w:eastAsia="Aptos"/>
          <w:lang w:val="en-US"/>
        </w:rPr>
        <w:t>rett</w:t>
      </w:r>
      <w:proofErr w:type="spellEnd"/>
      <w:r w:rsidR="00CD439F" w:rsidRPr="00612642">
        <w:rPr>
          <w:rFonts w:eastAsia="Aptos"/>
          <w:lang w:val="en-US"/>
        </w:rPr>
        <w:t xml:space="preserve"> s. 32 og NOU 2007: 13 Den nye </w:t>
      </w:r>
      <w:proofErr w:type="spellStart"/>
      <w:r w:rsidR="00CD439F" w:rsidRPr="00612642">
        <w:rPr>
          <w:rFonts w:eastAsia="Aptos"/>
          <w:lang w:val="en-US"/>
        </w:rPr>
        <w:t>sameretten</w:t>
      </w:r>
      <w:proofErr w:type="spellEnd"/>
      <w:r w:rsidR="00CD439F" w:rsidRPr="00612642">
        <w:rPr>
          <w:rFonts w:eastAsia="Aptos"/>
          <w:lang w:val="en-US"/>
        </w:rPr>
        <w:t xml:space="preserve"> bind A s. 173.</w:t>
      </w:r>
    </w:p>
  </w:footnote>
  <w:footnote w:id="94">
    <w:p w14:paraId="47D61489" w14:textId="7DE1BACE" w:rsidR="00CD439F" w:rsidRPr="00944D1C" w:rsidRDefault="00404399" w:rsidP="00CD439F">
      <w:pPr>
        <w:pStyle w:val="Fotnotetekst"/>
      </w:pPr>
      <w:r w:rsidRPr="00CD439F">
        <w:rPr>
          <w:rStyle w:val="Fotnotereferanse"/>
        </w:rPr>
        <w:footnoteRef/>
      </w:r>
      <w:r>
        <w:rPr>
          <w:rStyle w:val="Fotnotereferanse"/>
        </w:rPr>
        <w:t xml:space="preserve"> </w:t>
      </w:r>
      <w:r w:rsidR="00CD439F" w:rsidRPr="00944D1C">
        <w:rPr>
          <w:rFonts w:cs="Times New Roman"/>
        </w:rPr>
        <w:t xml:space="preserve">Se for Norges rapportering og </w:t>
      </w:r>
      <w:proofErr w:type="spellStart"/>
      <w:r w:rsidR="00CD439F" w:rsidRPr="00944D1C">
        <w:rPr>
          <w:rFonts w:cs="Times New Roman"/>
        </w:rPr>
        <w:t>CEACRs</w:t>
      </w:r>
      <w:proofErr w:type="spellEnd"/>
      <w:r w:rsidR="00CD439F" w:rsidRPr="00944D1C">
        <w:rPr>
          <w:rFonts w:cs="Times New Roman"/>
        </w:rPr>
        <w:t xml:space="preserve"> kommentarer: </w:t>
      </w:r>
      <w:hyperlink r:id="rId5" w:anchor=":~:text=Norge%20ratifiserte%2C%20som%20f%C3%B8rste%20land,gjelder%20for%20samene%20i%20Norge." w:history="1">
        <w:r w:rsidR="00CD439F" w:rsidRPr="00944D1C">
          <w:rPr>
            <w:rStyle w:val="Hyperkobling"/>
            <w:rFonts w:cs="Times New Roman"/>
          </w:rPr>
          <w:t>ILO-konvensjonen om urfolks rettigheter</w:t>
        </w:r>
        <w:r w:rsidR="00CD439F">
          <w:rPr>
            <w:rStyle w:val="Hyperkobling"/>
            <w:rFonts w:cs="Times New Roman"/>
          </w:rPr>
          <w:t xml:space="preserve"> – </w:t>
        </w:r>
        <w:r w:rsidR="00CD439F" w:rsidRPr="00944D1C">
          <w:rPr>
            <w:rStyle w:val="Hyperkobling"/>
            <w:rFonts w:cs="Times New Roman"/>
          </w:rPr>
          <w:t>regjeringen.no</w:t>
        </w:r>
      </w:hyperlink>
      <w:r w:rsidR="00CD439F" w:rsidRPr="00944D1C">
        <w:rPr>
          <w:rFonts w:cs="Times New Roman"/>
        </w:rPr>
        <w:t xml:space="preserve">. </w:t>
      </w:r>
    </w:p>
  </w:footnote>
  <w:footnote w:id="95">
    <w:p w14:paraId="03A7DE08" w14:textId="48830530" w:rsidR="00CD439F" w:rsidRPr="008F045D" w:rsidRDefault="00404399" w:rsidP="00CD439F">
      <w:pPr>
        <w:pStyle w:val="Fotnotetekst"/>
      </w:pPr>
      <w:r w:rsidRPr="00CD439F">
        <w:rPr>
          <w:rStyle w:val="Fotnotereferanse"/>
        </w:rPr>
        <w:footnoteRef/>
      </w:r>
      <w:r>
        <w:rPr>
          <w:rStyle w:val="Fotnotereferanse"/>
        </w:rPr>
        <w:t xml:space="preserve"> </w:t>
      </w:r>
      <w:r w:rsidR="00CD439F" w:rsidRPr="008F045D">
        <w:rPr>
          <w:rFonts w:eastAsia="Aptos"/>
        </w:rPr>
        <w:t>NOU 2007: 13 s. 245-246.</w:t>
      </w:r>
    </w:p>
  </w:footnote>
  <w:footnote w:id="96">
    <w:p w14:paraId="31861F5A" w14:textId="3EB11EDC" w:rsidR="00CD439F" w:rsidRPr="00613E32" w:rsidRDefault="00404399" w:rsidP="00CD439F">
      <w:pPr>
        <w:pStyle w:val="Fotnotetekst"/>
      </w:pPr>
      <w:r w:rsidRPr="00CD439F">
        <w:rPr>
          <w:rStyle w:val="Fotnotereferanse"/>
        </w:rPr>
        <w:footnoteRef/>
      </w:r>
      <w:r>
        <w:rPr>
          <w:rStyle w:val="Fotnotereferanse"/>
        </w:rPr>
        <w:t xml:space="preserve"> </w:t>
      </w:r>
      <w:r w:rsidR="00CD439F" w:rsidRPr="008F045D">
        <w:rPr>
          <w:rFonts w:eastAsia="Aptos"/>
        </w:rPr>
        <w:t xml:space="preserve">Jens Edvin Andreassen [Skoghøy], </w:t>
      </w:r>
      <w:r w:rsidR="00CD439F" w:rsidRPr="00CD439F">
        <w:rPr>
          <w:rStyle w:val="kursiv"/>
          <w:rFonts w:eastAsia="Aptos"/>
        </w:rPr>
        <w:t>Menneskerettigheter og urbefolkninger</w:t>
      </w:r>
      <w:r w:rsidR="00CD439F" w:rsidRPr="008F045D">
        <w:rPr>
          <w:rFonts w:eastAsia="Aptos"/>
        </w:rPr>
        <w:t xml:space="preserve"> [i] Lov og Rett 1992 s. 67 flg. på s. 93-94.</w:t>
      </w:r>
    </w:p>
  </w:footnote>
  <w:footnote w:id="97">
    <w:p w14:paraId="68586996" w14:textId="61CA6432" w:rsidR="00CD439F" w:rsidRPr="00BE5AFA"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BE5AFA">
        <w:rPr>
          <w:rFonts w:eastAsia="Aptos"/>
          <w:lang w:val="en-GB"/>
        </w:rPr>
        <w:t xml:space="preserve">Se for </w:t>
      </w:r>
      <w:proofErr w:type="spellStart"/>
      <w:r w:rsidR="00CD439F" w:rsidRPr="00BE5AFA">
        <w:rPr>
          <w:rFonts w:eastAsia="Aptos"/>
          <w:lang w:val="en-GB"/>
        </w:rPr>
        <w:t>eksempel</w:t>
      </w:r>
      <w:proofErr w:type="spellEnd"/>
      <w:r w:rsidR="00CD439F" w:rsidRPr="00BE5AFA">
        <w:rPr>
          <w:rFonts w:eastAsia="Aptos"/>
          <w:lang w:val="en-GB"/>
        </w:rPr>
        <w:t xml:space="preserve"> International Labour Office, Indigenous and Tribal Peoples: A Guide to ILO Convention No. 169, 2nd edition 1996, s. 24.</w:t>
      </w:r>
      <w:r w:rsidR="00CD439F">
        <w:rPr>
          <w:rFonts w:eastAsia="Aptos"/>
          <w:lang w:val="en-GB"/>
        </w:rPr>
        <w:t xml:space="preserve"> </w:t>
      </w:r>
    </w:p>
  </w:footnote>
  <w:footnote w:id="98">
    <w:p w14:paraId="4AF673F0" w14:textId="7EE3AD1A" w:rsidR="00CD439F" w:rsidRPr="00693A45" w:rsidRDefault="00404399" w:rsidP="00CD439F">
      <w:pPr>
        <w:pStyle w:val="Fotnotetekst"/>
        <w:rPr>
          <w:lang w:val="en-US"/>
        </w:rPr>
      </w:pPr>
      <w:r w:rsidRPr="00CD439F">
        <w:rPr>
          <w:rStyle w:val="Fotnotereferanse"/>
        </w:rPr>
        <w:footnoteRef/>
      </w:r>
      <w:r w:rsidRPr="00404399">
        <w:rPr>
          <w:rStyle w:val="Fotnotereferanse"/>
          <w:lang w:val="en-US"/>
        </w:rPr>
        <w:t xml:space="preserve"> </w:t>
      </w:r>
      <w:proofErr w:type="spellStart"/>
      <w:r w:rsidR="00CD439F" w:rsidRPr="00693A45">
        <w:rPr>
          <w:rFonts w:eastAsia="Aptos"/>
          <w:lang w:val="en-US"/>
        </w:rPr>
        <w:t>Sitert</w:t>
      </w:r>
      <w:proofErr w:type="spellEnd"/>
      <w:r w:rsidR="00CD439F" w:rsidRPr="00693A45">
        <w:rPr>
          <w:rFonts w:eastAsia="Aptos"/>
          <w:lang w:val="en-US"/>
        </w:rPr>
        <w:t xml:space="preserve"> </w:t>
      </w:r>
      <w:proofErr w:type="spellStart"/>
      <w:r w:rsidR="00CD439F" w:rsidRPr="00693A45">
        <w:rPr>
          <w:rFonts w:eastAsia="Aptos"/>
          <w:lang w:val="en-US"/>
        </w:rPr>
        <w:t>etter</w:t>
      </w:r>
      <w:proofErr w:type="spellEnd"/>
      <w:r w:rsidR="00CD439F" w:rsidRPr="00693A45">
        <w:rPr>
          <w:rFonts w:eastAsia="Aptos"/>
          <w:lang w:val="en-US"/>
        </w:rPr>
        <w:t xml:space="preserve"> NOU 2007: 13 s. 241 (</w:t>
      </w:r>
      <w:proofErr w:type="spellStart"/>
      <w:r w:rsidR="00CD439F" w:rsidRPr="00693A45">
        <w:rPr>
          <w:rFonts w:eastAsia="Aptos"/>
          <w:lang w:val="en-US"/>
        </w:rPr>
        <w:t>Ilolex</w:t>
      </w:r>
      <w:proofErr w:type="spellEnd"/>
      <w:r w:rsidR="00CD439F" w:rsidRPr="00693A45">
        <w:rPr>
          <w:rFonts w:eastAsia="Aptos"/>
          <w:lang w:val="en-US"/>
        </w:rPr>
        <w:t>: 242001169).</w:t>
      </w:r>
    </w:p>
  </w:footnote>
  <w:footnote w:id="99">
    <w:p w14:paraId="104654C9" w14:textId="6CC02F59" w:rsidR="00CD439F" w:rsidRPr="00693A45" w:rsidRDefault="00404399" w:rsidP="00CD439F">
      <w:pPr>
        <w:pStyle w:val="Fotnotetekst"/>
      </w:pPr>
      <w:r w:rsidRPr="00CD439F">
        <w:rPr>
          <w:rStyle w:val="Fotnotereferanse"/>
        </w:rPr>
        <w:footnoteRef/>
      </w:r>
      <w:r w:rsidRPr="00404399">
        <w:rPr>
          <w:rStyle w:val="Fotnotereferanse"/>
          <w:lang w:val="en-US"/>
        </w:rPr>
        <w:t xml:space="preserve"> </w:t>
      </w:r>
      <w:r w:rsidR="00CD439F" w:rsidRPr="5B808845">
        <w:rPr>
          <w:lang w:val="en-GB"/>
        </w:rPr>
        <w:t xml:space="preserve">Report of the Committee set up to examine the representation alleging non-observance by Ecuador of the Indigenous and Tribal Peoples Convention, 1989 (No. 169) made by the </w:t>
      </w:r>
      <w:proofErr w:type="spellStart"/>
      <w:r w:rsidR="00CD439F" w:rsidRPr="5B808845">
        <w:rPr>
          <w:lang w:val="en-GB"/>
        </w:rPr>
        <w:t>Confederatión</w:t>
      </w:r>
      <w:proofErr w:type="spellEnd"/>
      <w:r w:rsidR="00CD439F" w:rsidRPr="5B808845">
        <w:rPr>
          <w:lang w:val="en-GB"/>
        </w:rPr>
        <w:t xml:space="preserve"> Ecuatoriana de </w:t>
      </w:r>
      <w:proofErr w:type="spellStart"/>
      <w:r w:rsidR="00CD439F" w:rsidRPr="5B808845">
        <w:rPr>
          <w:lang w:val="en-GB"/>
        </w:rPr>
        <w:t>Organizaciones</w:t>
      </w:r>
      <w:proofErr w:type="spellEnd"/>
      <w:r w:rsidR="00CD439F" w:rsidRPr="5B808845">
        <w:rPr>
          <w:lang w:val="en-GB"/>
        </w:rPr>
        <w:t xml:space="preserve"> </w:t>
      </w:r>
      <w:proofErr w:type="spellStart"/>
      <w:r w:rsidR="00CD439F" w:rsidRPr="5B808845">
        <w:rPr>
          <w:lang w:val="en-GB"/>
        </w:rPr>
        <w:t>Sindicales</w:t>
      </w:r>
      <w:proofErr w:type="spellEnd"/>
      <w:r w:rsidR="00CD439F" w:rsidRPr="5B808845">
        <w:rPr>
          <w:lang w:val="en-GB"/>
        </w:rPr>
        <w:t xml:space="preserve"> Libres (</w:t>
      </w:r>
      <w:proofErr w:type="spellStart"/>
      <w:r w:rsidR="00CD439F" w:rsidRPr="5B808845">
        <w:rPr>
          <w:lang w:val="en-GB"/>
        </w:rPr>
        <w:t>Ilolex</w:t>
      </w:r>
      <w:proofErr w:type="spellEnd"/>
      <w:r w:rsidR="00CD439F" w:rsidRPr="5B808845">
        <w:rPr>
          <w:lang w:val="en-GB"/>
        </w:rPr>
        <w:t xml:space="preserve">: 162000ECU169). </w:t>
      </w:r>
      <w:r w:rsidR="00CD439F" w:rsidRPr="00693A45">
        <w:t xml:space="preserve">Se også NOU 2007: 13 s. 217 med videre henvisninger I </w:t>
      </w:r>
      <w:proofErr w:type="spellStart"/>
      <w:r w:rsidR="00CD439F" w:rsidRPr="00693A45">
        <w:t>footnote</w:t>
      </w:r>
      <w:proofErr w:type="spellEnd"/>
      <w:r w:rsidR="00CD439F" w:rsidRPr="00693A45">
        <w:t xml:space="preserve"> 234 og </w:t>
      </w:r>
      <w:proofErr w:type="spellStart"/>
      <w:r w:rsidR="00CD439F">
        <w:t>Prop</w:t>
      </w:r>
      <w:proofErr w:type="spellEnd"/>
      <w:r w:rsidR="00CD439F">
        <w:t xml:space="preserve">. </w:t>
      </w:r>
      <w:r w:rsidR="00CD439F" w:rsidRPr="00693A45">
        <w:t>86</w:t>
      </w:r>
      <w:r w:rsidR="00CD439F">
        <w:t xml:space="preserve"> </w:t>
      </w:r>
      <w:r w:rsidR="00CD439F" w:rsidRPr="00693A45">
        <w:t>L (2020</w:t>
      </w:r>
      <w:r w:rsidR="00CD439F">
        <w:t>–</w:t>
      </w:r>
      <w:r w:rsidR="00CD439F" w:rsidRPr="00693A45">
        <w:t>2021) s. 41.</w:t>
      </w:r>
    </w:p>
  </w:footnote>
  <w:footnote w:id="100">
    <w:p w14:paraId="52803EE8" w14:textId="5E1D58CF" w:rsidR="00CD439F" w:rsidRPr="00FB4634"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5B808845">
        <w:rPr>
          <w:lang w:val="en-GB"/>
        </w:rPr>
        <w:t xml:space="preserve">Se for </w:t>
      </w:r>
      <w:proofErr w:type="spellStart"/>
      <w:r w:rsidR="00CD439F" w:rsidRPr="5B808845">
        <w:rPr>
          <w:lang w:val="en-GB"/>
        </w:rPr>
        <w:t>eksempel</w:t>
      </w:r>
      <w:proofErr w:type="spellEnd"/>
      <w:r w:rsidR="00CD439F" w:rsidRPr="5B808845">
        <w:rPr>
          <w:lang w:val="en-GB"/>
        </w:rPr>
        <w:t xml:space="preserve"> Report of the Committee set up to examine the representation alleging non-observance by Colombia of the Indigenous and Tribal Peoples Convention, 1989 (No. 169) made by the Central Unitary Workers</w:t>
      </w:r>
      <w:r w:rsidR="00CD439F">
        <w:rPr>
          <w:lang w:val="en-GB"/>
        </w:rPr>
        <w:t>’</w:t>
      </w:r>
      <w:r w:rsidR="00CD439F" w:rsidRPr="5B808845">
        <w:rPr>
          <w:lang w:val="en-GB"/>
        </w:rPr>
        <w:t xml:space="preserve"> Union and the Colombian Medical Trade Union Association (</w:t>
      </w:r>
      <w:proofErr w:type="spellStart"/>
      <w:r w:rsidR="00CD439F" w:rsidRPr="5B808845">
        <w:rPr>
          <w:lang w:val="en-GB"/>
        </w:rPr>
        <w:t>Ilolex</w:t>
      </w:r>
      <w:proofErr w:type="spellEnd"/>
      <w:r w:rsidR="00CD439F" w:rsidRPr="5B808845">
        <w:rPr>
          <w:lang w:val="en-GB"/>
        </w:rPr>
        <w:t>: 161999COL169B).</w:t>
      </w:r>
    </w:p>
  </w:footnote>
  <w:footnote w:id="101">
    <w:p w14:paraId="4E5826DB" w14:textId="37CD8B5D" w:rsidR="00CD439F" w:rsidRPr="00693A45" w:rsidRDefault="00404399" w:rsidP="00CD439F">
      <w:pPr>
        <w:pStyle w:val="Fotnotetekst"/>
        <w:rPr>
          <w:lang w:val="en-GB"/>
        </w:rPr>
      </w:pPr>
      <w:r w:rsidRPr="00CD439F">
        <w:rPr>
          <w:rStyle w:val="Fotnotereferanse"/>
        </w:rPr>
        <w:footnoteRef/>
      </w:r>
      <w:r w:rsidRPr="009264D9">
        <w:rPr>
          <w:rStyle w:val="Fotnotereferanse"/>
          <w:lang w:val="en-GB"/>
        </w:rPr>
        <w:t xml:space="preserve"> </w:t>
      </w:r>
      <w:r w:rsidR="00CD439F">
        <w:rPr>
          <w:lang w:val="en-GB"/>
        </w:rPr>
        <w:t xml:space="preserve">Prop. </w:t>
      </w:r>
      <w:r w:rsidR="00CD439F" w:rsidRPr="00693A45">
        <w:rPr>
          <w:lang w:val="en-GB"/>
        </w:rPr>
        <w:t>86</w:t>
      </w:r>
      <w:r w:rsidR="00CD439F">
        <w:rPr>
          <w:lang w:val="en-GB"/>
        </w:rPr>
        <w:t xml:space="preserve"> </w:t>
      </w:r>
      <w:r w:rsidR="00CD439F" w:rsidRPr="00693A45">
        <w:rPr>
          <w:lang w:val="en-GB"/>
        </w:rPr>
        <w:t>L (2020</w:t>
      </w:r>
      <w:r w:rsidR="00CD439F">
        <w:rPr>
          <w:lang w:val="en-GB"/>
        </w:rPr>
        <w:t>–</w:t>
      </w:r>
      <w:r w:rsidR="00CD439F" w:rsidRPr="00693A45">
        <w:rPr>
          <w:lang w:val="en-GB"/>
        </w:rPr>
        <w:t xml:space="preserve">2021) s. 68. </w:t>
      </w:r>
      <w:proofErr w:type="spellStart"/>
      <w:r w:rsidR="00CD439F" w:rsidRPr="00693A45">
        <w:rPr>
          <w:lang w:val="en-GB"/>
        </w:rPr>
        <w:t>Forslaget</w:t>
      </w:r>
      <w:proofErr w:type="spellEnd"/>
      <w:r w:rsidR="00CD439F" w:rsidRPr="00693A45">
        <w:rPr>
          <w:lang w:val="en-GB"/>
        </w:rPr>
        <w:t xml:space="preserve"> </w:t>
      </w:r>
      <w:proofErr w:type="spellStart"/>
      <w:r w:rsidR="00CD439F" w:rsidRPr="00693A45">
        <w:rPr>
          <w:lang w:val="en-GB"/>
        </w:rPr>
        <w:t>i</w:t>
      </w:r>
      <w:proofErr w:type="spellEnd"/>
      <w:r w:rsidR="00CD439F" w:rsidRPr="00693A45">
        <w:rPr>
          <w:lang w:val="en-GB"/>
        </w:rPr>
        <w:t xml:space="preserve"> NOU 2007: 13 om </w:t>
      </w:r>
      <w:proofErr w:type="spellStart"/>
      <w:r w:rsidR="00CD439F" w:rsidRPr="00693A45">
        <w:rPr>
          <w:lang w:val="en-GB"/>
        </w:rPr>
        <w:t>en</w:t>
      </w:r>
      <w:proofErr w:type="spellEnd"/>
      <w:r w:rsidR="00CD439F" w:rsidRPr="00693A45">
        <w:rPr>
          <w:lang w:val="en-GB"/>
        </w:rPr>
        <w:t xml:space="preserve"> </w:t>
      </w:r>
      <w:proofErr w:type="spellStart"/>
      <w:r w:rsidR="00CD439F" w:rsidRPr="00693A45">
        <w:rPr>
          <w:lang w:val="en-GB"/>
        </w:rPr>
        <w:t>egen</w:t>
      </w:r>
      <w:proofErr w:type="spellEnd"/>
      <w:r w:rsidR="00CD439F" w:rsidRPr="00693A45">
        <w:rPr>
          <w:lang w:val="en-GB"/>
        </w:rPr>
        <w:t xml:space="preserve"> </w:t>
      </w:r>
      <w:proofErr w:type="spellStart"/>
      <w:r w:rsidR="00CD439F" w:rsidRPr="00693A45">
        <w:rPr>
          <w:lang w:val="en-GB"/>
        </w:rPr>
        <w:t>lov</w:t>
      </w:r>
      <w:proofErr w:type="spellEnd"/>
      <w:r w:rsidR="00CD439F" w:rsidRPr="00693A45">
        <w:rPr>
          <w:lang w:val="en-GB"/>
        </w:rPr>
        <w:t xml:space="preserve"> om </w:t>
      </w:r>
      <w:proofErr w:type="spellStart"/>
      <w:r w:rsidR="00CD439F" w:rsidRPr="00693A45">
        <w:rPr>
          <w:lang w:val="en-GB"/>
        </w:rPr>
        <w:t>saksbehandling</w:t>
      </w:r>
      <w:proofErr w:type="spellEnd"/>
      <w:r w:rsidR="00CD439F" w:rsidRPr="00693A45">
        <w:rPr>
          <w:lang w:val="en-GB"/>
        </w:rPr>
        <w:t xml:space="preserve">- og </w:t>
      </w:r>
      <w:proofErr w:type="spellStart"/>
      <w:r w:rsidR="00CD439F" w:rsidRPr="00693A45">
        <w:rPr>
          <w:lang w:val="en-GB"/>
        </w:rPr>
        <w:t>konsultasjoner</w:t>
      </w:r>
      <w:proofErr w:type="spellEnd"/>
      <w:r w:rsidR="00CD439F" w:rsidRPr="00693A45">
        <w:rPr>
          <w:lang w:val="en-GB"/>
        </w:rPr>
        <w:t xml:space="preserve"> </w:t>
      </w:r>
      <w:proofErr w:type="spellStart"/>
      <w:r w:rsidR="00CD439F" w:rsidRPr="00693A45">
        <w:rPr>
          <w:lang w:val="en-GB"/>
        </w:rPr>
        <w:t>ved</w:t>
      </w:r>
      <w:proofErr w:type="spellEnd"/>
      <w:r w:rsidR="00CD439F" w:rsidRPr="00693A45">
        <w:rPr>
          <w:lang w:val="en-GB"/>
        </w:rPr>
        <w:t xml:space="preserve"> </w:t>
      </w:r>
      <w:proofErr w:type="spellStart"/>
      <w:r w:rsidR="00CD439F" w:rsidRPr="00693A45">
        <w:rPr>
          <w:lang w:val="en-GB"/>
        </w:rPr>
        <w:t>tiltak</w:t>
      </w:r>
      <w:proofErr w:type="spellEnd"/>
      <w:r w:rsidR="00CD439F" w:rsidRPr="00693A45">
        <w:rPr>
          <w:lang w:val="en-GB"/>
        </w:rPr>
        <w:t xml:space="preserve"> </w:t>
      </w:r>
      <w:proofErr w:type="spellStart"/>
      <w:r w:rsidR="00CD439F" w:rsidRPr="00693A45">
        <w:rPr>
          <w:lang w:val="en-GB"/>
        </w:rPr>
        <w:t>som</w:t>
      </w:r>
      <w:proofErr w:type="spellEnd"/>
      <w:r w:rsidR="00CD439F" w:rsidRPr="00693A45">
        <w:rPr>
          <w:lang w:val="en-GB"/>
        </w:rPr>
        <w:t xml:space="preserve"> </w:t>
      </w:r>
      <w:proofErr w:type="spellStart"/>
      <w:r w:rsidR="00CD439F" w:rsidRPr="00693A45">
        <w:rPr>
          <w:lang w:val="en-GB"/>
        </w:rPr>
        <w:t>kan</w:t>
      </w:r>
      <w:proofErr w:type="spellEnd"/>
      <w:r w:rsidR="00CD439F" w:rsidRPr="00693A45">
        <w:rPr>
          <w:lang w:val="en-GB"/>
        </w:rPr>
        <w:t xml:space="preserve"> </w:t>
      </w:r>
      <w:proofErr w:type="spellStart"/>
      <w:r w:rsidR="00CD439F" w:rsidRPr="00693A45">
        <w:rPr>
          <w:lang w:val="en-GB"/>
        </w:rPr>
        <w:t>få</w:t>
      </w:r>
      <w:proofErr w:type="spellEnd"/>
      <w:r w:rsidR="00CD439F" w:rsidRPr="00693A45">
        <w:rPr>
          <w:lang w:val="en-GB"/>
        </w:rPr>
        <w:t xml:space="preserve"> </w:t>
      </w:r>
      <w:proofErr w:type="spellStart"/>
      <w:r w:rsidR="00CD439F" w:rsidRPr="00693A45">
        <w:rPr>
          <w:lang w:val="en-GB"/>
        </w:rPr>
        <w:t>virkning</w:t>
      </w:r>
      <w:proofErr w:type="spellEnd"/>
      <w:r w:rsidR="00CD439F" w:rsidRPr="00693A45">
        <w:rPr>
          <w:lang w:val="en-GB"/>
        </w:rPr>
        <w:t xml:space="preserve"> for </w:t>
      </w:r>
      <w:proofErr w:type="spellStart"/>
      <w:r w:rsidR="00CD439F" w:rsidRPr="00693A45">
        <w:rPr>
          <w:lang w:val="en-GB"/>
        </w:rPr>
        <w:t>naturgrunnlaget</w:t>
      </w:r>
      <w:proofErr w:type="spellEnd"/>
      <w:r w:rsidR="00CD439F" w:rsidRPr="00693A45">
        <w:rPr>
          <w:lang w:val="en-GB"/>
        </w:rPr>
        <w:t xml:space="preserve"> </w:t>
      </w:r>
      <w:proofErr w:type="spellStart"/>
      <w:r w:rsidR="00CD439F" w:rsidRPr="00693A45">
        <w:rPr>
          <w:lang w:val="en-GB"/>
        </w:rPr>
        <w:t>i</w:t>
      </w:r>
      <w:proofErr w:type="spellEnd"/>
      <w:r w:rsidR="00CD439F" w:rsidRPr="00693A45">
        <w:rPr>
          <w:lang w:val="en-GB"/>
        </w:rPr>
        <w:t xml:space="preserve"> </w:t>
      </w:r>
      <w:proofErr w:type="spellStart"/>
      <w:r w:rsidR="00CD439F" w:rsidRPr="00693A45">
        <w:rPr>
          <w:lang w:val="en-GB"/>
        </w:rPr>
        <w:t>tradisjonelle</w:t>
      </w:r>
      <w:proofErr w:type="spellEnd"/>
      <w:r w:rsidR="00CD439F" w:rsidRPr="00693A45">
        <w:rPr>
          <w:lang w:val="en-GB"/>
        </w:rPr>
        <w:t xml:space="preserve"> </w:t>
      </w:r>
      <w:proofErr w:type="spellStart"/>
      <w:r w:rsidR="00CD439F" w:rsidRPr="00693A45">
        <w:rPr>
          <w:lang w:val="en-GB"/>
        </w:rPr>
        <w:t>samiske</w:t>
      </w:r>
      <w:proofErr w:type="spellEnd"/>
      <w:r w:rsidR="00CD439F" w:rsidRPr="00693A45">
        <w:rPr>
          <w:lang w:val="en-GB"/>
        </w:rPr>
        <w:t xml:space="preserve"> </w:t>
      </w:r>
      <w:proofErr w:type="spellStart"/>
      <w:r w:rsidR="00CD439F" w:rsidRPr="00693A45">
        <w:rPr>
          <w:lang w:val="en-GB"/>
        </w:rPr>
        <w:t>områder</w:t>
      </w:r>
      <w:proofErr w:type="spellEnd"/>
      <w:r w:rsidR="00CD439F" w:rsidRPr="00693A45">
        <w:rPr>
          <w:lang w:val="en-GB"/>
        </w:rPr>
        <w:t xml:space="preserve"> </w:t>
      </w:r>
      <w:proofErr w:type="spellStart"/>
      <w:r w:rsidR="00CD439F" w:rsidRPr="00693A45">
        <w:rPr>
          <w:lang w:val="en-GB"/>
        </w:rPr>
        <w:t>ble</w:t>
      </w:r>
      <w:proofErr w:type="spellEnd"/>
      <w:r w:rsidR="00CD439F" w:rsidRPr="00693A45">
        <w:rPr>
          <w:lang w:val="en-GB"/>
        </w:rPr>
        <w:t xml:space="preserve"> </w:t>
      </w:r>
      <w:proofErr w:type="spellStart"/>
      <w:r w:rsidR="00CD439F" w:rsidRPr="00693A45">
        <w:rPr>
          <w:lang w:val="en-GB"/>
        </w:rPr>
        <w:t>videreført</w:t>
      </w:r>
      <w:proofErr w:type="spellEnd"/>
      <w:r w:rsidR="00CD439F" w:rsidRPr="00693A45">
        <w:rPr>
          <w:lang w:val="en-GB"/>
        </w:rPr>
        <w:t xml:space="preserve"> </w:t>
      </w:r>
      <w:proofErr w:type="spellStart"/>
      <w:r w:rsidR="00CD439F" w:rsidRPr="00693A45">
        <w:rPr>
          <w:lang w:val="en-GB"/>
        </w:rPr>
        <w:t>i</w:t>
      </w:r>
      <w:proofErr w:type="spellEnd"/>
      <w:r w:rsidR="00CD439F" w:rsidRPr="00693A45">
        <w:rPr>
          <w:lang w:val="en-GB"/>
        </w:rPr>
        <w:t xml:space="preserve"> for </w:t>
      </w:r>
      <w:proofErr w:type="spellStart"/>
      <w:r w:rsidR="00CD439F" w:rsidRPr="00693A45">
        <w:rPr>
          <w:lang w:val="en-GB"/>
        </w:rPr>
        <w:t>av</w:t>
      </w:r>
      <w:proofErr w:type="spellEnd"/>
      <w:r w:rsidR="00CD439F" w:rsidRPr="00693A45">
        <w:rPr>
          <w:lang w:val="en-GB"/>
        </w:rPr>
        <w:t xml:space="preserve"> </w:t>
      </w:r>
      <w:proofErr w:type="spellStart"/>
      <w:r w:rsidR="00CD439F" w:rsidRPr="00693A45">
        <w:rPr>
          <w:lang w:val="en-GB"/>
        </w:rPr>
        <w:t>reglene</w:t>
      </w:r>
      <w:proofErr w:type="spellEnd"/>
      <w:r w:rsidR="00CD439F" w:rsidRPr="00693A45">
        <w:rPr>
          <w:lang w:val="en-GB"/>
        </w:rPr>
        <w:t xml:space="preserve"> om </w:t>
      </w:r>
      <w:proofErr w:type="spellStart"/>
      <w:r w:rsidR="00CD439F" w:rsidRPr="00693A45">
        <w:rPr>
          <w:lang w:val="en-GB"/>
        </w:rPr>
        <w:t>konsultasjoner</w:t>
      </w:r>
      <w:proofErr w:type="spellEnd"/>
      <w:r w:rsidR="00CD439F" w:rsidRPr="00693A45">
        <w:rPr>
          <w:lang w:val="en-GB"/>
        </w:rPr>
        <w:t xml:space="preserve"> </w:t>
      </w:r>
      <w:proofErr w:type="spellStart"/>
      <w:r w:rsidR="00CD439F" w:rsidRPr="00693A45">
        <w:rPr>
          <w:lang w:val="en-GB"/>
        </w:rPr>
        <w:t>i</w:t>
      </w:r>
      <w:proofErr w:type="spellEnd"/>
      <w:r w:rsidR="00CD439F" w:rsidRPr="00693A45">
        <w:rPr>
          <w:lang w:val="en-GB"/>
        </w:rPr>
        <w:t xml:space="preserve"> et </w:t>
      </w:r>
      <w:proofErr w:type="spellStart"/>
      <w:r w:rsidR="00CD439F" w:rsidRPr="00693A45">
        <w:rPr>
          <w:lang w:val="en-GB"/>
        </w:rPr>
        <w:t>nytt</w:t>
      </w:r>
      <w:proofErr w:type="spellEnd"/>
      <w:r w:rsidR="00CD439F" w:rsidRPr="00693A45">
        <w:rPr>
          <w:lang w:val="en-GB"/>
        </w:rPr>
        <w:t xml:space="preserve"> </w:t>
      </w:r>
      <w:proofErr w:type="spellStart"/>
      <w:r w:rsidR="00CD439F" w:rsidRPr="00693A45">
        <w:rPr>
          <w:lang w:val="en-GB"/>
        </w:rPr>
        <w:t>kapittel</w:t>
      </w:r>
      <w:proofErr w:type="spellEnd"/>
      <w:r w:rsidR="00CD439F" w:rsidRPr="00693A45">
        <w:rPr>
          <w:lang w:val="en-GB"/>
        </w:rPr>
        <w:t xml:space="preserve"> 4 </w:t>
      </w:r>
      <w:proofErr w:type="spellStart"/>
      <w:r w:rsidR="00CD439F" w:rsidRPr="00693A45">
        <w:rPr>
          <w:lang w:val="en-GB"/>
        </w:rPr>
        <w:t>i</w:t>
      </w:r>
      <w:proofErr w:type="spellEnd"/>
      <w:r w:rsidR="00CD439F" w:rsidRPr="00693A45">
        <w:rPr>
          <w:lang w:val="en-GB"/>
        </w:rPr>
        <w:t xml:space="preserve"> </w:t>
      </w:r>
      <w:proofErr w:type="spellStart"/>
      <w:r w:rsidR="00CD439F" w:rsidRPr="00693A45">
        <w:rPr>
          <w:lang w:val="en-GB"/>
        </w:rPr>
        <w:t>sameloven</w:t>
      </w:r>
      <w:proofErr w:type="spellEnd"/>
      <w:r w:rsidR="00CD439F" w:rsidRPr="00693A45">
        <w:rPr>
          <w:lang w:val="en-GB"/>
        </w:rPr>
        <w:t>.</w:t>
      </w:r>
    </w:p>
  </w:footnote>
  <w:footnote w:id="102">
    <w:p w14:paraId="3DB45A89" w14:textId="5E152D6D" w:rsidR="00CD439F" w:rsidRPr="003B3FD2"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5B808845">
        <w:rPr>
          <w:lang w:val="en-GB"/>
        </w:rPr>
        <w:t>Report of the Committee set up to examine the representation alleging non-observance by Colombia of the Indigenous and Tribal Peoples Convention, 1989 (No. 169) made by the Central Unitary Workers</w:t>
      </w:r>
      <w:r w:rsidR="00CD439F">
        <w:rPr>
          <w:lang w:val="en-GB"/>
        </w:rPr>
        <w:t>’</w:t>
      </w:r>
      <w:r w:rsidR="00CD439F" w:rsidRPr="5B808845">
        <w:rPr>
          <w:lang w:val="en-GB"/>
        </w:rPr>
        <w:t xml:space="preserve"> Union (</w:t>
      </w:r>
      <w:proofErr w:type="spellStart"/>
      <w:r w:rsidR="00CD439F" w:rsidRPr="5B808845">
        <w:rPr>
          <w:lang w:val="en-GB"/>
        </w:rPr>
        <w:t>Ilolex</w:t>
      </w:r>
      <w:proofErr w:type="spellEnd"/>
      <w:r w:rsidR="00CD439F" w:rsidRPr="5B808845">
        <w:rPr>
          <w:lang w:val="en-GB"/>
        </w:rPr>
        <w:t>: 161999COL169A) para. 84.</w:t>
      </w:r>
    </w:p>
  </w:footnote>
  <w:footnote w:id="103">
    <w:p w14:paraId="6ECC29ED" w14:textId="02543D38" w:rsidR="00CD439F" w:rsidRPr="00FB4634"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5B808845">
        <w:rPr>
          <w:lang w:val="en-GB"/>
        </w:rPr>
        <w:t>International Labour Office, ILO Convention on Indigenous and tribal peoples 1989 (No. 169). A manual, prepared by Manuela Tomei and Lee Swepston, 2003 s. 17.</w:t>
      </w:r>
    </w:p>
  </w:footnote>
  <w:footnote w:id="104">
    <w:p w14:paraId="57220364" w14:textId="39740258" w:rsidR="00CD439F" w:rsidRPr="007B3B19"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5C6A9A">
        <w:rPr>
          <w:rStyle w:val="FotnotetekstTegn"/>
          <w:lang w:val="en-US"/>
        </w:rPr>
        <w:t>Report of the Committee set up to examine the representation alleging non-observance by Mexico of the Indigenous and Tribal Peoples Convention, 1989 (No. 169) made by respectively the Authentic Workers</w:t>
      </w:r>
      <w:r w:rsidR="00CD439F">
        <w:rPr>
          <w:rStyle w:val="FotnotetekstTegn"/>
          <w:lang w:val="en-US"/>
        </w:rPr>
        <w:t>’</w:t>
      </w:r>
      <w:r w:rsidR="00CD439F" w:rsidRPr="005C6A9A">
        <w:rPr>
          <w:rStyle w:val="FotnotetekstTegn"/>
          <w:lang w:val="en-US"/>
        </w:rPr>
        <w:t xml:space="preserve"> Front (</w:t>
      </w:r>
      <w:proofErr w:type="spellStart"/>
      <w:r w:rsidR="00CD439F" w:rsidRPr="005C6A9A">
        <w:rPr>
          <w:rStyle w:val="FotnotetekstTegn"/>
          <w:lang w:val="en-US"/>
        </w:rPr>
        <w:t>Ilolex</w:t>
      </w:r>
      <w:proofErr w:type="spellEnd"/>
      <w:r w:rsidR="00CD439F" w:rsidRPr="005C6A9A">
        <w:rPr>
          <w:rStyle w:val="FotnotetekstTegn"/>
          <w:lang w:val="en-US"/>
        </w:rPr>
        <w:t>: 162004MEX169), the Union of Workers of the Autonomous University of Mexico (</w:t>
      </w:r>
      <w:proofErr w:type="spellStart"/>
      <w:r w:rsidR="00CD439F" w:rsidRPr="005C6A9A">
        <w:rPr>
          <w:rStyle w:val="FotnotetekstTegn"/>
          <w:lang w:val="en-US"/>
        </w:rPr>
        <w:t>Ilolex</w:t>
      </w:r>
      <w:proofErr w:type="spellEnd"/>
      <w:r w:rsidR="00CD439F" w:rsidRPr="005C6A9A">
        <w:rPr>
          <w:rStyle w:val="FotnotetekstTegn"/>
          <w:lang w:val="en-US"/>
        </w:rPr>
        <w:t>: 162004MEX169A) and the Union of Academics of the National Institute of Anthropology and History (</w:t>
      </w:r>
      <w:proofErr w:type="spellStart"/>
      <w:r w:rsidR="00CD439F" w:rsidRPr="005C6A9A">
        <w:rPr>
          <w:rStyle w:val="FotnotetekstTegn"/>
          <w:lang w:val="en-US"/>
        </w:rPr>
        <w:t>Ilokex</w:t>
      </w:r>
      <w:proofErr w:type="spellEnd"/>
      <w:r w:rsidR="00CD439F" w:rsidRPr="005C6A9A">
        <w:rPr>
          <w:rStyle w:val="FotnotetekstTegn"/>
          <w:lang w:val="en-US"/>
        </w:rPr>
        <w:t xml:space="preserve">: 162004MEXB) </w:t>
      </w:r>
      <w:proofErr w:type="spellStart"/>
      <w:r w:rsidR="00CD439F">
        <w:rPr>
          <w:rFonts w:cs="Times New Roman"/>
          <w:lang w:val="en-GB"/>
        </w:rPr>
        <w:t>avsnitt</w:t>
      </w:r>
      <w:proofErr w:type="spellEnd"/>
      <w:r w:rsidR="00CD439F" w:rsidRPr="005C6A9A">
        <w:rPr>
          <w:rStyle w:val="FotnotetekstTegn"/>
          <w:lang w:val="en-US"/>
        </w:rPr>
        <w:t xml:space="preserve"> </w:t>
      </w:r>
      <w:r w:rsidR="00CD439F" w:rsidRPr="007B3B19">
        <w:rPr>
          <w:rStyle w:val="FotnotetekstTegn"/>
          <w:lang w:val="en-US"/>
        </w:rPr>
        <w:t xml:space="preserve">102. </w:t>
      </w:r>
    </w:p>
  </w:footnote>
  <w:footnote w:id="105">
    <w:p w14:paraId="356E1CE6" w14:textId="411D4297" w:rsidR="00CD439F" w:rsidRPr="00612642" w:rsidRDefault="00404399" w:rsidP="00CD439F">
      <w:pPr>
        <w:pStyle w:val="Fotnotetekst"/>
        <w:rPr>
          <w:lang w:val="en-US"/>
        </w:rPr>
      </w:pPr>
      <w:r w:rsidRPr="00CD439F">
        <w:rPr>
          <w:rStyle w:val="Fotnotereferanse"/>
        </w:rPr>
        <w:footnoteRef/>
      </w:r>
      <w:r w:rsidRPr="009264D9">
        <w:rPr>
          <w:rStyle w:val="Fotnotereferanse"/>
          <w:lang w:val="en-US"/>
        </w:rPr>
        <w:t xml:space="preserve"> </w:t>
      </w:r>
      <w:r w:rsidR="00CD439F">
        <w:rPr>
          <w:rFonts w:eastAsia="Aptos"/>
          <w:lang w:val="en-US"/>
        </w:rPr>
        <w:t xml:space="preserve">Prop. </w:t>
      </w:r>
      <w:r w:rsidR="00CD439F" w:rsidRPr="00612642">
        <w:rPr>
          <w:rFonts w:eastAsia="Aptos"/>
          <w:lang w:val="en-US"/>
        </w:rPr>
        <w:t>86</w:t>
      </w:r>
      <w:r w:rsidR="00CD439F">
        <w:rPr>
          <w:rFonts w:eastAsia="Aptos"/>
          <w:lang w:val="en-US"/>
        </w:rPr>
        <w:t xml:space="preserve"> </w:t>
      </w:r>
      <w:r w:rsidR="00CD439F" w:rsidRPr="00612642">
        <w:rPr>
          <w:rFonts w:eastAsia="Aptos"/>
          <w:lang w:val="en-US"/>
        </w:rPr>
        <w:t>L (2020</w:t>
      </w:r>
      <w:r w:rsidR="00CD439F">
        <w:rPr>
          <w:rFonts w:eastAsia="Aptos"/>
          <w:lang w:val="en-US"/>
        </w:rPr>
        <w:t>–</w:t>
      </w:r>
      <w:r w:rsidR="00CD439F" w:rsidRPr="00612642">
        <w:rPr>
          <w:rFonts w:eastAsia="Aptos"/>
          <w:lang w:val="en-US"/>
        </w:rPr>
        <w:t xml:space="preserve">2021) s. 109. En </w:t>
      </w:r>
      <w:proofErr w:type="spellStart"/>
      <w:r w:rsidR="00CD439F" w:rsidRPr="00612642">
        <w:rPr>
          <w:rFonts w:eastAsia="Aptos"/>
          <w:lang w:val="en-US"/>
        </w:rPr>
        <w:t>svensk</w:t>
      </w:r>
      <w:proofErr w:type="spellEnd"/>
      <w:r w:rsidR="00CD439F" w:rsidRPr="00612642">
        <w:rPr>
          <w:rFonts w:eastAsia="Aptos"/>
          <w:lang w:val="en-US"/>
        </w:rPr>
        <w:t xml:space="preserve"> </w:t>
      </w:r>
      <w:r w:rsidR="00CD439F">
        <w:rPr>
          <w:rFonts w:eastAsia="Aptos"/>
          <w:lang w:val="en-US"/>
        </w:rPr>
        <w:t>«</w:t>
      </w:r>
      <w:proofErr w:type="spellStart"/>
      <w:r w:rsidR="00CD439F" w:rsidRPr="00612642">
        <w:rPr>
          <w:rFonts w:eastAsia="Aptos"/>
          <w:lang w:val="en-US"/>
        </w:rPr>
        <w:t>sameby</w:t>
      </w:r>
      <w:proofErr w:type="spellEnd"/>
      <w:r w:rsidR="00CD439F">
        <w:rPr>
          <w:rFonts w:eastAsia="Aptos"/>
          <w:lang w:val="en-US"/>
        </w:rPr>
        <w:t>»</w:t>
      </w:r>
      <w:r w:rsidR="00CD439F" w:rsidRPr="00612642">
        <w:rPr>
          <w:rFonts w:eastAsia="Aptos"/>
          <w:lang w:val="en-US"/>
        </w:rPr>
        <w:t xml:space="preserve"> er </w:t>
      </w:r>
      <w:proofErr w:type="spellStart"/>
      <w:r w:rsidR="00CD439F" w:rsidRPr="00612642">
        <w:rPr>
          <w:rFonts w:eastAsia="Aptos"/>
          <w:lang w:val="en-US"/>
        </w:rPr>
        <w:t>til</w:t>
      </w:r>
      <w:proofErr w:type="spellEnd"/>
      <w:r w:rsidR="00CD439F" w:rsidRPr="00612642">
        <w:rPr>
          <w:rFonts w:eastAsia="Aptos"/>
          <w:lang w:val="en-US"/>
        </w:rPr>
        <w:t xml:space="preserve"> </w:t>
      </w:r>
      <w:proofErr w:type="spellStart"/>
      <w:r w:rsidR="00CD439F" w:rsidRPr="00612642">
        <w:rPr>
          <w:rFonts w:eastAsia="Aptos"/>
          <w:lang w:val="en-US"/>
        </w:rPr>
        <w:t>en</w:t>
      </w:r>
      <w:proofErr w:type="spellEnd"/>
      <w:r w:rsidR="00CD439F" w:rsidRPr="00612642">
        <w:rPr>
          <w:rFonts w:eastAsia="Aptos"/>
          <w:lang w:val="en-US"/>
        </w:rPr>
        <w:t xml:space="preserve"> </w:t>
      </w:r>
      <w:proofErr w:type="spellStart"/>
      <w:r w:rsidR="00CD439F" w:rsidRPr="00612642">
        <w:rPr>
          <w:rFonts w:eastAsia="Aptos"/>
          <w:lang w:val="en-US"/>
        </w:rPr>
        <w:t>viss</w:t>
      </w:r>
      <w:proofErr w:type="spellEnd"/>
      <w:r w:rsidR="00CD439F" w:rsidRPr="00612642">
        <w:rPr>
          <w:rFonts w:eastAsia="Aptos"/>
          <w:lang w:val="en-US"/>
        </w:rPr>
        <w:t xml:space="preserve"> grad </w:t>
      </w:r>
      <w:proofErr w:type="spellStart"/>
      <w:r w:rsidR="00CD439F" w:rsidRPr="00612642">
        <w:rPr>
          <w:rFonts w:eastAsia="Aptos"/>
          <w:lang w:val="en-US"/>
        </w:rPr>
        <w:t>sammenfallende</w:t>
      </w:r>
      <w:proofErr w:type="spellEnd"/>
      <w:r w:rsidR="00CD439F" w:rsidRPr="00612642">
        <w:rPr>
          <w:rFonts w:eastAsia="Aptos"/>
          <w:lang w:val="en-US"/>
        </w:rPr>
        <w:t xml:space="preserve"> med et </w:t>
      </w:r>
      <w:proofErr w:type="spellStart"/>
      <w:r w:rsidR="00CD439F" w:rsidRPr="00612642">
        <w:rPr>
          <w:rFonts w:eastAsia="Aptos"/>
          <w:lang w:val="en-US"/>
        </w:rPr>
        <w:t>norsk</w:t>
      </w:r>
      <w:proofErr w:type="spellEnd"/>
      <w:r w:rsidR="00CD439F" w:rsidRPr="00612642">
        <w:rPr>
          <w:rFonts w:eastAsia="Aptos"/>
          <w:lang w:val="en-US"/>
        </w:rPr>
        <w:t xml:space="preserve"> </w:t>
      </w:r>
      <w:proofErr w:type="spellStart"/>
      <w:r w:rsidR="00CD439F" w:rsidRPr="00612642">
        <w:rPr>
          <w:rFonts w:eastAsia="Aptos"/>
          <w:lang w:val="en-US"/>
        </w:rPr>
        <w:t>reinbeitedistrikt</w:t>
      </w:r>
      <w:proofErr w:type="spellEnd"/>
      <w:r w:rsidR="00CD439F" w:rsidRPr="00612642">
        <w:rPr>
          <w:rFonts w:eastAsia="Aptos"/>
          <w:lang w:val="en-US"/>
        </w:rPr>
        <w:t xml:space="preserve"> (</w:t>
      </w:r>
      <w:proofErr w:type="spellStart"/>
      <w:r w:rsidR="00CD439F" w:rsidRPr="00612642">
        <w:rPr>
          <w:rFonts w:eastAsia="Aptos"/>
          <w:lang w:val="en-US"/>
        </w:rPr>
        <w:t>en</w:t>
      </w:r>
      <w:proofErr w:type="spellEnd"/>
      <w:r w:rsidR="00CD439F" w:rsidRPr="00612642">
        <w:rPr>
          <w:rFonts w:eastAsia="Aptos"/>
          <w:lang w:val="en-US"/>
        </w:rPr>
        <w:t xml:space="preserve"> </w:t>
      </w:r>
      <w:proofErr w:type="spellStart"/>
      <w:r w:rsidR="00CD439F" w:rsidRPr="00612642">
        <w:rPr>
          <w:rFonts w:eastAsia="Aptos"/>
          <w:lang w:val="en-US"/>
        </w:rPr>
        <w:t>gruppe</w:t>
      </w:r>
      <w:proofErr w:type="spellEnd"/>
      <w:r w:rsidR="00CD439F" w:rsidRPr="00612642">
        <w:rPr>
          <w:rFonts w:eastAsia="Aptos"/>
          <w:lang w:val="en-US"/>
        </w:rPr>
        <w:t xml:space="preserve"> </w:t>
      </w:r>
      <w:proofErr w:type="spellStart"/>
      <w:r w:rsidR="00CD439F" w:rsidRPr="00612642">
        <w:rPr>
          <w:rFonts w:eastAsia="Aptos"/>
          <w:lang w:val="en-US"/>
        </w:rPr>
        <w:t>reineiere</w:t>
      </w:r>
      <w:proofErr w:type="spellEnd"/>
      <w:r w:rsidR="00CD439F" w:rsidRPr="00612642">
        <w:rPr>
          <w:rFonts w:eastAsia="Aptos"/>
          <w:lang w:val="en-US"/>
        </w:rPr>
        <w:t>/</w:t>
      </w:r>
      <w:proofErr w:type="spellStart"/>
      <w:r w:rsidR="00CD439F" w:rsidRPr="00612642">
        <w:rPr>
          <w:rFonts w:eastAsia="Aptos"/>
          <w:lang w:val="en-US"/>
        </w:rPr>
        <w:t>siidaer</w:t>
      </w:r>
      <w:proofErr w:type="spellEnd"/>
      <w:r w:rsidR="00CD439F" w:rsidRPr="00612642">
        <w:rPr>
          <w:rFonts w:eastAsia="Aptos"/>
          <w:lang w:val="en-US"/>
        </w:rPr>
        <w:t xml:space="preserve"> </w:t>
      </w:r>
      <w:proofErr w:type="spellStart"/>
      <w:r w:rsidR="00CD439F" w:rsidRPr="00612642">
        <w:rPr>
          <w:rFonts w:eastAsia="Aptos"/>
          <w:lang w:val="en-US"/>
        </w:rPr>
        <w:t>som</w:t>
      </w:r>
      <w:proofErr w:type="spellEnd"/>
      <w:r w:rsidR="00CD439F" w:rsidRPr="00612642">
        <w:rPr>
          <w:rFonts w:eastAsia="Aptos"/>
          <w:lang w:val="en-US"/>
        </w:rPr>
        <w:t xml:space="preserve"> </w:t>
      </w:r>
      <w:proofErr w:type="spellStart"/>
      <w:r w:rsidR="00CD439F" w:rsidRPr="00612642">
        <w:rPr>
          <w:rFonts w:eastAsia="Aptos"/>
          <w:lang w:val="en-US"/>
        </w:rPr>
        <w:t>har</w:t>
      </w:r>
      <w:proofErr w:type="spellEnd"/>
      <w:r w:rsidR="00CD439F" w:rsidRPr="00612642">
        <w:rPr>
          <w:rFonts w:eastAsia="Aptos"/>
          <w:lang w:val="en-US"/>
        </w:rPr>
        <w:t xml:space="preserve"> </w:t>
      </w:r>
      <w:proofErr w:type="spellStart"/>
      <w:r w:rsidR="00CD439F" w:rsidRPr="00612642">
        <w:rPr>
          <w:rFonts w:eastAsia="Aptos"/>
          <w:lang w:val="en-US"/>
        </w:rPr>
        <w:t>reinbeiterett</w:t>
      </w:r>
      <w:proofErr w:type="spellEnd"/>
      <w:r w:rsidR="00CD439F" w:rsidRPr="00612642">
        <w:rPr>
          <w:rFonts w:eastAsia="Aptos"/>
          <w:lang w:val="en-US"/>
        </w:rPr>
        <w:t xml:space="preserve"> </w:t>
      </w:r>
      <w:proofErr w:type="spellStart"/>
      <w:r w:rsidR="00CD439F" w:rsidRPr="00612642">
        <w:rPr>
          <w:rFonts w:eastAsia="Aptos"/>
          <w:lang w:val="en-US"/>
        </w:rPr>
        <w:t>i</w:t>
      </w:r>
      <w:proofErr w:type="spellEnd"/>
      <w:r w:rsidR="00CD439F" w:rsidRPr="00612642">
        <w:rPr>
          <w:rFonts w:eastAsia="Aptos"/>
          <w:lang w:val="en-US"/>
        </w:rPr>
        <w:t xml:space="preserve"> et </w:t>
      </w:r>
      <w:proofErr w:type="spellStart"/>
      <w:r w:rsidR="00CD439F" w:rsidRPr="00612642">
        <w:rPr>
          <w:rFonts w:eastAsia="Aptos"/>
          <w:lang w:val="en-US"/>
        </w:rPr>
        <w:t>avgrenset</w:t>
      </w:r>
      <w:proofErr w:type="spellEnd"/>
      <w:r w:rsidR="00CD439F" w:rsidRPr="00612642">
        <w:rPr>
          <w:rFonts w:eastAsia="Aptos"/>
          <w:lang w:val="en-US"/>
        </w:rPr>
        <w:t xml:space="preserve"> </w:t>
      </w:r>
      <w:proofErr w:type="spellStart"/>
      <w:r w:rsidR="00CD439F" w:rsidRPr="00612642">
        <w:rPr>
          <w:rFonts w:eastAsia="Aptos"/>
          <w:lang w:val="en-US"/>
        </w:rPr>
        <w:t>geografisk</w:t>
      </w:r>
      <w:proofErr w:type="spellEnd"/>
      <w:r w:rsidR="00CD439F" w:rsidRPr="00612642">
        <w:rPr>
          <w:rFonts w:eastAsia="Aptos"/>
          <w:lang w:val="en-US"/>
        </w:rPr>
        <w:t xml:space="preserve"> </w:t>
      </w:r>
      <w:proofErr w:type="spellStart"/>
      <w:r w:rsidR="00CD439F" w:rsidRPr="00612642">
        <w:rPr>
          <w:rFonts w:eastAsia="Aptos"/>
          <w:lang w:val="en-US"/>
        </w:rPr>
        <w:t>område</w:t>
      </w:r>
      <w:proofErr w:type="spellEnd"/>
      <w:r w:rsidR="00CD439F" w:rsidRPr="00612642">
        <w:rPr>
          <w:rFonts w:eastAsia="Aptos"/>
          <w:lang w:val="en-US"/>
        </w:rPr>
        <w:t>).</w:t>
      </w:r>
    </w:p>
  </w:footnote>
  <w:footnote w:id="106">
    <w:p w14:paraId="6A32F238" w14:textId="6C955B63" w:rsidR="00CD439F" w:rsidRPr="00F75D19"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F75D19">
        <w:rPr>
          <w:lang w:val="en-US"/>
        </w:rPr>
        <w:t xml:space="preserve">Se </w:t>
      </w:r>
      <w:proofErr w:type="spellStart"/>
      <w:r w:rsidR="00CD439F" w:rsidRPr="00F75D19">
        <w:rPr>
          <w:lang w:val="en-US"/>
        </w:rPr>
        <w:t>blant</w:t>
      </w:r>
      <w:proofErr w:type="spellEnd"/>
      <w:r w:rsidR="00CD439F" w:rsidRPr="00F75D19">
        <w:rPr>
          <w:lang w:val="en-US"/>
        </w:rPr>
        <w:t xml:space="preserve"> </w:t>
      </w:r>
      <w:proofErr w:type="spellStart"/>
      <w:r w:rsidR="00CD439F" w:rsidRPr="00F75D19">
        <w:rPr>
          <w:lang w:val="en-US"/>
        </w:rPr>
        <w:t>annet</w:t>
      </w:r>
      <w:proofErr w:type="spellEnd"/>
      <w:r w:rsidR="00CD439F" w:rsidRPr="00F75D19">
        <w:rPr>
          <w:lang w:val="en-US"/>
        </w:rPr>
        <w:t xml:space="preserve"> Indigenous and tribal peoples: A guide to ILO Convention No. 169, 2. ed. (1996), prepared by Manuela Tomei and Lee Swepston, I</w:t>
      </w:r>
      <w:r w:rsidR="00CD439F" w:rsidRPr="2FB46E9B">
        <w:rPr>
          <w:lang w:val="en-US"/>
        </w:rPr>
        <w:t xml:space="preserve">LO Convention on Indigenous and tribal peoples, 1989 (No. 169): A manual, 2003, prepared by Lee Swepston, Graciela Jones, </w:t>
      </w:r>
      <w:proofErr w:type="spellStart"/>
      <w:r w:rsidR="00CD439F" w:rsidRPr="2FB46E9B">
        <w:rPr>
          <w:lang w:val="en-US"/>
        </w:rPr>
        <w:t>Fransesca</w:t>
      </w:r>
      <w:proofErr w:type="spellEnd"/>
      <w:r w:rsidR="00CD439F" w:rsidRPr="2FB46E9B">
        <w:rPr>
          <w:lang w:val="en-US"/>
        </w:rPr>
        <w:t xml:space="preserve"> Thornberry and Finn Andersen, </w:t>
      </w:r>
      <w:r w:rsidR="00CD439F" w:rsidRPr="00F75D19">
        <w:rPr>
          <w:lang w:val="en-US"/>
        </w:rPr>
        <w:t>Indigenous and tribal peoples</w:t>
      </w:r>
      <w:r w:rsidR="00CD439F">
        <w:rPr>
          <w:lang w:val="en-US"/>
        </w:rPr>
        <w:t>’</w:t>
      </w:r>
      <w:r w:rsidR="00CD439F" w:rsidRPr="00F75D19">
        <w:rPr>
          <w:lang w:val="en-US"/>
        </w:rPr>
        <w:t xml:space="preserve"> rights in practic</w:t>
      </w:r>
      <w:r w:rsidR="00CD439F" w:rsidRPr="2FB46E9B">
        <w:rPr>
          <w:lang w:val="en-US"/>
        </w:rPr>
        <w:t xml:space="preserve">e. A guide to ILO Convention No. 169, 2009, main author Birgitte Feiring, og </w:t>
      </w:r>
      <w:r w:rsidR="00CD439F" w:rsidRPr="00F75D19">
        <w:rPr>
          <w:lang w:val="en-US"/>
        </w:rPr>
        <w:t>Implementing the ILO Indigenous and Tribal Peoples – Convention No. 169 Towards an inclusive, sustainable and just future</w:t>
      </w:r>
      <w:r w:rsidR="00CD439F" w:rsidRPr="2FB46E9B">
        <w:rPr>
          <w:lang w:val="en-US"/>
        </w:rPr>
        <w:t xml:space="preserve">, 2019, authors Rishabh Kumar Dhir, Umberto Cattaneo, Maria Victoria Cabrera Ormaza, Hernan Coronado and Martin </w:t>
      </w:r>
      <w:proofErr w:type="spellStart"/>
      <w:r w:rsidR="00CD439F" w:rsidRPr="2FB46E9B">
        <w:rPr>
          <w:lang w:val="en-US"/>
        </w:rPr>
        <w:t>Oelz</w:t>
      </w:r>
      <w:proofErr w:type="spellEnd"/>
      <w:r w:rsidR="00CD439F" w:rsidRPr="2FB46E9B">
        <w:rPr>
          <w:lang w:val="en-US"/>
        </w:rPr>
        <w:t>.</w:t>
      </w:r>
      <w:r w:rsidR="00CD439F" w:rsidRPr="00F75D19">
        <w:rPr>
          <w:rFonts w:ascii="Aptos" w:eastAsia="Aptos" w:hAnsi="Aptos" w:cs="Aptos"/>
          <w:color w:val="EE0000"/>
          <w:highlight w:val="yellow"/>
          <w:lang w:val="en-US"/>
        </w:rPr>
        <w:t xml:space="preserve"> </w:t>
      </w:r>
    </w:p>
  </w:footnote>
  <w:footnote w:id="107">
    <w:p w14:paraId="04D6972F" w14:textId="731F891C" w:rsidR="00CD439F" w:rsidRPr="00F12978" w:rsidRDefault="00404399" w:rsidP="00CD439F">
      <w:pPr>
        <w:pStyle w:val="Fotnotetekst"/>
        <w:rPr>
          <w:rFonts w:eastAsia="Aptos"/>
          <w:highlight w:val="yellow"/>
          <w:lang w:val="en-US"/>
        </w:rPr>
      </w:pPr>
      <w:r w:rsidRPr="00CD439F">
        <w:rPr>
          <w:rStyle w:val="Fotnotereferanse"/>
        </w:rPr>
        <w:footnoteRef/>
      </w:r>
      <w:r w:rsidRPr="00404399">
        <w:rPr>
          <w:rStyle w:val="Fotnotereferanse"/>
          <w:lang w:val="en-US"/>
        </w:rPr>
        <w:t xml:space="preserve"> </w:t>
      </w:r>
      <w:r w:rsidR="00CD439F" w:rsidRPr="005C6A9A">
        <w:rPr>
          <w:rStyle w:val="FotnotetekstTegn"/>
          <w:lang w:val="en-US"/>
        </w:rPr>
        <w:t xml:space="preserve">NOU 2007: 13 s. 845 med </w:t>
      </w:r>
      <w:proofErr w:type="spellStart"/>
      <w:r w:rsidR="00CD439F" w:rsidRPr="005C6A9A">
        <w:rPr>
          <w:rStyle w:val="FotnotetekstTegn"/>
          <w:lang w:val="en-US"/>
        </w:rPr>
        <w:t>videre</w:t>
      </w:r>
      <w:proofErr w:type="spellEnd"/>
      <w:r w:rsidR="00CD439F" w:rsidRPr="005C6A9A">
        <w:rPr>
          <w:rStyle w:val="FotnotetekstTegn"/>
          <w:lang w:val="en-US"/>
        </w:rPr>
        <w:t xml:space="preserve"> </w:t>
      </w:r>
      <w:proofErr w:type="spellStart"/>
      <w:r w:rsidR="00CD439F" w:rsidRPr="005C6A9A">
        <w:rPr>
          <w:rStyle w:val="FotnotetekstTegn"/>
          <w:lang w:val="en-US"/>
        </w:rPr>
        <w:t>henvisning</w:t>
      </w:r>
      <w:proofErr w:type="spellEnd"/>
      <w:r w:rsidR="00CD439F" w:rsidRPr="005C6A9A">
        <w:rPr>
          <w:rStyle w:val="FotnotetekstTegn"/>
          <w:lang w:val="en-US"/>
        </w:rPr>
        <w:t xml:space="preserve"> </w:t>
      </w:r>
      <w:proofErr w:type="spellStart"/>
      <w:r w:rsidR="00CD439F" w:rsidRPr="005C6A9A">
        <w:rPr>
          <w:rStyle w:val="FotnotetekstTegn"/>
          <w:lang w:val="en-US"/>
        </w:rPr>
        <w:t>til</w:t>
      </w:r>
      <w:proofErr w:type="spellEnd"/>
      <w:r w:rsidR="00CD439F" w:rsidRPr="005C6A9A">
        <w:rPr>
          <w:rStyle w:val="FotnotetekstTegn"/>
          <w:lang w:val="en-US"/>
        </w:rPr>
        <w:t xml:space="preserve"> ILO Convention on Indigenous and tribal peoples, 1989 (No. 169): A manual, 2003, prepared by Lee Swepston, Graciela Jones, </w:t>
      </w:r>
      <w:proofErr w:type="spellStart"/>
      <w:r w:rsidR="00CD439F" w:rsidRPr="005C6A9A">
        <w:rPr>
          <w:rStyle w:val="FotnotetekstTegn"/>
          <w:lang w:val="en-US"/>
        </w:rPr>
        <w:t>Fransesca</w:t>
      </w:r>
      <w:proofErr w:type="spellEnd"/>
      <w:r w:rsidR="00CD439F" w:rsidRPr="005C6A9A">
        <w:rPr>
          <w:rStyle w:val="FotnotetekstTegn"/>
          <w:lang w:val="en-US"/>
        </w:rPr>
        <w:t xml:space="preserve"> Thornberry and Finn Andersen, s. 16-17 og Report of the Committee set up to examine the representation alleging non-observance by Mexico of the Indigenous and Tribal Peoples Convention, 1989 (No. 169) made by respectively the Authentic Workers</w:t>
      </w:r>
      <w:r w:rsidR="00CD439F">
        <w:rPr>
          <w:rStyle w:val="FotnotetekstTegn"/>
          <w:lang w:val="en-US"/>
        </w:rPr>
        <w:t>’</w:t>
      </w:r>
      <w:r w:rsidR="00CD439F" w:rsidRPr="005C6A9A">
        <w:rPr>
          <w:rStyle w:val="FotnotetekstTegn"/>
          <w:lang w:val="en-US"/>
        </w:rPr>
        <w:t xml:space="preserve"> Front (</w:t>
      </w:r>
      <w:proofErr w:type="spellStart"/>
      <w:r w:rsidR="00CD439F" w:rsidRPr="005C6A9A">
        <w:rPr>
          <w:rStyle w:val="FotnotetekstTegn"/>
          <w:lang w:val="en-US"/>
        </w:rPr>
        <w:t>Ilolex</w:t>
      </w:r>
      <w:proofErr w:type="spellEnd"/>
      <w:r w:rsidR="00CD439F" w:rsidRPr="005C6A9A">
        <w:rPr>
          <w:rStyle w:val="FotnotetekstTegn"/>
          <w:lang w:val="en-US"/>
        </w:rPr>
        <w:t>: 162004MEX169), the Union of Workers of the Autonomous University of Mexico (</w:t>
      </w:r>
      <w:proofErr w:type="spellStart"/>
      <w:r w:rsidR="00CD439F" w:rsidRPr="005C6A9A">
        <w:rPr>
          <w:rStyle w:val="FotnotetekstTegn"/>
          <w:lang w:val="en-US"/>
        </w:rPr>
        <w:t>Ilolex</w:t>
      </w:r>
      <w:proofErr w:type="spellEnd"/>
      <w:r w:rsidR="00CD439F" w:rsidRPr="005C6A9A">
        <w:rPr>
          <w:rStyle w:val="FotnotetekstTegn"/>
          <w:lang w:val="en-US"/>
        </w:rPr>
        <w:t>: 162004MEX169A) and the Union of Academics of the National Institute of Anthropology and History (</w:t>
      </w:r>
      <w:proofErr w:type="spellStart"/>
      <w:r w:rsidR="00CD439F" w:rsidRPr="005C6A9A">
        <w:rPr>
          <w:rStyle w:val="FotnotetekstTegn"/>
          <w:lang w:val="en-US"/>
        </w:rPr>
        <w:t>Ilokex</w:t>
      </w:r>
      <w:proofErr w:type="spellEnd"/>
      <w:r w:rsidR="00CD439F" w:rsidRPr="005C6A9A">
        <w:rPr>
          <w:rStyle w:val="FotnotetekstTegn"/>
          <w:lang w:val="en-US"/>
        </w:rPr>
        <w:t>: 162004MEXB) para. 96 og 107.</w:t>
      </w:r>
      <w:r w:rsidR="00CD439F" w:rsidRPr="2FB46E9B">
        <w:rPr>
          <w:lang w:val="en-US"/>
        </w:rPr>
        <w:t xml:space="preserve"> </w:t>
      </w:r>
    </w:p>
  </w:footnote>
  <w:footnote w:id="108">
    <w:p w14:paraId="03398296" w14:textId="1E423089" w:rsidR="00CD439F" w:rsidRPr="00F12978" w:rsidRDefault="00404399" w:rsidP="00CD439F">
      <w:pPr>
        <w:pStyle w:val="Fotnotetekst"/>
        <w:rPr>
          <w:rFonts w:eastAsia="Aptos"/>
          <w:highlight w:val="yellow"/>
          <w:lang w:val="en-US"/>
        </w:rPr>
      </w:pPr>
      <w:r w:rsidRPr="00CD439F">
        <w:rPr>
          <w:rStyle w:val="Fotnotereferanse"/>
        </w:rPr>
        <w:footnoteRef/>
      </w:r>
      <w:r w:rsidRPr="00404399">
        <w:rPr>
          <w:rStyle w:val="Fotnotereferanse"/>
          <w:lang w:val="en-US"/>
        </w:rPr>
        <w:t xml:space="preserve"> </w:t>
      </w:r>
      <w:r w:rsidR="00CD439F" w:rsidRPr="005C6A9A">
        <w:rPr>
          <w:rStyle w:val="FotnotetekstTegn"/>
          <w:lang w:val="en-US"/>
        </w:rPr>
        <w:t xml:space="preserve">ILO Convention on Indigenous and tribal peoples, 1989 (No. 169): A manual, 2003, prepared by Lee Swepston, Graciela </w:t>
      </w:r>
      <w:proofErr w:type="spellStart"/>
      <w:r w:rsidR="00CD439F" w:rsidRPr="005C6A9A">
        <w:rPr>
          <w:rStyle w:val="FotnotetekstTegn"/>
          <w:lang w:val="en-US"/>
        </w:rPr>
        <w:t>Jolidon</w:t>
      </w:r>
      <w:proofErr w:type="spellEnd"/>
      <w:r w:rsidR="00CD439F" w:rsidRPr="005C6A9A">
        <w:rPr>
          <w:rStyle w:val="FotnotetekstTegn"/>
          <w:lang w:val="en-US"/>
        </w:rPr>
        <w:t>, Francesca Thornberry and Finn Andersen, s. 17.</w:t>
      </w:r>
    </w:p>
  </w:footnote>
  <w:footnote w:id="109">
    <w:p w14:paraId="7B4AAF88" w14:textId="014B8356" w:rsidR="00CD439F" w:rsidRPr="00F12978"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F12978">
        <w:rPr>
          <w:lang w:val="en-US"/>
        </w:rPr>
        <w:t>Report of the Committee set up to examine the representation alleging non-observance by Colombia of the Indigenous and Tribal Peoples Convention, 1989 (No. 169) made by the Central Unitary Workers</w:t>
      </w:r>
      <w:r w:rsidR="00CD439F">
        <w:rPr>
          <w:lang w:val="en-US"/>
        </w:rPr>
        <w:t>’</w:t>
      </w:r>
      <w:r w:rsidR="00CD439F" w:rsidRPr="00F12978">
        <w:rPr>
          <w:lang w:val="en-US"/>
        </w:rPr>
        <w:t xml:space="preserve"> Union (</w:t>
      </w:r>
      <w:proofErr w:type="spellStart"/>
      <w:r w:rsidR="00CD439F" w:rsidRPr="00F12978">
        <w:rPr>
          <w:lang w:val="en-US"/>
        </w:rPr>
        <w:t>Ilolex</w:t>
      </w:r>
      <w:proofErr w:type="spellEnd"/>
      <w:r w:rsidR="00CD439F" w:rsidRPr="00F12978">
        <w:rPr>
          <w:lang w:val="en-US"/>
        </w:rPr>
        <w:t xml:space="preserve">: 161999COL169 A) </w:t>
      </w:r>
      <w:proofErr w:type="spellStart"/>
      <w:r w:rsidR="00CD439F">
        <w:rPr>
          <w:rFonts w:cs="Times New Roman"/>
          <w:lang w:val="en-GB"/>
        </w:rPr>
        <w:t>avsnitt</w:t>
      </w:r>
      <w:proofErr w:type="spellEnd"/>
      <w:r w:rsidR="00CD439F" w:rsidRPr="00F12978">
        <w:rPr>
          <w:lang w:val="en-US"/>
        </w:rPr>
        <w:t xml:space="preserve"> 77-78,</w:t>
      </w:r>
      <w:r w:rsidR="00CD439F">
        <w:rPr>
          <w:lang w:val="en-US"/>
        </w:rPr>
        <w:t xml:space="preserve"> </w:t>
      </w:r>
    </w:p>
  </w:footnote>
  <w:footnote w:id="110">
    <w:p w14:paraId="4DD67955" w14:textId="72C9B65D" w:rsidR="00CD439F" w:rsidRPr="00F90718"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F90718">
        <w:rPr>
          <w:lang w:val="en-US"/>
        </w:rPr>
        <w:t xml:space="preserve">ILO Convention on Indigenous and tribal peoples, 1989 (No. 169): A manual, 2003, prepared by Lee Swepston, Graciela </w:t>
      </w:r>
      <w:proofErr w:type="spellStart"/>
      <w:r w:rsidR="00CD439F" w:rsidRPr="00F90718">
        <w:rPr>
          <w:lang w:val="en-US"/>
        </w:rPr>
        <w:t>Jolidon</w:t>
      </w:r>
      <w:proofErr w:type="spellEnd"/>
      <w:r w:rsidR="00CD439F" w:rsidRPr="00F90718">
        <w:rPr>
          <w:lang w:val="en-US"/>
        </w:rPr>
        <w:t xml:space="preserve">, Francesca Thornberry and Finn Andersen, s. 16. </w:t>
      </w:r>
    </w:p>
  </w:footnote>
  <w:footnote w:id="111">
    <w:p w14:paraId="6EF27F2D" w14:textId="19F4C404" w:rsidR="00CD439F" w:rsidRPr="00F90718"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F90718">
        <w:rPr>
          <w:lang w:val="en-GB"/>
        </w:rPr>
        <w:t>International Labour Office, ILO Convention on Indigenous and tribal peoples 1989 (No. 169). A manual, prepared by Manuela Tomei and Lee Swepston, 2003 s. 19 og 22.</w:t>
      </w:r>
    </w:p>
  </w:footnote>
  <w:footnote w:id="112">
    <w:p w14:paraId="4A9A53F9" w14:textId="72F20F95" w:rsidR="00CD439F" w:rsidRPr="00D45278"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D45278">
        <w:rPr>
          <w:lang w:val="en-GB"/>
        </w:rPr>
        <w:t>Committee of Experts on the Application of Conventions and Recommendations, Individual Observation concerning Convention No. 169, Indigenous and Tribal Peoples, Norway (Ilokex:062004NOR169).</w:t>
      </w:r>
    </w:p>
  </w:footnote>
  <w:footnote w:id="113">
    <w:p w14:paraId="123CB0F5" w14:textId="4F9895C7" w:rsidR="00CD439F" w:rsidRPr="00D45278"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D45278">
        <w:rPr>
          <w:lang w:val="en-GB"/>
        </w:rPr>
        <w:t>Report of the Committee set up to examine the representation alleging non-observance by Colombia of the Indigenous and Tribal Peoples Convention, 1989 (No. 169) made by the Central Unitary Workers</w:t>
      </w:r>
      <w:r w:rsidR="00CD439F">
        <w:rPr>
          <w:lang w:val="en-GB"/>
        </w:rPr>
        <w:t>’</w:t>
      </w:r>
      <w:r w:rsidR="00CD439F" w:rsidRPr="00D45278">
        <w:rPr>
          <w:lang w:val="en-GB"/>
        </w:rPr>
        <w:t xml:space="preserve"> Union (</w:t>
      </w:r>
      <w:proofErr w:type="spellStart"/>
      <w:r w:rsidR="00CD439F" w:rsidRPr="00D45278">
        <w:rPr>
          <w:lang w:val="en-GB"/>
        </w:rPr>
        <w:t>Ilolex</w:t>
      </w:r>
      <w:proofErr w:type="spellEnd"/>
      <w:r w:rsidR="00CD439F" w:rsidRPr="00D45278">
        <w:rPr>
          <w:lang w:val="en-GB"/>
        </w:rPr>
        <w:t xml:space="preserve">: 161999COL169A) </w:t>
      </w:r>
      <w:proofErr w:type="spellStart"/>
      <w:r w:rsidR="00CD439F" w:rsidRPr="00D45278">
        <w:rPr>
          <w:lang w:val="en-GB"/>
        </w:rPr>
        <w:t>avsnitt</w:t>
      </w:r>
      <w:proofErr w:type="spellEnd"/>
      <w:r w:rsidR="00CD439F" w:rsidRPr="00D45278">
        <w:rPr>
          <w:lang w:val="en-GB"/>
        </w:rPr>
        <w:t xml:space="preserve"> 77 og 84.</w:t>
      </w:r>
    </w:p>
  </w:footnote>
  <w:footnote w:id="114">
    <w:p w14:paraId="442B5E06" w14:textId="25EB0903" w:rsidR="00CD439F" w:rsidRPr="008F267B"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D45278">
        <w:rPr>
          <w:lang w:val="en-GB"/>
        </w:rPr>
        <w:t>Report of the Committee set up to examine the representation alleging non-observance by Mexico of the Indigenous and Tribal Peoples Convention, 1989 (No. 169) made by the Union of Metal, Steel, Iron and Allied Workers (</w:t>
      </w:r>
      <w:proofErr w:type="spellStart"/>
      <w:r w:rsidR="00CD439F" w:rsidRPr="00D45278">
        <w:rPr>
          <w:lang w:val="en-GB"/>
        </w:rPr>
        <w:t>ilolex</w:t>
      </w:r>
      <w:proofErr w:type="spellEnd"/>
      <w:r w:rsidR="00CD439F" w:rsidRPr="00D45278">
        <w:rPr>
          <w:lang w:val="en-GB"/>
        </w:rPr>
        <w:t xml:space="preserve"> 162006MEX169) </w:t>
      </w:r>
      <w:proofErr w:type="spellStart"/>
      <w:r w:rsidR="00CD439F" w:rsidRPr="00D45278">
        <w:rPr>
          <w:lang w:val="en-GB"/>
        </w:rPr>
        <w:t>avsnitt</w:t>
      </w:r>
      <w:proofErr w:type="spellEnd"/>
      <w:r w:rsidR="00CD439F" w:rsidRPr="00D45278">
        <w:rPr>
          <w:lang w:val="en-GB"/>
        </w:rPr>
        <w:t xml:space="preserve"> 36.</w:t>
      </w:r>
    </w:p>
  </w:footnote>
  <w:footnote w:id="115">
    <w:p w14:paraId="75F43101" w14:textId="2E517850" w:rsidR="00CD439F" w:rsidRPr="006A51A3"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6A51A3">
        <w:rPr>
          <w:lang w:val="en-GB"/>
        </w:rPr>
        <w:t xml:space="preserve">NOU 2007: 13 (bind B) s. 849. </w:t>
      </w:r>
    </w:p>
  </w:footnote>
  <w:footnote w:id="116">
    <w:p w14:paraId="47649A7B" w14:textId="3C133AF8" w:rsidR="00CD439F" w:rsidRPr="00853769"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Pr>
          <w:lang w:val="en-GB"/>
        </w:rPr>
        <w:t xml:space="preserve">Report of the Committee set up to examine the representation alleging non-observance by Ecuador of the Indigenous and Tribal Peoples Convention, 1989 (No. 169), 7. mars 2024, </w:t>
      </w:r>
      <w:proofErr w:type="spellStart"/>
      <w:r w:rsidR="00CD439F">
        <w:rPr>
          <w:rFonts w:cs="Times New Roman"/>
          <w:lang w:val="en-GB"/>
        </w:rPr>
        <w:t>avsnitt</w:t>
      </w:r>
      <w:proofErr w:type="spellEnd"/>
      <w:r w:rsidR="00CD439F">
        <w:rPr>
          <w:lang w:val="en-GB"/>
        </w:rPr>
        <w:t xml:space="preserve"> </w:t>
      </w:r>
      <w:r w:rsidR="00CD439F" w:rsidRPr="00853769">
        <w:rPr>
          <w:lang w:val="en-GB"/>
        </w:rPr>
        <w:t>49 og 57.</w:t>
      </w:r>
    </w:p>
  </w:footnote>
  <w:footnote w:id="117">
    <w:p w14:paraId="6B472F7D" w14:textId="5CEFFE5A"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693A45">
        <w:rPr>
          <w:lang w:val="nn-NO"/>
        </w:rPr>
        <w:t xml:space="preserve">De fire </w:t>
      </w:r>
      <w:proofErr w:type="spellStart"/>
      <w:r w:rsidR="00CD439F" w:rsidRPr="00693A45">
        <w:rPr>
          <w:lang w:val="nn-NO"/>
        </w:rPr>
        <w:t>statene</w:t>
      </w:r>
      <w:proofErr w:type="spellEnd"/>
      <w:r w:rsidR="00CD439F" w:rsidRPr="00693A45">
        <w:rPr>
          <w:lang w:val="nn-NO"/>
        </w:rPr>
        <w:t xml:space="preserve"> som stemte mot var Canada, Australia, New Zealand og USA. De 11 </w:t>
      </w:r>
      <w:proofErr w:type="spellStart"/>
      <w:r w:rsidR="00CD439F" w:rsidRPr="00693A45">
        <w:rPr>
          <w:lang w:val="nn-NO"/>
        </w:rPr>
        <w:t>avstående</w:t>
      </w:r>
      <w:proofErr w:type="spellEnd"/>
      <w:r w:rsidR="00CD439F" w:rsidRPr="00693A45">
        <w:rPr>
          <w:lang w:val="nn-NO"/>
        </w:rPr>
        <w:t xml:space="preserve"> </w:t>
      </w:r>
      <w:proofErr w:type="spellStart"/>
      <w:r w:rsidR="00CD439F" w:rsidRPr="00693A45">
        <w:rPr>
          <w:lang w:val="nn-NO"/>
        </w:rPr>
        <w:t>statene</w:t>
      </w:r>
      <w:proofErr w:type="spellEnd"/>
      <w:r w:rsidR="00CD439F" w:rsidRPr="00693A45">
        <w:rPr>
          <w:lang w:val="nn-NO"/>
        </w:rPr>
        <w:t xml:space="preserve"> var Aserbajdsjan, Bangladesh, Bhutan, Burundi, Colombia, Georgia, Kenya, Nigeria, Russland, Samoa og Ukraina. 34 medlemsland, </w:t>
      </w:r>
      <w:proofErr w:type="spellStart"/>
      <w:r w:rsidR="00CD439F" w:rsidRPr="00693A45">
        <w:rPr>
          <w:lang w:val="nn-NO"/>
        </w:rPr>
        <w:t>hvorav</w:t>
      </w:r>
      <w:proofErr w:type="spellEnd"/>
      <w:r w:rsidR="00CD439F" w:rsidRPr="00693A45">
        <w:rPr>
          <w:lang w:val="nn-NO"/>
        </w:rPr>
        <w:t xml:space="preserve"> omtrent halvparten afrikanske, var </w:t>
      </w:r>
      <w:proofErr w:type="spellStart"/>
      <w:r w:rsidR="00CD439F" w:rsidRPr="00693A45">
        <w:rPr>
          <w:lang w:val="nn-NO"/>
        </w:rPr>
        <w:t>ikke</w:t>
      </w:r>
      <w:proofErr w:type="spellEnd"/>
      <w:r w:rsidR="00CD439F" w:rsidRPr="00693A45">
        <w:rPr>
          <w:lang w:val="nn-NO"/>
        </w:rPr>
        <w:t xml:space="preserve"> til stede ved </w:t>
      </w:r>
      <w:proofErr w:type="spellStart"/>
      <w:r w:rsidR="00CD439F" w:rsidRPr="00693A45">
        <w:rPr>
          <w:lang w:val="nn-NO"/>
        </w:rPr>
        <w:t>avstemningen</w:t>
      </w:r>
      <w:proofErr w:type="spellEnd"/>
      <w:r w:rsidR="00CD439F" w:rsidRPr="00693A45">
        <w:rPr>
          <w:lang w:val="nn-NO"/>
        </w:rPr>
        <w:t xml:space="preserve">. </w:t>
      </w:r>
    </w:p>
  </w:footnote>
  <w:footnote w:id="118">
    <w:p w14:paraId="68F4EA1D" w14:textId="6B36ED81"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Pr>
          <w:lang w:val="nn-NO"/>
        </w:rPr>
        <w:t xml:space="preserve">St.meld. nr. </w:t>
      </w:r>
      <w:r w:rsidR="00CD439F" w:rsidRPr="00693A45">
        <w:rPr>
          <w:lang w:val="nn-NO"/>
        </w:rPr>
        <w:t>21 (2015</w:t>
      </w:r>
      <w:r w:rsidR="00CD439F">
        <w:rPr>
          <w:lang w:val="nn-NO"/>
        </w:rPr>
        <w:t>–</w:t>
      </w:r>
      <w:r w:rsidR="00CD439F" w:rsidRPr="00693A45">
        <w:rPr>
          <w:lang w:val="nn-NO"/>
        </w:rPr>
        <w:t>2016) Ulv i norsk natur. Bestandsmål for ulv og ulvesone, s. 20.</w:t>
      </w:r>
    </w:p>
  </w:footnote>
  <w:footnote w:id="119">
    <w:p w14:paraId="747485B2" w14:textId="2764213F" w:rsidR="00CD439F" w:rsidRPr="009264D9"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rsidRPr="009264D9">
        <w:rPr>
          <w:lang w:val="nn-NO"/>
        </w:rPr>
        <w:t>HR-2018-456-P (Nesseby) avsnitt 97.</w:t>
      </w:r>
    </w:p>
  </w:footnote>
  <w:footnote w:id="120">
    <w:p w14:paraId="1E6E00EB" w14:textId="13CA70C4" w:rsidR="00CD439F" w:rsidRPr="009264D9"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rsidRPr="009264D9">
        <w:rPr>
          <w:lang w:val="nn-NO"/>
        </w:rPr>
        <w:t>https://fn.no/avtaler/urfolk/fns-erklaering-om-urfolks-rettigheter#Gjennomf%C3%B8ring-1</w:t>
      </w:r>
    </w:p>
  </w:footnote>
  <w:footnote w:id="121">
    <w:p w14:paraId="330EA9A5" w14:textId="4B2CC39C" w:rsidR="00CD439F" w:rsidRPr="009264D9"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rsidRPr="009264D9">
        <w:rPr>
          <w:lang w:val="nn-NO"/>
        </w:rPr>
        <w:t>Argentina, Bolivia, Brasil, Chile, Colombia, Costa Rica, Danmark, Den sentralafrikanske republikk, Den dominikanske republikk, Ecuador, Fiji, Guatemala, Honduras, Luxembourg, Mexico, Nepal, Nederland, Nicaragua, Norge, Paraguay, Peru, Spania, Tyskland og Venezuela.</w:t>
      </w:r>
    </w:p>
  </w:footnote>
  <w:footnote w:id="122">
    <w:p w14:paraId="55F9BD87" w14:textId="4F3C3BF3" w:rsidR="00CD439F" w:rsidRPr="00213498"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213498">
        <w:rPr>
          <w:lang w:val="en-GB"/>
        </w:rPr>
        <w:t>United Nations Permanent Forum on Indigenous Issues (UNPFII).</w:t>
      </w:r>
    </w:p>
  </w:footnote>
  <w:footnote w:id="123">
    <w:p w14:paraId="11C336A7" w14:textId="3E909C7F" w:rsidR="00CD439F" w:rsidRPr="00213498"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213498">
        <w:rPr>
          <w:lang w:val="en-GB"/>
        </w:rPr>
        <w:t>United Nations Special Rapporteur on Indigenous Peoples.</w:t>
      </w:r>
    </w:p>
  </w:footnote>
  <w:footnote w:id="124">
    <w:p w14:paraId="43FA9C63" w14:textId="758D1FD4" w:rsidR="00CD439F" w:rsidRPr="00213498"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213498">
        <w:rPr>
          <w:lang w:val="en-GB"/>
        </w:rPr>
        <w:t>The Expert Mechanism on the Rights of Indigenous Peoples (EMRIP).</w:t>
      </w:r>
    </w:p>
  </w:footnote>
  <w:footnote w:id="125">
    <w:p w14:paraId="1D418E02" w14:textId="7C036EB1" w:rsidR="00CD439F" w:rsidRPr="005F1F04"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5F1F04">
        <w:rPr>
          <w:lang w:val="en-US"/>
        </w:rPr>
        <w:t xml:space="preserve">Human Rights Committee, </w:t>
      </w:r>
      <w:r w:rsidR="00CD439F" w:rsidRPr="00CD439F">
        <w:rPr>
          <w:rStyle w:val="kursiv"/>
          <w:lang w:val="en-US"/>
        </w:rPr>
        <w:t xml:space="preserve">Pereira et al. v. Paraguay </w:t>
      </w:r>
      <w:r w:rsidR="00CD439F" w:rsidRPr="005F1F04">
        <w:rPr>
          <w:lang w:val="en-US"/>
        </w:rPr>
        <w:t xml:space="preserve">(Communication 2552/2015) </w:t>
      </w:r>
      <w:proofErr w:type="spellStart"/>
      <w:r w:rsidR="00CD439F">
        <w:rPr>
          <w:rFonts w:cs="Times New Roman"/>
          <w:lang w:val="en-GB"/>
        </w:rPr>
        <w:t>avsnitt</w:t>
      </w:r>
      <w:proofErr w:type="spellEnd"/>
      <w:r w:rsidR="00CD439F" w:rsidRPr="005F1F04">
        <w:rPr>
          <w:lang w:val="en-US"/>
        </w:rPr>
        <w:t xml:space="preserve"> 8.6.</w:t>
      </w:r>
    </w:p>
  </w:footnote>
  <w:footnote w:id="126">
    <w:p w14:paraId="2D965ED4" w14:textId="0216AC5A" w:rsidR="00CD439F" w:rsidRPr="005F1F04"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5F1F04">
        <w:rPr>
          <w:lang w:val="en-US"/>
        </w:rPr>
        <w:t xml:space="preserve">Human Rights Committee, </w:t>
      </w:r>
      <w:r w:rsidR="00CD439F" w:rsidRPr="00CD439F">
        <w:rPr>
          <w:rStyle w:val="kursiv"/>
          <w:lang w:val="en-US"/>
        </w:rPr>
        <w:t>Alisa Roy v. Australia</w:t>
      </w:r>
      <w:r w:rsidR="00CD439F" w:rsidRPr="005F1F04">
        <w:rPr>
          <w:lang w:val="en-US"/>
        </w:rPr>
        <w:t xml:space="preserve"> (Communication 3585/2019) </w:t>
      </w:r>
      <w:proofErr w:type="spellStart"/>
      <w:r w:rsidR="00CD439F">
        <w:rPr>
          <w:rFonts w:cs="Times New Roman"/>
          <w:lang w:val="en-GB"/>
        </w:rPr>
        <w:t>avsnitt</w:t>
      </w:r>
      <w:proofErr w:type="spellEnd"/>
      <w:r w:rsidR="00CD439F" w:rsidRPr="005F1F04">
        <w:rPr>
          <w:lang w:val="en-US"/>
        </w:rPr>
        <w:t xml:space="preserve"> 8.7.</w:t>
      </w:r>
    </w:p>
  </w:footnote>
  <w:footnote w:id="127">
    <w:p w14:paraId="515B511D" w14:textId="64FA934A" w:rsidR="00CD439F" w:rsidRPr="00282EDF"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282EDF">
        <w:rPr>
          <w:lang w:val="en-GB"/>
        </w:rPr>
        <w:t>United Nations Human Rights, Office o</w:t>
      </w:r>
      <w:r w:rsidR="00CD439F">
        <w:rPr>
          <w:lang w:val="en-GB"/>
        </w:rPr>
        <w:t xml:space="preserve">f the High Commissioner, Free, </w:t>
      </w:r>
      <w:r w:rsidR="00CD439F" w:rsidRPr="00CD439F">
        <w:rPr>
          <w:rStyle w:val="kursiv"/>
          <w:lang w:val="en-US"/>
        </w:rPr>
        <w:t>Prior and Informed consent</w:t>
      </w:r>
      <w:r w:rsidR="00CD439F">
        <w:rPr>
          <w:lang w:val="en-GB"/>
        </w:rPr>
        <w:t>, 2013 (https://www.o</w:t>
      </w:r>
      <w:r w:rsidR="00CD439F" w:rsidRPr="006D7ACC">
        <w:rPr>
          <w:lang w:val="en-GB"/>
        </w:rPr>
        <w:t>hchr.org/sites/default/files/Documents/Issues/IPeoples/FreePriorandInformedConsent.pdf</w:t>
      </w:r>
      <w:r w:rsidR="00CD439F">
        <w:rPr>
          <w:lang w:val="en-GB"/>
        </w:rPr>
        <w:t>)</w:t>
      </w:r>
    </w:p>
  </w:footnote>
  <w:footnote w:id="128">
    <w:p w14:paraId="0A88182B" w14:textId="0D5B6CDD" w:rsidR="00CD439F" w:rsidRPr="00EF73F6"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094654">
        <w:rPr>
          <w:lang w:val="en-GB"/>
        </w:rPr>
        <w:t xml:space="preserve">Human Rights Committee, </w:t>
      </w:r>
      <w:r w:rsidR="00CD439F" w:rsidRPr="00CD439F">
        <w:rPr>
          <w:rStyle w:val="kursiv"/>
          <w:lang w:val="en-US"/>
        </w:rPr>
        <w:t xml:space="preserve">Poma </w:t>
      </w:r>
      <w:proofErr w:type="spellStart"/>
      <w:r w:rsidR="00CD439F" w:rsidRPr="00CD439F">
        <w:rPr>
          <w:rStyle w:val="kursiv"/>
          <w:lang w:val="en-US"/>
        </w:rPr>
        <w:t>Poma</w:t>
      </w:r>
      <w:proofErr w:type="spellEnd"/>
      <w:r w:rsidR="00CD439F" w:rsidRPr="00CD439F">
        <w:rPr>
          <w:rStyle w:val="kursiv"/>
          <w:lang w:val="en-US"/>
        </w:rPr>
        <w:t xml:space="preserve"> v. Peru </w:t>
      </w:r>
      <w:r w:rsidR="00CD439F" w:rsidRPr="00094654">
        <w:rPr>
          <w:lang w:val="en-GB"/>
        </w:rPr>
        <w:t>(</w:t>
      </w:r>
      <w:proofErr w:type="spellStart"/>
      <w:r w:rsidR="00CD439F" w:rsidRPr="00094654">
        <w:rPr>
          <w:lang w:val="en-GB"/>
        </w:rPr>
        <w:t>Comminication</w:t>
      </w:r>
      <w:proofErr w:type="spellEnd"/>
      <w:r w:rsidR="00CD439F" w:rsidRPr="00094654">
        <w:rPr>
          <w:lang w:val="en-GB"/>
        </w:rPr>
        <w:t xml:space="preserve"> No.</w:t>
      </w:r>
      <w:r w:rsidR="00CD439F">
        <w:rPr>
          <w:lang w:val="en-GB"/>
        </w:rPr>
        <w:t xml:space="preserve"> 1457/2006) </w:t>
      </w:r>
      <w:proofErr w:type="spellStart"/>
      <w:r w:rsidR="00CD439F">
        <w:rPr>
          <w:rFonts w:cs="Times New Roman"/>
          <w:lang w:val="en-GB"/>
        </w:rPr>
        <w:t>avsnitt</w:t>
      </w:r>
      <w:proofErr w:type="spellEnd"/>
      <w:r w:rsidR="00CD439F" w:rsidRPr="00094654">
        <w:rPr>
          <w:lang w:val="en-GB"/>
        </w:rPr>
        <w:t xml:space="preserve"> </w:t>
      </w:r>
      <w:r w:rsidR="00CD439F" w:rsidRPr="00EF73F6">
        <w:rPr>
          <w:lang w:val="en-GB"/>
        </w:rPr>
        <w:t>7.6.</w:t>
      </w:r>
    </w:p>
  </w:footnote>
  <w:footnote w:id="129">
    <w:p w14:paraId="6CCC3F48" w14:textId="60624DE9" w:rsidR="00CD439F" w:rsidRPr="00C8071A"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C8071A">
        <w:rPr>
          <w:lang w:val="en-GB"/>
        </w:rPr>
        <w:t xml:space="preserve">Human Rights Committee, </w:t>
      </w:r>
      <w:r w:rsidR="00CD439F" w:rsidRPr="00CD439F">
        <w:rPr>
          <w:rStyle w:val="kursiv"/>
          <w:lang w:val="en-US"/>
        </w:rPr>
        <w:t>Pereira et al. v Paraguay</w:t>
      </w:r>
      <w:r w:rsidR="00CD439F">
        <w:rPr>
          <w:lang w:val="en-GB"/>
        </w:rPr>
        <w:t xml:space="preserve"> (Communication No. 2552/2015) </w:t>
      </w:r>
      <w:proofErr w:type="spellStart"/>
      <w:r w:rsidR="00CD439F">
        <w:rPr>
          <w:rFonts w:cs="Times New Roman"/>
          <w:lang w:val="en-GB"/>
        </w:rPr>
        <w:t>avsnitt</w:t>
      </w:r>
      <w:proofErr w:type="spellEnd"/>
      <w:r w:rsidR="00CD439F">
        <w:rPr>
          <w:lang w:val="en-GB"/>
        </w:rPr>
        <w:t xml:space="preserve"> 8.6 og 8.7.</w:t>
      </w:r>
    </w:p>
  </w:footnote>
  <w:footnote w:id="130">
    <w:p w14:paraId="533C47BA" w14:textId="258C5ED4" w:rsidR="00CD439F" w:rsidRPr="00E53BFD"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E53BFD">
        <w:rPr>
          <w:lang w:val="en-GB"/>
        </w:rPr>
        <w:t xml:space="preserve">Human Rights Committee, </w:t>
      </w:r>
      <w:r w:rsidR="00CD439F" w:rsidRPr="00CD439F">
        <w:rPr>
          <w:rStyle w:val="kursiv"/>
          <w:lang w:val="en-US"/>
        </w:rPr>
        <w:t>Ailsa Roy et al v. Australia</w:t>
      </w:r>
      <w:r w:rsidR="00CD439F">
        <w:rPr>
          <w:lang w:val="en-GB"/>
        </w:rPr>
        <w:t xml:space="preserve"> (Communication No. 3585/2019) </w:t>
      </w:r>
      <w:proofErr w:type="spellStart"/>
      <w:r w:rsidR="00CD439F">
        <w:rPr>
          <w:rFonts w:cs="Times New Roman"/>
          <w:lang w:val="en-GB"/>
        </w:rPr>
        <w:t>avsnitt</w:t>
      </w:r>
      <w:proofErr w:type="spellEnd"/>
      <w:r w:rsidR="00CD439F">
        <w:rPr>
          <w:lang w:val="en-GB"/>
        </w:rPr>
        <w:t xml:space="preserve"> 8.2 og 8.5.</w:t>
      </w:r>
    </w:p>
  </w:footnote>
  <w:footnote w:id="131">
    <w:p w14:paraId="52CB3105" w14:textId="5F4414CB" w:rsidR="00CD439F" w:rsidRPr="00CF416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E53BFD">
        <w:rPr>
          <w:lang w:val="en-GB"/>
        </w:rPr>
        <w:t xml:space="preserve">Human Rights Committee, </w:t>
      </w:r>
      <w:r w:rsidR="00CD439F" w:rsidRPr="00CD439F">
        <w:rPr>
          <w:rStyle w:val="kursiv"/>
          <w:lang w:val="en-US"/>
        </w:rPr>
        <w:t xml:space="preserve">Ailsa Roy et al v. Australia </w:t>
      </w:r>
      <w:r w:rsidR="00CD439F">
        <w:rPr>
          <w:lang w:val="en-GB"/>
        </w:rPr>
        <w:t xml:space="preserve">(Communication No. 3585/2019) </w:t>
      </w:r>
      <w:proofErr w:type="spellStart"/>
      <w:r w:rsidR="00CD439F">
        <w:rPr>
          <w:rFonts w:cs="Times New Roman"/>
          <w:lang w:val="en-GB"/>
        </w:rPr>
        <w:t>avsnitt</w:t>
      </w:r>
      <w:proofErr w:type="spellEnd"/>
      <w:r w:rsidR="00CD439F">
        <w:rPr>
          <w:lang w:val="en-GB"/>
        </w:rPr>
        <w:t xml:space="preserve"> </w:t>
      </w:r>
      <w:r w:rsidR="00CD439F" w:rsidRPr="00CF416F">
        <w:rPr>
          <w:lang w:val="en-US"/>
        </w:rPr>
        <w:t>8.7.</w:t>
      </w:r>
    </w:p>
  </w:footnote>
  <w:footnote w:id="132">
    <w:p w14:paraId="26240C42" w14:textId="55FCC520" w:rsidR="00CD439F" w:rsidRPr="007D192E" w:rsidRDefault="00404399" w:rsidP="00CD439F">
      <w:pPr>
        <w:pStyle w:val="Fotnotetekst"/>
      </w:pPr>
      <w:r w:rsidRPr="00CD439F">
        <w:rPr>
          <w:rStyle w:val="Fotnotereferanse"/>
        </w:rPr>
        <w:footnoteRef/>
      </w:r>
      <w:r>
        <w:rPr>
          <w:rStyle w:val="Fotnotereferanse"/>
        </w:rPr>
        <w:t xml:space="preserve"> </w:t>
      </w:r>
      <w:r w:rsidR="00CD439F" w:rsidRPr="0002534A">
        <w:rPr>
          <w:rFonts w:eastAsiaTheme="minorHAnsi"/>
        </w:rPr>
        <w:t xml:space="preserve">I den gamle samiske religionen ble bjørnen ansett for å være et hellig dyr og et mytologisk vesen. Se: </w:t>
      </w:r>
      <w:proofErr w:type="spellStart"/>
      <w:r w:rsidR="00CD439F" w:rsidRPr="0002534A">
        <w:rPr>
          <w:rFonts w:eastAsiaTheme="minorHAnsi"/>
        </w:rPr>
        <w:t>Bäckman</w:t>
      </w:r>
      <w:proofErr w:type="spellEnd"/>
      <w:r w:rsidR="00CD439F" w:rsidRPr="0002534A">
        <w:rPr>
          <w:rFonts w:eastAsiaTheme="minorHAnsi"/>
        </w:rPr>
        <w:t>, Louise: «</w:t>
      </w:r>
      <w:proofErr w:type="spellStart"/>
      <w:r w:rsidR="00CD439F" w:rsidRPr="0002534A">
        <w:rPr>
          <w:rFonts w:eastAsiaTheme="minorHAnsi"/>
        </w:rPr>
        <w:t>Björnen</w:t>
      </w:r>
      <w:proofErr w:type="spellEnd"/>
      <w:r w:rsidR="00CD439F" w:rsidRPr="0002534A">
        <w:rPr>
          <w:rFonts w:eastAsiaTheme="minorHAnsi"/>
        </w:rPr>
        <w:t xml:space="preserve"> i samisk </w:t>
      </w:r>
      <w:proofErr w:type="spellStart"/>
      <w:r w:rsidR="00CD439F" w:rsidRPr="0002534A">
        <w:rPr>
          <w:rFonts w:eastAsiaTheme="minorHAnsi"/>
        </w:rPr>
        <w:t>tradition</w:t>
      </w:r>
      <w:proofErr w:type="spellEnd"/>
      <w:r w:rsidR="00CD439F" w:rsidRPr="0002534A">
        <w:rPr>
          <w:rFonts w:eastAsiaTheme="minorHAnsi"/>
        </w:rPr>
        <w:t xml:space="preserve">» i Svanberg, Ingvar &amp; Håkan </w:t>
      </w:r>
      <w:proofErr w:type="spellStart"/>
      <w:r w:rsidR="00CD439F" w:rsidRPr="0002534A">
        <w:rPr>
          <w:rFonts w:eastAsiaTheme="minorHAnsi"/>
        </w:rPr>
        <w:t>Tunón</w:t>
      </w:r>
      <w:proofErr w:type="spellEnd"/>
      <w:r w:rsidR="00CD439F" w:rsidRPr="0002534A">
        <w:rPr>
          <w:rFonts w:eastAsiaTheme="minorHAnsi"/>
        </w:rPr>
        <w:t xml:space="preserve">, red.: Samisk etnobiologi, 2000, 216-26, </w:t>
      </w:r>
      <w:proofErr w:type="spellStart"/>
      <w:r w:rsidR="00CD439F" w:rsidRPr="0002534A">
        <w:rPr>
          <w:rFonts w:eastAsiaTheme="minorHAnsi"/>
        </w:rPr>
        <w:t>isbn</w:t>
      </w:r>
      <w:proofErr w:type="spellEnd"/>
      <w:r w:rsidR="00CD439F" w:rsidRPr="0002534A">
        <w:rPr>
          <w:rFonts w:eastAsiaTheme="minorHAnsi"/>
        </w:rPr>
        <w:t xml:space="preserve"> 91-578-0347-1. Også ulven var i samisk kultur et fryktet og respektert dyr, nesten mytisk, som man ofte omtalte med omskrivninger (noaord) for å unngå direkte navngiving på grunn av dens magiske</w:t>
      </w:r>
      <w:r w:rsidR="00CD439F" w:rsidRPr="0002534A">
        <w:t xml:space="preserve"> </w:t>
      </w:r>
      <w:r w:rsidR="00CD439F" w:rsidRPr="0002534A">
        <w:rPr>
          <w:rFonts w:eastAsiaTheme="minorHAnsi"/>
        </w:rPr>
        <w:t xml:space="preserve">kraft. Ulven ble omtalt i fortellinger, hadde en egen joik, og var en del av den tradisjonelle samiske tilnærmingen til landskapet, der jakt og fangst var sentralt. (Store norske leksikon). Også kongeørn spiller en viktig rolle i den samiske kulturen som et viktig åndelig og kulturelt symbol, hvor den ofte er forbundet med styrke, visdom, og en dyp forbindelse til naturen og det spirituelle. Ørnen er et sentralt motiv i samisk mytologi og sagn, og er en del av den samiske identiteten. Se: Friis, Jens Andreas 1871. Lappisk </w:t>
      </w:r>
      <w:proofErr w:type="spellStart"/>
      <w:r w:rsidR="00CD439F" w:rsidRPr="0002534A">
        <w:rPr>
          <w:rFonts w:eastAsiaTheme="minorHAnsi"/>
        </w:rPr>
        <w:t>mythologi</w:t>
      </w:r>
      <w:proofErr w:type="spellEnd"/>
      <w:r w:rsidR="00CD439F" w:rsidRPr="0002534A">
        <w:rPr>
          <w:rFonts w:eastAsiaTheme="minorHAnsi"/>
        </w:rPr>
        <w:t>, eventyr og folkesagn. Cammermeyer. Christiania.</w:t>
      </w:r>
    </w:p>
  </w:footnote>
  <w:footnote w:id="133">
    <w:p w14:paraId="32187560" w14:textId="4D794236" w:rsidR="00CD439F" w:rsidRDefault="00404399" w:rsidP="00CD439F">
      <w:pPr>
        <w:pStyle w:val="Fotnotetekst"/>
      </w:pPr>
      <w:r w:rsidRPr="00CD439F">
        <w:rPr>
          <w:rStyle w:val="Fotnotereferanse"/>
        </w:rPr>
        <w:footnoteRef/>
      </w:r>
      <w:r>
        <w:rPr>
          <w:rStyle w:val="Fotnotereferanse"/>
        </w:rPr>
        <w:t xml:space="preserve"> </w:t>
      </w:r>
      <w:r w:rsidR="00CD439F">
        <w:t xml:space="preserve">Hans Christian Bugge, </w:t>
      </w:r>
      <w:r w:rsidR="00CD439F" w:rsidRPr="00CD439F">
        <w:rPr>
          <w:rStyle w:val="kursiv"/>
        </w:rPr>
        <w:t>Hovedtrekk i internasjonal miljørett</w:t>
      </w:r>
      <w:r w:rsidR="00CD439F">
        <w:t xml:space="preserve">, i: Hans Christian Bugge og Christina </w:t>
      </w:r>
      <w:proofErr w:type="spellStart"/>
      <w:r w:rsidR="00CD439F">
        <w:t>Voigt</w:t>
      </w:r>
      <w:proofErr w:type="spellEnd"/>
      <w:r w:rsidR="00CD439F">
        <w:t>, Klimarett (andre utgave, 2024), 97-121.</w:t>
      </w:r>
    </w:p>
  </w:footnote>
  <w:footnote w:id="134">
    <w:p w14:paraId="197E796C" w14:textId="396523F4" w:rsidR="00CD439F" w:rsidRPr="009264D9" w:rsidRDefault="00404399" w:rsidP="00CD439F">
      <w:pPr>
        <w:pStyle w:val="Fotnotetekst"/>
        <w:rPr>
          <w:lang w:val="en-US"/>
        </w:rPr>
      </w:pPr>
      <w:r w:rsidRPr="00CD439F">
        <w:rPr>
          <w:rStyle w:val="Fotnotereferanse"/>
        </w:rPr>
        <w:footnoteRef/>
      </w:r>
      <w:r w:rsidRPr="009264D9">
        <w:rPr>
          <w:rStyle w:val="Fotnotereferanse"/>
          <w:lang w:val="en-US"/>
        </w:rPr>
        <w:t xml:space="preserve"> </w:t>
      </w:r>
      <w:r w:rsidR="00CD439F">
        <w:fldChar w:fldCharType="begin"/>
      </w:r>
      <w:r w:rsidR="00CD439F" w:rsidRPr="009264D9">
        <w:rPr>
          <w:lang w:val="en-US"/>
        </w:rPr>
        <w:instrText xml:space="preserve"> ADDIN EN.CITE &lt;EndNote&gt;&lt;Cite&gt;&lt;Author&gt;ICJ&lt;/Author&gt;&lt;Year&gt;2025&lt;/Year&gt;&lt;RecNum&gt;10129&lt;/RecNum&gt;&lt;DisplayText&gt;ICJ, &lt;style face="italic"&gt;Obligations of States in Respect of Climate Change (Advisory Opinion)&lt;/style&gt; (2025)&lt;/DisplayText&gt;&lt;record&gt;&lt;rec-number&gt;10129&lt;/rec-number&gt;&lt;foreign-keys&gt;&lt;key app="EN" db-id="5sffrv50pw0vx2esf075e50jafxwafzxe9r0" timestamp="1755918851" guid="585812a6-c51d-4aa0-a503-6fd559edbf53"&gt;10129&lt;/key&gt;&lt;/foreign-keys&gt;&lt;ref-type name="Generic"&gt;13&lt;/ref-type&gt;&lt;contributors&gt;&lt;authors&gt;&lt;author&gt;ICJ&lt;/author&gt;&lt;/authors&gt;&lt;/contributors&gt;&lt;titles&gt;&lt;title&gt;Obligations of States in Respect of Climate Change (Advisory Opinion)&lt;/title&gt;&lt;/titles&gt;&lt;keywords&gt;&lt;keyword&gt;Miljø klima&lt;/keyword&gt;&lt;/keywords&gt;&lt;dates&gt;&lt;year&gt;2025&lt;/year&gt;&lt;/dates&gt;&lt;urls&gt;&lt;related-urls&gt;&lt;url&gt;https://www.icj-cij.org/case/187&lt;/url&gt;&lt;/related-urls&gt;&lt;/urls&gt;&lt;/record&gt;&lt;/Cite&gt;&lt;/EndNote&gt;</w:instrText>
      </w:r>
      <w:r w:rsidR="00CD439F">
        <w:fldChar w:fldCharType="separate"/>
      </w:r>
      <w:r w:rsidR="00CD439F" w:rsidRPr="009264D9">
        <w:rPr>
          <w:noProof/>
          <w:lang w:val="en-US"/>
        </w:rPr>
        <w:t xml:space="preserve">ICJ, </w:t>
      </w:r>
      <w:r w:rsidR="00CD439F" w:rsidRPr="009264D9">
        <w:rPr>
          <w:rStyle w:val="kursiv"/>
          <w:lang w:val="en-US"/>
        </w:rPr>
        <w:t>Obligations of States in Respect of Climate Change (Advisory Opinion)</w:t>
      </w:r>
      <w:r w:rsidR="00CD439F" w:rsidRPr="009264D9">
        <w:rPr>
          <w:noProof/>
          <w:lang w:val="en-US"/>
        </w:rPr>
        <w:t xml:space="preserve"> (2025)</w:t>
      </w:r>
      <w:r w:rsidR="00CD439F">
        <w:fldChar w:fldCharType="end"/>
      </w:r>
      <w:r w:rsidR="00CD439F" w:rsidRPr="009264D9">
        <w:rPr>
          <w:lang w:val="en-US"/>
        </w:rPr>
        <w:t xml:space="preserve">, </w:t>
      </w:r>
      <w:proofErr w:type="spellStart"/>
      <w:r w:rsidR="00CD439F" w:rsidRPr="009264D9">
        <w:rPr>
          <w:lang w:val="en-US"/>
        </w:rPr>
        <w:t>avsnitt</w:t>
      </w:r>
      <w:proofErr w:type="spellEnd"/>
      <w:r w:rsidR="00CD439F" w:rsidRPr="009264D9">
        <w:rPr>
          <w:lang w:val="en-US"/>
        </w:rPr>
        <w:t xml:space="preserve"> 161. </w:t>
      </w:r>
    </w:p>
  </w:footnote>
  <w:footnote w:id="135">
    <w:p w14:paraId="1335452F" w14:textId="4A4C2190" w:rsidR="00CD439F" w:rsidRPr="005C6A9A"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246CA3">
        <w:fldChar w:fldCharType="begin"/>
      </w:r>
      <w:r w:rsidR="00CD439F" w:rsidRPr="00246CA3">
        <w:rPr>
          <w:lang w:val="en-US"/>
        </w:rPr>
        <w:instrText xml:space="preserve"> ADDIN EN.CITE &lt;EndNote&gt;&lt;Cite&gt;&lt;Author&gt;ICJ&lt;/Author&gt;&lt;Year&gt;2025&lt;/Year&gt;&lt;RecNum&gt;10129&lt;/RecNum&gt;&lt;DisplayText&gt;Ibid&lt;/DisplayText&gt;&lt;record&gt;&lt;rec-number&gt;10129&lt;/rec-number&gt;&lt;foreign-keys&gt;&lt;key app="EN" db-id="5sffrv50pw0vx2esf075e50jafxwafzxe9r0" timestamp="1755918851" guid="585812a6-c51d-4aa0-a503-6fd559edbf53"&gt;10129&lt;/key&gt;&lt;/foreign-keys&gt;&lt;ref-type name="Generic"&gt;13&lt;/ref-type&gt;&lt;contributors&gt;&lt;authors&gt;&lt;author&gt;ICJ&lt;/author&gt;&lt;/authors&gt;&lt;/contributors&gt;&lt;titles&gt;&lt;title&gt;Obligations of States in Respect of Climate Change (Advisory Opinion)&lt;/title&gt;&lt;/titles&gt;&lt;keywords&gt;&lt;keyword&gt;Miljø klima&lt;/keyword&gt;&lt;/keywords&gt;&lt;dates&gt;&lt;year&gt;2025&lt;/year&gt;&lt;/dates&gt;&lt;urls&gt;&lt;related-urls&gt;&lt;url&gt;https://www.icj-cij.org/case/187&lt;/url&gt;&lt;/related-urls&gt;&lt;/urls&gt;&lt;/record&gt;&lt;/Cite&gt;&lt;/EndNote&gt;</w:instrText>
      </w:r>
      <w:r w:rsidR="00CD439F" w:rsidRPr="00246CA3">
        <w:fldChar w:fldCharType="separate"/>
      </w:r>
      <w:r w:rsidR="00CD439F" w:rsidRPr="00246CA3">
        <w:rPr>
          <w:noProof/>
          <w:lang w:val="en-US"/>
        </w:rPr>
        <w:t>Ibid</w:t>
      </w:r>
      <w:r w:rsidR="00CD439F" w:rsidRPr="00246CA3">
        <w:fldChar w:fldCharType="end"/>
      </w:r>
      <w:r w:rsidR="00CD439F" w:rsidRPr="00246CA3">
        <w:rPr>
          <w:lang w:val="en-US"/>
        </w:rPr>
        <w:t xml:space="preserve">, </w:t>
      </w:r>
      <w:proofErr w:type="spellStart"/>
      <w:r w:rsidR="00CD439F" w:rsidRPr="00246CA3">
        <w:rPr>
          <w:lang w:val="en-US"/>
        </w:rPr>
        <w:t>avsnitt</w:t>
      </w:r>
      <w:proofErr w:type="spellEnd"/>
      <w:r w:rsidR="00CD439F" w:rsidRPr="00246CA3">
        <w:rPr>
          <w:lang w:val="en-US"/>
        </w:rPr>
        <w:t xml:space="preserve"> 134.</w:t>
      </w:r>
    </w:p>
  </w:footnote>
  <w:footnote w:id="136">
    <w:p w14:paraId="2DB48CEF" w14:textId="2946B7DB" w:rsidR="00CD439F" w:rsidRPr="005C6A9A"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246CA3">
        <w:fldChar w:fldCharType="begin"/>
      </w:r>
      <w:r w:rsidR="00CD439F" w:rsidRPr="00246CA3">
        <w:rPr>
          <w:lang w:val="en-US"/>
        </w:rPr>
        <w:instrText xml:space="preserve"> ADDIN EN.CITE &lt;EndNote&gt;&lt;Cite&gt;&lt;Author&gt;ICJ&lt;/Author&gt;&lt;Year&gt;2025&lt;/Year&gt;&lt;RecNum&gt;10129&lt;/RecNum&gt;&lt;DisplayText&gt;Ibid&lt;/DisplayText&gt;&lt;record&gt;&lt;rec-number&gt;10129&lt;/rec-number&gt;&lt;foreign-keys&gt;&lt;key app="EN" db-id="5sffrv50pw0vx2esf075e50jafxwafzxe9r0" timestamp="1755918851" guid="585812a6-c51d-4aa0-a503-6fd559edbf53"&gt;10129&lt;/key&gt;&lt;/foreign-keys&gt;&lt;ref-type name="Generic"&gt;13&lt;/ref-type&gt;&lt;contributors&gt;&lt;authors&gt;&lt;author&gt;ICJ&lt;/author&gt;&lt;/authors&gt;&lt;/contributors&gt;&lt;titles&gt;&lt;title&gt;Obligations of States in Respect of Climate Change (Advisory Opinion)&lt;/title&gt;&lt;/titles&gt;&lt;keywords&gt;&lt;keyword&gt;Miljø klima&lt;/keyword&gt;&lt;/keywords&gt;&lt;dates&gt;&lt;year&gt;2025&lt;/year&gt;&lt;/dates&gt;&lt;urls&gt;&lt;related-urls&gt;&lt;url&gt;https://www.icj-cij.org/case/187&lt;/url&gt;&lt;/related-urls&gt;&lt;/urls&gt;&lt;/record&gt;&lt;/Cite&gt;&lt;/EndNote&gt;</w:instrText>
      </w:r>
      <w:r w:rsidR="00CD439F" w:rsidRPr="00246CA3">
        <w:fldChar w:fldCharType="separate"/>
      </w:r>
      <w:r w:rsidR="00CD439F" w:rsidRPr="00246CA3">
        <w:rPr>
          <w:noProof/>
          <w:lang w:val="en-US"/>
        </w:rPr>
        <w:t>Ibid</w:t>
      </w:r>
      <w:r w:rsidR="00CD439F" w:rsidRPr="00246CA3">
        <w:fldChar w:fldCharType="end"/>
      </w:r>
      <w:r w:rsidR="00CD439F" w:rsidRPr="00246CA3">
        <w:rPr>
          <w:lang w:val="en-US"/>
        </w:rPr>
        <w:t xml:space="preserve">, </w:t>
      </w:r>
      <w:proofErr w:type="spellStart"/>
      <w:r w:rsidR="00CD439F" w:rsidRPr="00246CA3">
        <w:rPr>
          <w:lang w:val="en-US"/>
        </w:rPr>
        <w:t>avsnitt</w:t>
      </w:r>
      <w:proofErr w:type="spellEnd"/>
      <w:r w:rsidR="00CD439F" w:rsidRPr="00246CA3">
        <w:rPr>
          <w:lang w:val="en-US"/>
        </w:rPr>
        <w:t xml:space="preserve"> 140.</w:t>
      </w:r>
    </w:p>
  </w:footnote>
  <w:footnote w:id="137">
    <w:p w14:paraId="798CBACE" w14:textId="42A816EF" w:rsidR="00CD439F" w:rsidRPr="005C6A9A" w:rsidRDefault="00404399" w:rsidP="00CD439F">
      <w:pPr>
        <w:pStyle w:val="Fotnotetekst"/>
        <w:rPr>
          <w:lang w:val="en-US"/>
        </w:rPr>
      </w:pPr>
      <w:r w:rsidRPr="00CD439F">
        <w:rPr>
          <w:rStyle w:val="Fotnotereferanse"/>
        </w:rPr>
        <w:footnoteRef/>
      </w:r>
      <w:r w:rsidRPr="00404399">
        <w:rPr>
          <w:rStyle w:val="Fotnotereferanse"/>
          <w:lang w:val="en-US"/>
        </w:rPr>
        <w:t xml:space="preserve"> </w:t>
      </w:r>
      <w:hyperlink r:id="rId6" w:history="1">
        <w:r w:rsidR="00CD439F" w:rsidRPr="005C6A9A">
          <w:rPr>
            <w:rStyle w:val="Hyperkobling"/>
            <w:rFonts w:cs="Times New Roman"/>
            <w:lang w:val="en-US"/>
          </w:rPr>
          <w:t>https://www.coe.int/en/web/Conventions/full-list?module=declarations-by-treaty&amp;numSte=104&amp;codeNature=0</w:t>
        </w:r>
      </w:hyperlink>
    </w:p>
  </w:footnote>
  <w:footnote w:id="138">
    <w:p w14:paraId="3A0BA1D3" w14:textId="7D67D869" w:rsidR="00CD439F" w:rsidRPr="00CD439F" w:rsidRDefault="00404399" w:rsidP="00CD439F">
      <w:pPr>
        <w:pStyle w:val="Fotnotetekst"/>
        <w:rPr>
          <w:rStyle w:val="halvfet"/>
          <w:lang w:val="en-US"/>
        </w:rPr>
      </w:pPr>
      <w:r w:rsidRPr="00CD439F">
        <w:rPr>
          <w:rStyle w:val="Fotnotereferanse"/>
        </w:rPr>
        <w:footnoteRef/>
      </w:r>
      <w:r w:rsidRPr="00404399">
        <w:rPr>
          <w:rStyle w:val="Fotnotereferanse"/>
          <w:lang w:val="en-US"/>
        </w:rPr>
        <w:t xml:space="preserve"> </w:t>
      </w:r>
      <w:r w:rsidR="00CD439F">
        <w:fldChar w:fldCharType="begin"/>
      </w:r>
      <w:r w:rsidR="00CD439F" w:rsidRPr="004E64D6">
        <w:rPr>
          <w:lang w:val="en-US"/>
        </w:rPr>
        <w:instrText xml:space="preserve"> ADDIN EN.CITE &lt;EndNote&gt;&lt;Cite&gt;&lt;Author&gt;ICJ&lt;/Author&gt;&lt;Year&gt;2025&lt;/Year&gt;&lt;RecNum&gt;10129&lt;/RecNum&gt;&lt;DisplayText&gt;ICJ, &lt;style face="italic"&gt;Obligations of States in Respect of Climate Change (Advisory Opinion)&lt;/style&gt;&lt;/DisplayText&gt;&lt;record&gt;&lt;rec-number&gt;10129&lt;/rec-number&gt;&lt;foreign-keys&gt;&lt;key app="EN" db-id="5sffrv50pw0vx2esf075e50jafxwafzxe9r0" timestamp="1755918851" guid="585812a6-c51d-4aa0-a503-6fd559edbf53"&gt;10129&lt;/key&gt;&lt;/foreign-keys&gt;&lt;ref-type name="Generic"&gt;13&lt;/ref-type&gt;&lt;contributors&gt;&lt;authors&gt;&lt;author&gt;ICJ&lt;/author&gt;&lt;/authors&gt;&lt;/contributors&gt;&lt;titles&gt;&lt;title&gt;Obligations of States in Respect of Climate Change (Advisory Opinion)&lt;/title&gt;&lt;/titles&gt;&lt;keywords&gt;&lt;keyword&gt;Miljø klima&lt;/keyword&gt;&lt;/keywords&gt;&lt;dates&gt;&lt;year&gt;2025&lt;/year&gt;&lt;/dates&gt;&lt;urls&gt;&lt;related-urls&gt;&lt;url&gt;https://www.icj-cij.org/case/187&lt;/url&gt;&lt;/related-urls&gt;&lt;/urls&gt;&lt;/record&gt;&lt;/Cite&gt;&lt;/EndNote&gt;</w:instrText>
      </w:r>
      <w:r w:rsidR="00CD439F">
        <w:fldChar w:fldCharType="separate"/>
      </w:r>
      <w:r w:rsidR="00CD439F" w:rsidRPr="004E64D6">
        <w:rPr>
          <w:noProof/>
          <w:lang w:val="en-US"/>
        </w:rPr>
        <w:t xml:space="preserve">ICJ, </w:t>
      </w:r>
      <w:r w:rsidR="00CD439F" w:rsidRPr="00CD439F">
        <w:rPr>
          <w:rStyle w:val="kursiv"/>
          <w:lang w:val="en-US"/>
        </w:rPr>
        <w:t>Obligations of States in Respect of Climate Change (Advisory Opinion)</w:t>
      </w:r>
      <w:r w:rsidR="00CD439F">
        <w:fldChar w:fldCharType="end"/>
      </w:r>
      <w:r w:rsidR="00CD439F" w:rsidRPr="004E64D6">
        <w:rPr>
          <w:lang w:val="en-US"/>
        </w:rPr>
        <w:t>,</w:t>
      </w:r>
      <w:r w:rsidR="00CD439F">
        <w:rPr>
          <w:lang w:val="en-US"/>
        </w:rPr>
        <w:t xml:space="preserve"> </w:t>
      </w:r>
      <w:proofErr w:type="spellStart"/>
      <w:r w:rsidR="00CD439F">
        <w:rPr>
          <w:lang w:val="en-US"/>
        </w:rPr>
        <w:t>avsnitt</w:t>
      </w:r>
      <w:proofErr w:type="spellEnd"/>
      <w:r w:rsidR="00CD439F" w:rsidRPr="004E64D6">
        <w:rPr>
          <w:lang w:val="en-US"/>
        </w:rPr>
        <w:t xml:space="preserve"> 18</w:t>
      </w:r>
      <w:r w:rsidR="00CD439F">
        <w:rPr>
          <w:lang w:val="en-US"/>
        </w:rPr>
        <w:t>.</w:t>
      </w:r>
    </w:p>
  </w:footnote>
  <w:footnote w:id="139">
    <w:p w14:paraId="76ABF885" w14:textId="1AD3B3BA" w:rsidR="00CD439F" w:rsidRPr="0002534A" w:rsidRDefault="00404399" w:rsidP="00CD439F">
      <w:pPr>
        <w:pStyle w:val="Fotnotetekst"/>
      </w:pPr>
      <w:r w:rsidRPr="00CD439F">
        <w:rPr>
          <w:rStyle w:val="Fotnotereferanse"/>
        </w:rPr>
        <w:footnoteRef/>
      </w:r>
      <w:r w:rsidRPr="00404399">
        <w:rPr>
          <w:rStyle w:val="Fotnotereferanse"/>
          <w:lang w:val="en-US"/>
        </w:rPr>
        <w:t xml:space="preserve"> </w:t>
      </w:r>
      <w:r w:rsidR="00CD439F" w:rsidRPr="007E66B0">
        <w:rPr>
          <w:rFonts w:eastAsiaTheme="minorHAnsi"/>
          <w:lang w:val="en-US"/>
        </w:rPr>
        <w:t xml:space="preserve">CONVENTION ON THE CONSERVATION OF EUROPEAN WILDLIFE AND NATURAL HABITATS , Standing Committee, 41st meeting, Strasbourg, 29 November – 3 December 2021, Vision for the Bern Convention for the period to 2030. </w:t>
      </w:r>
      <w:r w:rsidR="00CD439F" w:rsidRPr="0002534A">
        <w:rPr>
          <w:rFonts w:eastAsiaTheme="minorHAnsi"/>
        </w:rPr>
        <w:t>Tilgjengelig her: https://rm.coe.int/tpvs14e-2021-vision-final/1680ada0f0.</w:t>
      </w:r>
    </w:p>
  </w:footnote>
  <w:footnote w:id="140">
    <w:p w14:paraId="22C3DE7F" w14:textId="0D56E48B" w:rsidR="00CD439F" w:rsidRPr="007E66B0"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7E66B0">
        <w:rPr>
          <w:rFonts w:eastAsiaTheme="minorHAnsi"/>
          <w:lang w:val="en-US"/>
        </w:rPr>
        <w:t xml:space="preserve">CONVENTION ON THE CONSERVATION OF EUROPEAN WILDLIFE AND NATURAL HABITATS, Standing Committee, 43rd meeting, Strasbourg, 27 November – 1 December 2023, Strategic Plan for the Bern Convention for the period to 2030, Adopted by the Standing Committee, December 2023, and aligned with the Vision for the Convention adopted by the Standing Committee in December 2021, </w:t>
      </w:r>
      <w:proofErr w:type="spellStart"/>
      <w:r w:rsidR="00CD439F" w:rsidRPr="007E66B0">
        <w:rPr>
          <w:rFonts w:eastAsiaTheme="minorHAnsi"/>
          <w:lang w:val="en-US"/>
        </w:rPr>
        <w:t>tilgjengelig</w:t>
      </w:r>
      <w:proofErr w:type="spellEnd"/>
      <w:r w:rsidR="00CD439F" w:rsidRPr="007E66B0">
        <w:rPr>
          <w:rFonts w:eastAsiaTheme="minorHAnsi"/>
          <w:lang w:val="en-US"/>
        </w:rPr>
        <w:t xml:space="preserve"> her: https://rm.coe.int/tpvs18e-2023-strategic-plan-final/1680ada084</w:t>
      </w:r>
    </w:p>
  </w:footnote>
  <w:footnote w:id="141">
    <w:p w14:paraId="530CC7C4" w14:textId="53DEBD02" w:rsidR="00CD439F" w:rsidRPr="007E66B0" w:rsidRDefault="00404399" w:rsidP="00CD439F">
      <w:pPr>
        <w:pStyle w:val="Fotnotetekst"/>
        <w:rPr>
          <w:lang w:val="en-US"/>
        </w:rPr>
      </w:pPr>
      <w:r w:rsidRPr="00CD439F">
        <w:rPr>
          <w:rStyle w:val="Fotnotereferanse"/>
        </w:rPr>
        <w:footnoteRef/>
      </w:r>
      <w:r w:rsidRPr="009264D9">
        <w:rPr>
          <w:rStyle w:val="Fotnotereferanse"/>
          <w:lang w:val="en-US"/>
        </w:rPr>
        <w:t xml:space="preserve"> </w:t>
      </w:r>
      <w:r w:rsidR="00CD439F" w:rsidRPr="007E66B0">
        <w:rPr>
          <w:rFonts w:eastAsiaTheme="minorHAnsi"/>
          <w:lang w:val="en-US"/>
        </w:rPr>
        <w:t>CBD Decision 15/4. Kunming-Montreal Global Biodiversity Framework, CBD/COP/DED/15/4, 19 December 2022.</w:t>
      </w:r>
    </w:p>
  </w:footnote>
  <w:footnote w:id="142">
    <w:p w14:paraId="03D06686" w14:textId="3364F7EB" w:rsidR="00CD439F" w:rsidRPr="005107D8" w:rsidRDefault="00404399" w:rsidP="00CD439F">
      <w:pPr>
        <w:pStyle w:val="Fotnotetekst"/>
      </w:pPr>
      <w:r w:rsidRPr="00CD439F">
        <w:rPr>
          <w:rStyle w:val="Fotnotereferanse"/>
        </w:rPr>
        <w:footnoteRef/>
      </w:r>
      <w:r w:rsidRPr="00404399">
        <w:rPr>
          <w:rStyle w:val="Fotnotereferanse"/>
          <w:lang w:val="en-US"/>
        </w:rPr>
        <w:t xml:space="preserve"> </w:t>
      </w:r>
      <w:r w:rsidR="00CD439F">
        <w:rPr>
          <w:lang w:val="en-US"/>
        </w:rPr>
        <w:t xml:space="preserve">Resolution adopted by the General Assembly on 25 September 2015, 70/1. </w:t>
      </w:r>
      <w:r w:rsidR="00CD439F" w:rsidRPr="00CD439F">
        <w:rPr>
          <w:rStyle w:val="kursiv"/>
        </w:rPr>
        <w:t xml:space="preserve">Transforming </w:t>
      </w:r>
      <w:proofErr w:type="spellStart"/>
      <w:r w:rsidR="00CD439F" w:rsidRPr="00CD439F">
        <w:rPr>
          <w:rStyle w:val="kursiv"/>
        </w:rPr>
        <w:t>our</w:t>
      </w:r>
      <w:proofErr w:type="spellEnd"/>
      <w:r w:rsidR="00CD439F" w:rsidRPr="00CD439F">
        <w:rPr>
          <w:rStyle w:val="kursiv"/>
        </w:rPr>
        <w:t xml:space="preserve"> </w:t>
      </w:r>
      <w:proofErr w:type="spellStart"/>
      <w:r w:rsidR="00CD439F" w:rsidRPr="00CD439F">
        <w:rPr>
          <w:rStyle w:val="kursiv"/>
        </w:rPr>
        <w:t>world</w:t>
      </w:r>
      <w:proofErr w:type="spellEnd"/>
      <w:r w:rsidR="00CD439F" w:rsidRPr="00CD439F">
        <w:rPr>
          <w:rStyle w:val="kursiv"/>
        </w:rPr>
        <w:t xml:space="preserve">: </w:t>
      </w:r>
      <w:proofErr w:type="spellStart"/>
      <w:r w:rsidR="00CD439F" w:rsidRPr="00CD439F">
        <w:rPr>
          <w:rStyle w:val="kursiv"/>
        </w:rPr>
        <w:t>the</w:t>
      </w:r>
      <w:proofErr w:type="spellEnd"/>
      <w:r w:rsidR="00CD439F" w:rsidRPr="00CD439F">
        <w:rPr>
          <w:rStyle w:val="kursiv"/>
        </w:rPr>
        <w:t xml:space="preserve"> 2030 Agenda for </w:t>
      </w:r>
      <w:proofErr w:type="spellStart"/>
      <w:r w:rsidR="00CD439F" w:rsidRPr="00CD439F">
        <w:rPr>
          <w:rStyle w:val="kursiv"/>
        </w:rPr>
        <w:t>Sustainable</w:t>
      </w:r>
      <w:proofErr w:type="spellEnd"/>
      <w:r w:rsidR="00CD439F" w:rsidRPr="00CD439F">
        <w:rPr>
          <w:rStyle w:val="kursiv"/>
        </w:rPr>
        <w:t xml:space="preserve"> Development.</w:t>
      </w:r>
    </w:p>
  </w:footnote>
  <w:footnote w:id="143">
    <w:p w14:paraId="6DBCF77C" w14:textId="094551A1" w:rsidR="00CD439F" w:rsidRPr="00612642" w:rsidRDefault="00404399" w:rsidP="00CD439F">
      <w:pPr>
        <w:pStyle w:val="Fotnotetekst"/>
      </w:pPr>
      <w:r w:rsidRPr="00CD439F">
        <w:rPr>
          <w:rStyle w:val="Fotnotereferanse"/>
        </w:rPr>
        <w:footnoteRef/>
      </w:r>
      <w:r>
        <w:rPr>
          <w:rStyle w:val="Fotnotereferanse"/>
        </w:rPr>
        <w:t xml:space="preserve"> </w:t>
      </w:r>
      <w:r w:rsidR="00CD439F" w:rsidRPr="007F5D9C">
        <w:rPr>
          <w:rStyle w:val="FotnotetekstTegn"/>
        </w:rPr>
        <w:t xml:space="preserve">Bernkonvensjonens saksmappeordning ble ikke etablert gjennom én enkelt beslutning, men utviklet seg gradvis fra tidlig praksis. Ordningen startet i 1982 med tidlige saker og ble senere formalisert av </w:t>
      </w:r>
      <w:r w:rsidR="00CD439F">
        <w:rPr>
          <w:rStyle w:val="FotnotetekstTegn"/>
        </w:rPr>
        <w:t>Den Permanente</w:t>
      </w:r>
      <w:r w:rsidR="00CD439F" w:rsidRPr="007F5D9C">
        <w:rPr>
          <w:rStyle w:val="FotnotetekstTegn"/>
        </w:rPr>
        <w:t xml:space="preserve"> komité som en unik overvåkingsmekanisme. Viktige formelle steg omfatter blant annet beslutningen i 2008 om å opprette et registreringssystem for raskere tilgang til saksmapper</w:t>
      </w:r>
      <w:r w:rsidR="00CD439F" w:rsidRPr="02645A7F">
        <w:rPr>
          <w:rFonts w:cs="Times New Roman"/>
        </w:rPr>
        <w:t xml:space="preserve"> (T-PVS(2008)7) </w:t>
      </w:r>
      <w:r w:rsidR="00CD439F" w:rsidRPr="006A60D1">
        <w:rPr>
          <w:rStyle w:val="FotnotetekstTegn"/>
        </w:rPr>
        <w:t>samt godkjenningen i 2022</w:t>
      </w:r>
      <w:r w:rsidR="00CD439F" w:rsidRPr="004F6DF2">
        <w:rPr>
          <w:rStyle w:val="FotnotetekstTegn"/>
        </w:rPr>
        <w:t xml:space="preserve"> av </w:t>
      </w:r>
      <w:r w:rsidR="00CD439F">
        <w:rPr>
          <w:rStyle w:val="FotnotetekstTegn"/>
        </w:rPr>
        <w:t>«</w:t>
      </w:r>
      <w:r w:rsidR="00CD439F" w:rsidRPr="004F6DF2">
        <w:rPr>
          <w:rStyle w:val="FotnotetekstTegn"/>
        </w:rPr>
        <w:t>Saksmappeordningen: Prosedyreveiledning</w:t>
      </w:r>
      <w:r w:rsidR="00CD439F">
        <w:rPr>
          <w:rStyle w:val="FotnotetekstTegn"/>
        </w:rPr>
        <w:t>»</w:t>
      </w:r>
      <w:r w:rsidR="00CD439F" w:rsidRPr="004F6DF2">
        <w:rPr>
          <w:rStyle w:val="FotnotetekstTegn"/>
        </w:rPr>
        <w:t xml:space="preserve"> (T-PVS/Inf(2022)27), som presiserte klagekategoriene, blant annet ved å avskaffe kategorien </w:t>
      </w:r>
      <w:r w:rsidR="00CD439F">
        <w:rPr>
          <w:rStyle w:val="FotnotetekstTegn"/>
        </w:rPr>
        <w:t>«</w:t>
      </w:r>
      <w:r w:rsidR="00CD439F" w:rsidRPr="004F6DF2">
        <w:rPr>
          <w:rStyle w:val="FotnotetekstTegn"/>
        </w:rPr>
        <w:t>ikke relevant</w:t>
      </w:r>
      <w:r w:rsidR="00CD439F">
        <w:rPr>
          <w:rStyle w:val="FotnotetekstTegn"/>
        </w:rPr>
        <w:t>»</w:t>
      </w:r>
      <w:r w:rsidR="00CD439F" w:rsidRPr="004F6DF2">
        <w:rPr>
          <w:rStyle w:val="FotnotetekstTegn"/>
        </w:rPr>
        <w:t xml:space="preserve"> og i stedet registrere slike saker som </w:t>
      </w:r>
      <w:r w:rsidR="00CD439F">
        <w:rPr>
          <w:rStyle w:val="FotnotetekstTegn"/>
        </w:rPr>
        <w:t>«</w:t>
      </w:r>
      <w:r w:rsidR="00CD439F" w:rsidRPr="004F6DF2">
        <w:rPr>
          <w:rStyle w:val="FotnotetekstTegn"/>
        </w:rPr>
        <w:t>nye</w:t>
      </w:r>
      <w:r w:rsidR="00CD439F">
        <w:rPr>
          <w:rStyle w:val="FotnotetekstTegn"/>
        </w:rPr>
        <w:t>»</w:t>
      </w:r>
      <w:r w:rsidR="00CD439F" w:rsidRPr="004F6DF2">
        <w:rPr>
          <w:rStyle w:val="FotnotetekstTegn"/>
        </w:rPr>
        <w:t xml:space="preserve"> klager. Rundt 2021 startet arbeidet med å digitalisere prosessene gjennom et saksmappe-dashbord for bedre effektivitet og tilgang til informasjon. </w:t>
      </w:r>
      <w:r w:rsidR="00CD439F" w:rsidRPr="00612642">
        <w:rPr>
          <w:rStyle w:val="FotnotetekstTegn"/>
        </w:rPr>
        <w:t>Se: https://www.coe.int/en/web/bern-convention/active-cases.</w:t>
      </w:r>
    </w:p>
  </w:footnote>
  <w:footnote w:id="144">
    <w:p w14:paraId="243D6139" w14:textId="0DAD5F9F" w:rsidR="00CD439F" w:rsidRPr="00987260" w:rsidRDefault="00404399" w:rsidP="00CD439F">
      <w:pPr>
        <w:pStyle w:val="Fotnotetekst"/>
        <w:rPr>
          <w:lang w:val="fr-FR"/>
        </w:rPr>
      </w:pPr>
      <w:r w:rsidRPr="00CD439F">
        <w:rPr>
          <w:rStyle w:val="Fotnotereferanse"/>
        </w:rPr>
        <w:footnoteRef/>
      </w:r>
      <w:r w:rsidRPr="00404399">
        <w:rPr>
          <w:rStyle w:val="Fotnotereferanse"/>
          <w:lang w:val="en-US"/>
        </w:rPr>
        <w:t xml:space="preserve"> </w:t>
      </w:r>
      <w:r w:rsidR="00CD439F" w:rsidRPr="001A53A6">
        <w:rPr>
          <w:rStyle w:val="FotnotetekstTegn"/>
          <w:lang w:val="en-US"/>
        </w:rPr>
        <w:t xml:space="preserve">Wolf Culling Policy in Norway (Norway), Strasbourg, 9 May 2022 T-PVS/Files(2022)31_rev. </w:t>
      </w:r>
      <w:r w:rsidR="00CD439F" w:rsidRPr="00991DCB">
        <w:rPr>
          <w:rStyle w:val="FotnotetekstTegn"/>
        </w:rPr>
        <w:t xml:space="preserve">Klagen ble fremsatt av tre privatpersoner og en frivillig organisasjon, som mener at norsk ulveforvaltning er uforenlig med nasjonal lovgivning og internasjonale avtaler, herunder Bernkonvensjonen, som gir ulven beskyttelse. Klagerne anfører at området der ulven er beskyttet de siste årene er blitt redusert til 5 prosent av landets areal. De hevder videre at selv innenfor dette normalt strengt beskyttede området blir ulver felt gjennom en utvidet jaktperiode. Klagerne mener at bestandsmålet som er fastsatt av den norske regjeringen for ulv er så lavt, og området der arten kan leve uforstyrret så lite, at artens fortsatte eksistens i Norge er truet. Dette skyldes også manglende genetisk variasjon, som fører til høy grad av innavl hos norske og svenske ulver. Det anføres at det høye antallet ulver som felles hovedsakelig skyldes konflikter med sauebeiting, der det i for liten grad vurderes tiltak for å tilpasse landbruksdriften til ulvens tilstedeværelse, og at ulv også felles i områder uten beitedyr. </w:t>
      </w:r>
      <w:r w:rsidR="00CD439F" w:rsidRPr="001A53A6">
        <w:rPr>
          <w:rStyle w:val="FotnotetekstTegn"/>
          <w:lang w:val="fr-FR"/>
        </w:rPr>
        <w:t>Se: https://www.coe.int/en/web/bern-convention/-/wolf-culling-policy</w:t>
      </w:r>
    </w:p>
  </w:footnote>
  <w:footnote w:id="145">
    <w:p w14:paraId="7F3FAF4E" w14:textId="0651C424"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Pr>
          <w:lang w:val="en-US"/>
        </w:rPr>
        <w:fldChar w:fldCharType="begin"/>
      </w:r>
      <w:r w:rsidR="00CD439F" w:rsidRPr="00693A45">
        <w:rPr>
          <w:lang w:val="nn-NO"/>
        </w:rPr>
        <w:instrText xml:space="preserve"> ADDIN EN.CITE &lt;EndNote&gt;&lt;Cite ExcludeYear="1"&gt;&lt;Author&gt;Magga&lt;/Author&gt;&lt;RecNum&gt;10255&lt;/RecNum&gt;&lt;DisplayText&gt;Ole Henrik Magga and Mikkel Nils Sara, &lt;style face="italic"&gt;Dyrevelferd i Samisk Kultur&lt;/style&gt; &lt;/DisplayText&gt;&lt;record&gt;&lt;rec-number&gt;10255&lt;/rec-number&gt;&lt;foreign-keys&gt;&lt;key app="EN" db-id="5sffrv50pw0vx2esf075e50jafxwafzxe9r0" timestamp="1770566520" guid="412bd503-06c6-42fa-afa2-91ac67ea5fa4"&gt;10255&lt;/key&gt;&lt;/foreign-keys&gt;&lt;ref-type name="Book"&gt;6&lt;/ref-type&gt;&lt;contributors&gt;&lt;authors&gt;&lt;author&gt;Magga, Ole Henrik&lt;/author&gt;&lt;author&gt;Sara, Mikkel Nils&lt;/author&gt;&lt;/authors&gt;&lt;/contributors&gt;&lt;titles&gt;&lt;title&gt;Dyrevelferd i Samisk Kultur&lt;/title&gt;&lt;/titles&gt;&lt;keywords&gt;&lt;keyword&gt;Rovvilt samerett&lt;/keyword&gt;&lt;/keywords&gt;&lt;dates&gt;&lt;/dates&gt;&lt;urls&gt;&lt;related-urls&gt;&lt;url&gt;https://www.regjeringen.no/globalassets/upload/kilde/ld/rap/2001/0017/ddd/pdfv/151133-utredning_dyrevelferd_samisk.pdf&lt;/url&gt;&lt;/related-urls&gt;&lt;/urls&gt;&lt;/record&gt;&lt;/Cite&gt;&lt;/EndNote&gt;</w:instrText>
      </w:r>
      <w:r w:rsidR="00CD439F">
        <w:rPr>
          <w:lang w:val="en-US"/>
        </w:rPr>
        <w:fldChar w:fldCharType="separate"/>
      </w:r>
      <w:r w:rsidR="00CD439F" w:rsidRPr="00693A45">
        <w:rPr>
          <w:lang w:val="nn-NO"/>
        </w:rPr>
        <w:t xml:space="preserve">Ole Henrik Magga and Mikkel Nils Sara, </w:t>
      </w:r>
      <w:r w:rsidR="00CD439F" w:rsidRPr="00CD439F">
        <w:rPr>
          <w:rStyle w:val="kursiv"/>
          <w:lang w:val="nn-NO"/>
        </w:rPr>
        <w:t>Dyrevelferd i Samisk Kultur</w:t>
      </w:r>
      <w:r w:rsidR="00CD439F" w:rsidRPr="00693A45">
        <w:rPr>
          <w:lang w:val="nn-NO"/>
        </w:rPr>
        <w:t xml:space="preserve"> </w:t>
      </w:r>
      <w:r w:rsidR="00CD439F">
        <w:rPr>
          <w:lang w:val="en-US"/>
        </w:rPr>
        <w:fldChar w:fldCharType="end"/>
      </w:r>
      <w:r w:rsidR="00CD439F" w:rsidRPr="00693A45">
        <w:rPr>
          <w:lang w:val="nn-NO"/>
        </w:rPr>
        <w:t>, s. 14 (</w:t>
      </w:r>
      <w:hyperlink r:id="rId7" w:history="1">
        <w:r w:rsidR="00CD439F" w:rsidRPr="00693A45">
          <w:rPr>
            <w:rStyle w:val="Hyperkobling"/>
            <w:lang w:val="nn-NO"/>
          </w:rPr>
          <w:t>https://www.regjeringen.no/globalassets/upload/kilde/ld/rap/2001/0017/ddd/pdfv/151133-utredning_dyrevelferd_samisk.pdf</w:t>
        </w:r>
      </w:hyperlink>
      <w:r w:rsidR="00CD439F" w:rsidRPr="00693A45">
        <w:rPr>
          <w:lang w:val="nn-NO"/>
        </w:rPr>
        <w:t>)</w:t>
      </w:r>
    </w:p>
  </w:footnote>
  <w:footnote w:id="146">
    <w:p w14:paraId="7CD8A8EC" w14:textId="4D5F8F69" w:rsidR="00CD439F" w:rsidRPr="007E66B0" w:rsidRDefault="00404399" w:rsidP="00CD439F">
      <w:pPr>
        <w:pStyle w:val="Fotnotetekst"/>
        <w:rPr>
          <w:rStyle w:val="kursiv"/>
          <w:lang w:val="en-US"/>
        </w:rPr>
      </w:pPr>
      <w:r w:rsidRPr="00CD439F">
        <w:rPr>
          <w:rStyle w:val="Fotnotereferanse"/>
        </w:rPr>
        <w:footnoteRef/>
      </w:r>
      <w:r w:rsidRPr="00404399">
        <w:rPr>
          <w:rStyle w:val="Fotnotereferanse"/>
          <w:lang w:val="en-US"/>
        </w:rPr>
        <w:t xml:space="preserve"> </w:t>
      </w:r>
      <w:r w:rsidR="00CD439F" w:rsidRPr="00693A45">
        <w:rPr>
          <w:rStyle w:val="FotnotetekstTegn"/>
          <w:lang w:val="en-US"/>
        </w:rPr>
        <w:t xml:space="preserve">Standing Committee Recommendation No. 56 (1997) (On the interpretation and implementation of Article 9). </w:t>
      </w:r>
      <w:r w:rsidR="00CD439F" w:rsidRPr="009E6E01">
        <w:rPr>
          <w:rStyle w:val="FotnotetekstTegn"/>
        </w:rPr>
        <w:t xml:space="preserve">Her understreker komiteen at artikkel 9 gir en uttømmende liste over tillatte unntaksgrunner, andre hensyn ikke kan brukes direkte til å rettferdiggjøre felling, og at unntak må tolkes strengt og restriktivt. </w:t>
      </w:r>
      <w:r w:rsidR="00CD439F" w:rsidRPr="00693A45">
        <w:rPr>
          <w:rStyle w:val="FotnotetekstTegn"/>
          <w:lang w:val="en-US"/>
        </w:rPr>
        <w:t xml:space="preserve">Se </w:t>
      </w:r>
      <w:proofErr w:type="spellStart"/>
      <w:r w:rsidR="00CD439F" w:rsidRPr="00693A45">
        <w:rPr>
          <w:rStyle w:val="FotnotetekstTegn"/>
          <w:lang w:val="en-US"/>
        </w:rPr>
        <w:t>også</w:t>
      </w:r>
      <w:proofErr w:type="spellEnd"/>
      <w:r w:rsidR="00CD439F" w:rsidRPr="00693A45">
        <w:rPr>
          <w:rStyle w:val="FotnotetekstTegn"/>
          <w:lang w:val="en-US"/>
        </w:rPr>
        <w:t xml:space="preserve"> Recommendation No. 173 (2014) (On the management of wolf populations)</w:t>
      </w:r>
    </w:p>
  </w:footnote>
  <w:footnote w:id="147">
    <w:p w14:paraId="4BEE6B2C" w14:textId="43512A76"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Pr>
          <w:lang w:val="en-US"/>
        </w:rPr>
        <w:t>MICHAEL BOWMAN, PETER DAVIES, &amp; CATHERINE REDGWELL, LYSTER’S INTERNATIONAL WILDLIFE LAW 297-354 (2d ed., 2010), 299.</w:t>
      </w:r>
    </w:p>
  </w:footnote>
  <w:footnote w:id="148">
    <w:p w14:paraId="50EADE8E" w14:textId="18E6D94B"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Pr>
          <w:lang w:val="en-US"/>
        </w:rPr>
        <w:t>Bowman, 299, 320</w:t>
      </w:r>
    </w:p>
  </w:footnote>
  <w:footnote w:id="149">
    <w:p w14:paraId="42148F6F" w14:textId="1D804A18"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Pr>
          <w:lang w:val="en-US"/>
        </w:rPr>
        <w:t>MICHAEL BOWMAN, PETER DAVIES, &amp; CATHERINE REDGWELL, LYSTER’S INTERNATIONAL WILDLIFE LAW 297-354 (2d ed., 2010).</w:t>
      </w:r>
    </w:p>
  </w:footnote>
  <w:footnote w:id="150">
    <w:p w14:paraId="15B83F51" w14:textId="4F2F119B"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693A45">
        <w:rPr>
          <w:rStyle w:val="FotnotetekstTegn"/>
          <w:lang w:val="en-US"/>
        </w:rPr>
        <w:t>See, e.g., Bern Convention Standing Committee Guidelines No. 3 (1993); Bern Convention Standing Committee Recommendation No. 163 (2012).</w:t>
      </w:r>
    </w:p>
  </w:footnote>
  <w:footnote w:id="151">
    <w:p w14:paraId="7DC48745" w14:textId="5E77376A"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693A45">
        <w:rPr>
          <w:rStyle w:val="FotnotetekstTegn"/>
          <w:lang w:val="en-US"/>
        </w:rPr>
        <w:t>Bern Convention Standing Committee Recommendation No. 163 (2012).</w:t>
      </w:r>
    </w:p>
  </w:footnote>
  <w:footnote w:id="152">
    <w:p w14:paraId="63AFE9E1" w14:textId="1796558C"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693A45">
        <w:rPr>
          <w:lang w:val="en-US"/>
        </w:rPr>
        <w:t>Bern Convention Standing Committee Recommendation No. 59 (1997).</w:t>
      </w:r>
    </w:p>
  </w:footnote>
  <w:footnote w:id="153">
    <w:p w14:paraId="0D7BE779" w14:textId="754DFECE"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Pr>
          <w:lang w:val="en-US"/>
        </w:rPr>
        <w:fldChar w:fldCharType="begin"/>
      </w:r>
      <w:r w:rsidR="00CD439F">
        <w:rPr>
          <w:lang w:val="en-US"/>
        </w:rPr>
        <w:instrText xml:space="preserve"> ADDIN EN.CITE &lt;EndNote&gt;&lt;Cite&gt;&lt;Author&gt;ITLOS&lt;/Author&gt;&lt;Year&gt;2024&lt;/Year&gt;&lt;RecNum&gt;9222&lt;/RecNum&gt;&lt;DisplayText&gt;ITLOS, &lt;style face="italic"&gt;Advisory Opinion on Climate Change and International Law&lt;/style&gt; (2024)&lt;/DisplayText&gt;&lt;record&gt;&lt;rec-number&gt;9222&lt;/rec-number&gt;&lt;foreign-keys&gt;&lt;key app="EN" db-id="5sffrv50pw0vx2esf075e50jafxwafzxe9r0" timestamp="1755913302" guid="84d7f49e-600c-467d-8ef3-0c10e38835c6"&gt;9222&lt;/key&gt;&lt;/foreign-keys&gt;&lt;ref-type name="Generic"&gt;13&lt;/ref-type&gt;&lt;contributors&gt;&lt;authors&gt;&lt;author&gt;ITLOS&lt;/author&gt;&lt;/authors&gt;&lt;/contributors&gt;&lt;titles&gt;&lt;title&gt;Advisory Opinion on Climate Change and International Law&lt;/title&gt;&lt;/titles&gt;&lt;keywords&gt;&lt;keyword&gt;Miljø klima havrett&lt;/keyword&gt;&lt;/keywords&gt;&lt;dates&gt;&lt;year&gt;2024&lt;/year&gt;&lt;/dates&gt;&lt;urls&gt;&lt;related-urls&gt;&lt;url&gt;https://www.itlos.org/en/main/cases/list-of-cases/request-for-an-advisory-opinion-submitted-by-the-commission-of-small-island-states-on-climate-change-and-international-law-request-for-advisory-opinion-submitted-to-the-tribunal/&lt;/url&gt;&lt;/related-urls&gt;&lt;/urls&gt;&lt;/record&gt;&lt;/Cite&gt;&lt;/EndNote&gt;</w:instrText>
      </w:r>
      <w:r w:rsidR="00CD439F">
        <w:rPr>
          <w:lang w:val="en-US"/>
        </w:rPr>
        <w:fldChar w:fldCharType="separate"/>
      </w:r>
      <w:r w:rsidR="00CD439F">
        <w:rPr>
          <w:noProof/>
          <w:lang w:val="en-US"/>
        </w:rPr>
        <w:t xml:space="preserve">ITLOS, </w:t>
      </w:r>
      <w:r w:rsidR="00CD439F" w:rsidRPr="00CD439F">
        <w:rPr>
          <w:rStyle w:val="kursiv"/>
          <w:lang w:val="en-US"/>
        </w:rPr>
        <w:t>Advisory Opinion on Climate Change and International Law</w:t>
      </w:r>
      <w:r w:rsidR="00CD439F">
        <w:rPr>
          <w:noProof/>
          <w:lang w:val="en-US"/>
        </w:rPr>
        <w:t xml:space="preserve"> (2024)</w:t>
      </w:r>
      <w:r w:rsidR="00CD439F">
        <w:rPr>
          <w:lang w:val="en-US"/>
        </w:rPr>
        <w:fldChar w:fldCharType="end"/>
      </w:r>
      <w:r w:rsidR="00CD439F">
        <w:rPr>
          <w:lang w:val="en-US"/>
        </w:rPr>
        <w:t>.</w:t>
      </w:r>
    </w:p>
  </w:footnote>
  <w:footnote w:id="154">
    <w:p w14:paraId="600368E9" w14:textId="67B4F3F6" w:rsidR="00CD439F" w:rsidRPr="008A2E6E" w:rsidRDefault="00404399" w:rsidP="00CD439F">
      <w:pPr>
        <w:pStyle w:val="Fotnotetekst"/>
        <w:rPr>
          <w:lang w:val="en-GB"/>
        </w:rPr>
      </w:pPr>
      <w:r w:rsidRPr="00CD439F">
        <w:rPr>
          <w:rStyle w:val="Fotnotereferanse"/>
        </w:rPr>
        <w:footnoteRef/>
      </w:r>
      <w:r w:rsidRPr="00404399">
        <w:rPr>
          <w:rStyle w:val="Fotnotereferanse"/>
          <w:lang w:val="en-US"/>
        </w:rPr>
        <w:t xml:space="preserve"> </w:t>
      </w:r>
      <w:r w:rsidR="00CD439F" w:rsidRPr="008A2E6E">
        <w:rPr>
          <w:rStyle w:val="FotnotetekstTegn"/>
          <w:lang w:val="en-GB"/>
        </w:rPr>
        <w:fldChar w:fldCharType="begin"/>
      </w:r>
      <w:r w:rsidR="00CD439F" w:rsidRPr="00693A45">
        <w:rPr>
          <w:rStyle w:val="FotnotetekstTegn"/>
          <w:lang w:val="en-US"/>
        </w:rPr>
        <w:instrText xml:space="preserve"> ADDIN EN.CITE &lt;EndNote&gt;&lt;Cite&gt;&lt;Author&gt;ICJ&lt;/Author&gt;&lt;Year&gt;2025&lt;/Year&gt;&lt;RecNum&gt;10129&lt;/RecNum&gt;&lt;DisplayText&gt;ICJ, &lt;style face="italic"&gt;Obligations of States in Respect of Climate Change (Advisory Opinion)&lt;/style&gt;&lt;/DisplayText&gt;&lt;record&gt;&lt;rec-number&gt;10129&lt;/rec-number&gt;&lt;foreign-keys&gt;&lt;key app="EN" db-id="5sffrv50pw0vx2esf075e50jafxwafzxe9r0" timestamp="1755918851" guid="585812a6-c51d-4aa0-a503-6fd559edbf53"&gt;10129&lt;/key&gt;&lt;/foreign-keys&gt;&lt;ref-type name="Generic"&gt;13&lt;/ref-type&gt;&lt;contributors&gt;&lt;authors&gt;&lt;author&gt;ICJ&lt;/author&gt;&lt;/authors&gt;&lt;/contributors&gt;&lt;titles&gt;&lt;title&gt;Obligations of States in Respect of Climate Change (Advisory Opinion)&lt;/title&gt;&lt;/titles&gt;&lt;keywords&gt;&lt;keyword&gt;Miljø klima&lt;/keyword&gt;&lt;/keywords&gt;&lt;dates&gt;&lt;year&gt;2025&lt;/year&gt;&lt;/dates&gt;&lt;urls&gt;&lt;related-urls&gt;&lt;url&gt;https://www.icj-cij.org/case/187&lt;/url&gt;&lt;/related-urls&gt;&lt;/urls&gt;&lt;/record&gt;&lt;/Cite&gt;&lt;/EndNote&gt;</w:instrText>
      </w:r>
      <w:r w:rsidR="00CD439F" w:rsidRPr="008A2E6E">
        <w:rPr>
          <w:rStyle w:val="FotnotetekstTegn"/>
          <w:lang w:val="en-GB"/>
        </w:rPr>
        <w:fldChar w:fldCharType="separate"/>
      </w:r>
      <w:r w:rsidR="00CD439F" w:rsidRPr="00693A45">
        <w:rPr>
          <w:rStyle w:val="FotnotetekstTegn"/>
          <w:lang w:val="en-US"/>
        </w:rPr>
        <w:t>ICJ, Obligations of States in Respect of Climate Change (Advisory Opinion)</w:t>
      </w:r>
      <w:r w:rsidR="00CD439F" w:rsidRPr="008A2E6E">
        <w:rPr>
          <w:rStyle w:val="FotnotetekstTegn"/>
          <w:lang w:val="en-GB"/>
        </w:rPr>
        <w:fldChar w:fldCharType="end"/>
      </w:r>
      <w:r w:rsidR="00CD439F" w:rsidRPr="00693A45">
        <w:rPr>
          <w:rStyle w:val="FotnotetekstTegn"/>
          <w:lang w:val="en-US"/>
        </w:rPr>
        <w:t xml:space="preserve">: </w:t>
      </w:r>
      <w:r w:rsidR="00CD439F">
        <w:rPr>
          <w:rStyle w:val="FotnotetekstTegn"/>
          <w:lang w:val="en-US"/>
        </w:rPr>
        <w:t>«</w:t>
      </w:r>
      <w:r w:rsidR="00CD439F" w:rsidRPr="00693A45">
        <w:rPr>
          <w:rStyle w:val="FotnotetekstTegn"/>
          <w:lang w:val="en-US"/>
        </w:rPr>
        <w:t>293. Scientific information regarding the probability and the seriousness of possible harm informs the required standard of due diligence</w:t>
      </w:r>
      <w:r w:rsidR="00CD439F">
        <w:rPr>
          <w:rStyle w:val="FotnotetekstTegn"/>
          <w:lang w:val="en-US"/>
        </w:rPr>
        <w:t>…</w:t>
      </w:r>
      <w:r w:rsidR="00CD439F" w:rsidRPr="00693A45">
        <w:rPr>
          <w:rStyle w:val="FotnotetekstTegn"/>
          <w:lang w:val="en-US"/>
        </w:rPr>
        <w:t xml:space="preserve"> States are required to take appropriate measures to prevent significant harm where reliable scientific evidence of a risk of significant harm exists. However, States should also not refrain from or delay taking actions of prevention in the face of scientific uncertainty. According to Principle 15 of the Rio Declaration, where there are threats of serious</w:t>
      </w:r>
      <w:r w:rsidR="00CD439F" w:rsidRPr="008A2E6E">
        <w:rPr>
          <w:rFonts w:cs="Times New Roman"/>
          <w:sz w:val="20"/>
          <w:szCs w:val="20"/>
          <w:lang w:val="en-GB"/>
        </w:rPr>
        <w:t xml:space="preserve"> </w:t>
      </w:r>
      <w:r w:rsidR="00CD439F" w:rsidRPr="00693A45">
        <w:rPr>
          <w:rStyle w:val="FotnotetekstTegn"/>
          <w:lang w:val="en-US"/>
        </w:rPr>
        <w:t>or irreversible damage, lack of full scientific certainty shall not be used as a reason for postponing cost-effective measures to prevent environmental degradation (see also Article 3, paragraph 3, of the UNFCCC).</w:t>
      </w:r>
    </w:p>
    <w:p w14:paraId="7DDCA01C" w14:textId="5EAD1AFE" w:rsidR="00CD439F" w:rsidRPr="008A2E6E" w:rsidRDefault="00CD439F" w:rsidP="00CD439F">
      <w:pPr>
        <w:pStyle w:val="Fotnotetekst"/>
        <w:rPr>
          <w:lang w:val="en-GB"/>
        </w:rPr>
      </w:pPr>
      <w:r w:rsidRPr="00693A45">
        <w:rPr>
          <w:rStyle w:val="FotnotetekstTegn"/>
          <w:lang w:val="en-US"/>
        </w:rPr>
        <w:t xml:space="preserve">The Court agrees with the conclusion reached by ITLOS that </w:t>
      </w:r>
      <w:r>
        <w:rPr>
          <w:rStyle w:val="FotnotetekstTegn"/>
          <w:lang w:val="en-US"/>
        </w:rPr>
        <w:t>«</w:t>
      </w:r>
      <w:r w:rsidRPr="00693A45">
        <w:rPr>
          <w:rStyle w:val="FotnotetekstTegn"/>
          <w:lang w:val="en-US"/>
        </w:rPr>
        <w:t>where there are plausible indications of potential risks</w:t>
      </w:r>
      <w:r>
        <w:rPr>
          <w:rStyle w:val="FotnotetekstTegn"/>
          <w:lang w:val="en-US"/>
        </w:rPr>
        <w:t>»</w:t>
      </w:r>
      <w:r w:rsidRPr="00693A45">
        <w:rPr>
          <w:rStyle w:val="FotnotetekstTegn"/>
          <w:lang w:val="en-US"/>
        </w:rPr>
        <w:t xml:space="preserve">, a State </w:t>
      </w:r>
      <w:r>
        <w:rPr>
          <w:rStyle w:val="FotnotetekstTegn"/>
          <w:lang w:val="en-US"/>
        </w:rPr>
        <w:t>«</w:t>
      </w:r>
      <w:r w:rsidRPr="00693A45">
        <w:rPr>
          <w:rStyle w:val="FotnotetekstTegn"/>
          <w:lang w:val="en-US"/>
        </w:rPr>
        <w:t>would not meet its obligation of due diligence if it disregarded those risks</w:t>
      </w:r>
      <w:r>
        <w:rPr>
          <w:rStyle w:val="FotnotetekstTegn"/>
          <w:lang w:val="en-US"/>
        </w:rPr>
        <w:t>»</w:t>
      </w:r>
      <w:r w:rsidRPr="00693A45">
        <w:rPr>
          <w:rStyle w:val="FotnotetekstTegn"/>
          <w:lang w:val="en-US"/>
        </w:rPr>
        <w:t xml:space="preserve"> and, in that sense, the </w:t>
      </w:r>
      <w:r>
        <w:rPr>
          <w:rStyle w:val="FotnotetekstTegn"/>
          <w:lang w:val="en-US"/>
        </w:rPr>
        <w:t>«</w:t>
      </w:r>
      <w:r w:rsidRPr="00693A45">
        <w:rPr>
          <w:rStyle w:val="FotnotetekstTegn"/>
          <w:lang w:val="en-US"/>
        </w:rPr>
        <w:t>precautionary approach is also an integral part of the general obligation of due diligence</w:t>
      </w:r>
      <w:r>
        <w:rPr>
          <w:rStyle w:val="FotnotetekstTegn"/>
          <w:lang w:val="en-US"/>
        </w:rPr>
        <w:t>»</w:t>
      </w:r>
      <w:r w:rsidRPr="00693A45">
        <w:rPr>
          <w:rStyle w:val="FotnotetekstTegn"/>
          <w:lang w:val="en-US"/>
        </w:rPr>
        <w:t xml:space="preserve"> under the duty to prevent significant harm to the environment (Responsibilities and obligations of States with respect to activities in the Area, Advisory Opinion, 1 February 2011, ITLOS Reports 2011, p. 46, para. 131). Based on the above, the Court considers that the precautionary approach or principle, where applicable, guides States in the determination of the required standard of conduct in fulfilling their customary duty to prevent significant harm.</w:t>
      </w:r>
      <w:r>
        <w:rPr>
          <w:rStyle w:val="FotnotetekstTegn"/>
          <w:lang w:val="en-US"/>
        </w:rPr>
        <w:t>»</w:t>
      </w:r>
    </w:p>
  </w:footnote>
  <w:footnote w:id="155">
    <w:p w14:paraId="6C2A28D2" w14:textId="68809623"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693A45">
        <w:rPr>
          <w:rStyle w:val="FotnotetekstTegn"/>
          <w:lang w:val="en-US"/>
        </w:rPr>
        <w:t xml:space="preserve">Guillaume </w:t>
      </w:r>
      <w:proofErr w:type="spellStart"/>
      <w:r w:rsidR="00CD439F" w:rsidRPr="00693A45">
        <w:rPr>
          <w:rStyle w:val="FotnotetekstTegn"/>
          <w:lang w:val="en-US"/>
        </w:rPr>
        <w:t>Chapron</w:t>
      </w:r>
      <w:proofErr w:type="spellEnd"/>
      <w:r w:rsidR="00CD439F" w:rsidRPr="00693A45">
        <w:rPr>
          <w:rStyle w:val="FotnotetekstTegn"/>
          <w:lang w:val="en-US"/>
        </w:rPr>
        <w:t xml:space="preserve"> et al., Recovery of Large Carnivores in Europe</w:t>
      </w:r>
      <w:r w:rsidR="00CD439F">
        <w:rPr>
          <w:rStyle w:val="FotnotetekstTegn"/>
          <w:lang w:val="en-US"/>
        </w:rPr>
        <w:t>’</w:t>
      </w:r>
      <w:r w:rsidR="00CD439F" w:rsidRPr="00693A45">
        <w:rPr>
          <w:rStyle w:val="FotnotetekstTegn"/>
          <w:lang w:val="en-US"/>
        </w:rPr>
        <w:t>s Modern Human-Dominated Landscapes, 346 SCIENCE 1571 (2014).</w:t>
      </w:r>
    </w:p>
  </w:footnote>
  <w:footnote w:id="156">
    <w:p w14:paraId="3BC9EBFA" w14:textId="7B35D503"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1A53A6">
        <w:rPr>
          <w:rStyle w:val="FotnotetekstTegn"/>
          <w:lang w:val="en-US"/>
        </w:rPr>
        <w:t xml:space="preserve">JOHN D.C. LINNELL, VALERIA SALVATORI, &amp; LUIGI BOITANI, GUIDELINES FOR POPULATION LEVEL MANAGEMENT PLANS FOR LARGE CARNIVORES IN EUROPE (2008); John D.C. Linnell &amp; Luigi Boitani, Building Biological Realism into Wolf Management Policy: The Development of the Population Approach in Europe, 23 HYSTRIX 80 (2012); Arie </w:t>
      </w:r>
      <w:proofErr w:type="spellStart"/>
      <w:r w:rsidR="00CD439F" w:rsidRPr="001A53A6">
        <w:rPr>
          <w:rStyle w:val="FotnotetekstTegn"/>
          <w:lang w:val="en-US"/>
        </w:rPr>
        <w:t>Trouwborst</w:t>
      </w:r>
      <w:proofErr w:type="spellEnd"/>
      <w:r w:rsidR="00CD439F" w:rsidRPr="001A53A6">
        <w:rPr>
          <w:rStyle w:val="FotnotetekstTegn"/>
          <w:lang w:val="en-US"/>
        </w:rPr>
        <w:t xml:space="preserve">, Global Large Carnivore Conservation and International Law, 24 BIODIVERSITY &amp; CONSERVATION 1567 (2015); S.A. Jeanetta </w:t>
      </w:r>
      <w:proofErr w:type="spellStart"/>
      <w:r w:rsidR="00CD439F" w:rsidRPr="001A53A6">
        <w:rPr>
          <w:rStyle w:val="FotnotetekstTegn"/>
          <w:lang w:val="en-US"/>
        </w:rPr>
        <w:t>Selier</w:t>
      </w:r>
      <w:proofErr w:type="spellEnd"/>
      <w:r w:rsidR="00CD439F" w:rsidRPr="001A53A6">
        <w:rPr>
          <w:rStyle w:val="FotnotetekstTegn"/>
          <w:lang w:val="en-US"/>
        </w:rPr>
        <w:t xml:space="preserve"> et al., The Legal Challenges of Transboundary Wildlife Management at the Population Level: The Case of a Trilateral Elephant Population in Southern Africa, 19 J. INT</w:t>
      </w:r>
      <w:r w:rsidR="00CD439F">
        <w:rPr>
          <w:rStyle w:val="FotnotetekstTegn"/>
          <w:lang w:val="en-US"/>
        </w:rPr>
        <w:t>’</w:t>
      </w:r>
      <w:r w:rsidR="00CD439F" w:rsidRPr="001A53A6">
        <w:rPr>
          <w:rStyle w:val="FotnotetekstTegn"/>
          <w:lang w:val="en-US"/>
        </w:rPr>
        <w:t>L WILDLIFE L. &amp; POL</w:t>
      </w:r>
      <w:r w:rsidR="00CD439F">
        <w:rPr>
          <w:rStyle w:val="FotnotetekstTegn"/>
          <w:lang w:val="en-US"/>
        </w:rPr>
        <w:t>’</w:t>
      </w:r>
      <w:r w:rsidR="00CD439F" w:rsidRPr="001A53A6">
        <w:rPr>
          <w:rStyle w:val="FotnotetekstTegn"/>
          <w:lang w:val="en-US"/>
        </w:rPr>
        <w:t xml:space="preserve">Y 101 (2016); Arie </w:t>
      </w:r>
      <w:proofErr w:type="spellStart"/>
      <w:r w:rsidR="00CD439F" w:rsidRPr="001A53A6">
        <w:rPr>
          <w:rStyle w:val="FotnotetekstTegn"/>
          <w:lang w:val="en-US"/>
        </w:rPr>
        <w:t>Trouwborst</w:t>
      </w:r>
      <w:proofErr w:type="spellEnd"/>
      <w:r w:rsidR="00CD439F" w:rsidRPr="001A53A6">
        <w:rPr>
          <w:rStyle w:val="FotnotetekstTegn"/>
          <w:lang w:val="en-US"/>
        </w:rPr>
        <w:t xml:space="preserve">, Luigi Boitani, &amp; John D.C. Linnell, Interpreting </w:t>
      </w:r>
      <w:r w:rsidR="00CD439F">
        <w:rPr>
          <w:rStyle w:val="FotnotetekstTegn"/>
          <w:lang w:val="en-US"/>
        </w:rPr>
        <w:t>«</w:t>
      </w:r>
      <w:r w:rsidR="00CD439F" w:rsidRPr="001A53A6">
        <w:rPr>
          <w:rStyle w:val="FotnotetekstTegn"/>
          <w:lang w:val="en-US"/>
        </w:rPr>
        <w:t>Favorable Conservation Status</w:t>
      </w:r>
      <w:r w:rsidR="00CD439F">
        <w:rPr>
          <w:rStyle w:val="FotnotetekstTegn"/>
          <w:lang w:val="en-US"/>
        </w:rPr>
        <w:t>»</w:t>
      </w:r>
      <w:r w:rsidR="00CD439F" w:rsidRPr="001A53A6">
        <w:rPr>
          <w:rStyle w:val="FotnotetekstTegn"/>
          <w:lang w:val="en-US"/>
        </w:rPr>
        <w:t xml:space="preserve"> for Large Carnivores in Europe: How Many Are Needed and How Many Are Wanted?, 26</w:t>
      </w:r>
      <w:r w:rsidR="00CD439F">
        <w:rPr>
          <w:rStyle w:val="FotnotetekstTegn"/>
          <w:lang w:val="en-US"/>
        </w:rPr>
        <w:t xml:space="preserve"> </w:t>
      </w:r>
      <w:r w:rsidR="00CD439F" w:rsidRPr="001A53A6">
        <w:rPr>
          <w:rStyle w:val="FotnotetekstTegn"/>
          <w:lang w:val="en-US"/>
        </w:rPr>
        <w:t>BIODIVERSITY &amp; CONSERVATION 37 (2017).</w:t>
      </w:r>
    </w:p>
  </w:footnote>
  <w:footnote w:id="157">
    <w:p w14:paraId="0769074F" w14:textId="7429B6B0"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693A45">
        <w:rPr>
          <w:rStyle w:val="FotnotetekstTegn"/>
          <w:lang w:val="en-US"/>
        </w:rPr>
        <w:t xml:space="preserve">See, </w:t>
      </w:r>
      <w:proofErr w:type="spellStart"/>
      <w:r w:rsidR="00CD439F" w:rsidRPr="00693A45">
        <w:rPr>
          <w:rStyle w:val="FotnotetekstTegn"/>
          <w:lang w:val="en-US"/>
        </w:rPr>
        <w:t>f.eks</w:t>
      </w:r>
      <w:proofErr w:type="spellEnd"/>
      <w:r w:rsidR="00CD439F" w:rsidRPr="00693A45">
        <w:rPr>
          <w:rStyle w:val="FotnotetekstTegn"/>
          <w:lang w:val="en-US"/>
        </w:rPr>
        <w:t xml:space="preserve">., Bern Convention Standing Committee Recommendations No. 82 (2000), No. 115 (2005), No. 137 (2008), and No.163 (2012); Ole Kristian </w:t>
      </w:r>
      <w:proofErr w:type="spellStart"/>
      <w:r w:rsidR="00CD439F" w:rsidRPr="00693A45">
        <w:rPr>
          <w:rStyle w:val="FotnotetekstTegn"/>
          <w:lang w:val="en-US"/>
        </w:rPr>
        <w:t>Fauchald</w:t>
      </w:r>
      <w:proofErr w:type="spellEnd"/>
      <w:r w:rsidR="00CD439F" w:rsidRPr="00693A45">
        <w:rPr>
          <w:rStyle w:val="FotnotetekstTegn"/>
          <w:lang w:val="en-US"/>
        </w:rPr>
        <w:t xml:space="preserve">, Ulv! Ulv! </w:t>
      </w:r>
      <w:proofErr w:type="spellStart"/>
      <w:r w:rsidR="00CD439F" w:rsidRPr="00693A45">
        <w:rPr>
          <w:rStyle w:val="FotnotetekstTegn"/>
          <w:lang w:val="en-US"/>
        </w:rPr>
        <w:t>Norges</w:t>
      </w:r>
      <w:proofErr w:type="spellEnd"/>
      <w:r w:rsidR="00CD439F" w:rsidRPr="00693A45">
        <w:rPr>
          <w:rStyle w:val="FotnotetekstTegn"/>
          <w:lang w:val="en-US"/>
        </w:rPr>
        <w:t xml:space="preserve"> </w:t>
      </w:r>
      <w:proofErr w:type="spellStart"/>
      <w:r w:rsidR="00CD439F" w:rsidRPr="00693A45">
        <w:rPr>
          <w:rStyle w:val="FotnotetekstTegn"/>
          <w:lang w:val="en-US"/>
        </w:rPr>
        <w:t>forvaltning</w:t>
      </w:r>
      <w:proofErr w:type="spellEnd"/>
      <w:r w:rsidR="00CD439F" w:rsidRPr="00693A45">
        <w:rPr>
          <w:rStyle w:val="FotnotetekstTegn"/>
          <w:lang w:val="en-US"/>
        </w:rPr>
        <w:t xml:space="preserve"> av den </w:t>
      </w:r>
      <w:proofErr w:type="spellStart"/>
      <w:r w:rsidR="00CD439F" w:rsidRPr="00693A45">
        <w:rPr>
          <w:rStyle w:val="FotnotetekstTegn"/>
          <w:lang w:val="en-US"/>
        </w:rPr>
        <w:t>svensk-norske</w:t>
      </w:r>
      <w:proofErr w:type="spellEnd"/>
      <w:r w:rsidR="00CD439F" w:rsidRPr="00693A45">
        <w:rPr>
          <w:rStyle w:val="FotnotetekstTegn"/>
          <w:lang w:val="en-US"/>
        </w:rPr>
        <w:t xml:space="preserve"> </w:t>
      </w:r>
      <w:proofErr w:type="spellStart"/>
      <w:r w:rsidR="00CD439F" w:rsidRPr="00693A45">
        <w:rPr>
          <w:rStyle w:val="FotnotetekstTegn"/>
          <w:lang w:val="en-US"/>
        </w:rPr>
        <w:t>ulvebestanden</w:t>
      </w:r>
      <w:proofErr w:type="spellEnd"/>
      <w:r w:rsidR="00CD439F" w:rsidRPr="00693A45">
        <w:rPr>
          <w:rStyle w:val="FotnotetekstTegn"/>
          <w:lang w:val="en-US"/>
        </w:rPr>
        <w:t xml:space="preserve"> i: Maria Forsberg Annika Nilsson og Charlotta Zetterberg (red.) </w:t>
      </w:r>
      <w:proofErr w:type="spellStart"/>
      <w:r w:rsidR="00CD439F" w:rsidRPr="00693A45">
        <w:rPr>
          <w:rStyle w:val="FotnotetekstTegn"/>
          <w:lang w:val="en-US"/>
        </w:rPr>
        <w:t>Festskrift</w:t>
      </w:r>
      <w:proofErr w:type="spellEnd"/>
      <w:r w:rsidR="00CD439F" w:rsidRPr="00693A45">
        <w:rPr>
          <w:rStyle w:val="FotnotetekstTegn"/>
          <w:lang w:val="en-US"/>
        </w:rPr>
        <w:t xml:space="preserve"> </w:t>
      </w:r>
      <w:proofErr w:type="spellStart"/>
      <w:r w:rsidR="00CD439F" w:rsidRPr="00693A45">
        <w:rPr>
          <w:rStyle w:val="FotnotetekstTegn"/>
          <w:lang w:val="en-US"/>
        </w:rPr>
        <w:t>til</w:t>
      </w:r>
      <w:proofErr w:type="spellEnd"/>
      <w:r w:rsidR="00CD439F" w:rsidRPr="00693A45">
        <w:rPr>
          <w:rStyle w:val="FotnotetekstTegn"/>
          <w:lang w:val="en-US"/>
        </w:rPr>
        <w:t xml:space="preserve"> Jan </w:t>
      </w:r>
      <w:proofErr w:type="spellStart"/>
      <w:r w:rsidR="00CD439F" w:rsidRPr="00693A45">
        <w:rPr>
          <w:rStyle w:val="FotnotetekstTegn"/>
          <w:lang w:val="en-US"/>
        </w:rPr>
        <w:t>Darpö</w:t>
      </w:r>
      <w:proofErr w:type="spellEnd"/>
      <w:r w:rsidR="00CD439F" w:rsidRPr="00693A45">
        <w:rPr>
          <w:rStyle w:val="FotnotetekstTegn"/>
          <w:lang w:val="en-US"/>
        </w:rPr>
        <w:t>, 2022, 165-188.</w:t>
      </w:r>
    </w:p>
  </w:footnote>
  <w:footnote w:id="158">
    <w:p w14:paraId="1541272D" w14:textId="1AA4058D" w:rsidR="00CD439F" w:rsidRPr="007E66B0" w:rsidRDefault="00404399" w:rsidP="00CD439F">
      <w:pPr>
        <w:pStyle w:val="Fotnotetekst"/>
        <w:rPr>
          <w:rStyle w:val="kursiv"/>
          <w:lang w:val="en-US"/>
        </w:rPr>
      </w:pPr>
      <w:r w:rsidRPr="00CD439F">
        <w:rPr>
          <w:rStyle w:val="Fotnotereferanse"/>
        </w:rPr>
        <w:footnoteRef/>
      </w:r>
      <w:r w:rsidRPr="00404399">
        <w:rPr>
          <w:rStyle w:val="Fotnotereferanse"/>
          <w:lang w:val="en-US"/>
        </w:rPr>
        <w:t xml:space="preserve"> </w:t>
      </w:r>
      <w:r w:rsidR="00CD439F" w:rsidRPr="00693A45">
        <w:rPr>
          <w:rStyle w:val="FotnotetekstTegn"/>
          <w:lang w:val="en-US"/>
        </w:rPr>
        <w:t>Clare Shine, LEGAL REPORT ON THE POSSIBLE NEED TO AMEND APPENDIX II OF THE CONVENTION FOR THE WOLF (2005), Bern Convention Doc. T-PVS/Inf (2005) 18, s. 11.</w:t>
      </w:r>
    </w:p>
  </w:footnote>
  <w:footnote w:id="159">
    <w:p w14:paraId="4844A915" w14:textId="3B3225EB" w:rsidR="00CD439F" w:rsidRPr="007E66B0"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7E66B0">
        <w:rPr>
          <w:rStyle w:val="FotnotetekstTegn"/>
          <w:lang w:val="en-US"/>
        </w:rPr>
        <w:t>Recommendation No. 56 (1997) og Recommendation No. 173 (2014).</w:t>
      </w:r>
    </w:p>
  </w:footnote>
  <w:footnote w:id="160">
    <w:p w14:paraId="16753A83" w14:textId="2D840547" w:rsidR="00CD439F" w:rsidRPr="00E12880"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7E66B0">
        <w:rPr>
          <w:lang w:val="en-US"/>
        </w:rPr>
        <w:t xml:space="preserve">Standing Committee case law / monitoring practice, </w:t>
      </w:r>
      <w:proofErr w:type="spellStart"/>
      <w:r w:rsidR="00CD439F" w:rsidRPr="007E66B0">
        <w:rPr>
          <w:lang w:val="en-US"/>
        </w:rPr>
        <w:t>bl.a</w:t>
      </w:r>
      <w:proofErr w:type="spellEnd"/>
      <w:r w:rsidR="00CD439F" w:rsidRPr="007E66B0">
        <w:rPr>
          <w:lang w:val="en-US"/>
        </w:rPr>
        <w:t xml:space="preserve">.: Se </w:t>
      </w:r>
      <w:r w:rsidR="00CD439F" w:rsidRPr="007E66B0">
        <w:rPr>
          <w:bCs/>
          <w:lang w:val="en-US"/>
        </w:rPr>
        <w:t xml:space="preserve">Recommendation No. 173 (2014) </w:t>
      </w:r>
      <w:proofErr w:type="spellStart"/>
      <w:r w:rsidR="00CD439F" w:rsidRPr="007E66B0">
        <w:rPr>
          <w:bCs/>
          <w:lang w:val="en-US"/>
        </w:rPr>
        <w:t>som</w:t>
      </w:r>
      <w:proofErr w:type="spellEnd"/>
      <w:r w:rsidR="00CD439F" w:rsidRPr="007E66B0">
        <w:rPr>
          <w:bCs/>
          <w:lang w:val="en-US"/>
        </w:rPr>
        <w:t xml:space="preserve"> </w:t>
      </w:r>
      <w:proofErr w:type="spellStart"/>
      <w:r w:rsidR="00CD439F" w:rsidRPr="007E66B0">
        <w:rPr>
          <w:lang w:val="en-US"/>
        </w:rPr>
        <w:t>fremhever</w:t>
      </w:r>
      <w:proofErr w:type="spellEnd"/>
      <w:r w:rsidR="00CD439F" w:rsidRPr="007E66B0">
        <w:rPr>
          <w:lang w:val="en-US"/>
        </w:rPr>
        <w:t xml:space="preserve"> at </w:t>
      </w:r>
      <w:proofErr w:type="spellStart"/>
      <w:r w:rsidR="00CD439F" w:rsidRPr="007E66B0">
        <w:rPr>
          <w:lang w:val="en-US"/>
        </w:rPr>
        <w:t>bestandene</w:t>
      </w:r>
      <w:proofErr w:type="spellEnd"/>
      <w:r w:rsidR="00CD439F" w:rsidRPr="007E66B0">
        <w:rPr>
          <w:lang w:val="en-US"/>
        </w:rPr>
        <w:t xml:space="preserve"> </w:t>
      </w:r>
      <w:proofErr w:type="spellStart"/>
      <w:r w:rsidR="00CD439F" w:rsidRPr="007E66B0">
        <w:rPr>
          <w:lang w:val="en-US"/>
        </w:rPr>
        <w:t>må</w:t>
      </w:r>
      <w:proofErr w:type="spellEnd"/>
      <w:r w:rsidR="00CD439F" w:rsidRPr="007E66B0">
        <w:rPr>
          <w:lang w:val="en-US"/>
        </w:rPr>
        <w:t xml:space="preserve"> </w:t>
      </w:r>
      <w:proofErr w:type="spellStart"/>
      <w:r w:rsidR="00CD439F" w:rsidRPr="007E66B0">
        <w:rPr>
          <w:lang w:val="en-US"/>
        </w:rPr>
        <w:t>ligge</w:t>
      </w:r>
      <w:proofErr w:type="spellEnd"/>
      <w:r w:rsidR="00CD439F" w:rsidRPr="007E66B0">
        <w:rPr>
          <w:lang w:val="en-US"/>
        </w:rPr>
        <w:t xml:space="preserve"> </w:t>
      </w:r>
      <w:proofErr w:type="spellStart"/>
      <w:r w:rsidR="00CD439F" w:rsidRPr="007E66B0">
        <w:rPr>
          <w:rFonts w:cs="Times New Roman"/>
          <w:lang w:val="en-US"/>
        </w:rPr>
        <w:t>klart</w:t>
      </w:r>
      <w:proofErr w:type="spellEnd"/>
      <w:r w:rsidR="00CD439F" w:rsidRPr="007E66B0">
        <w:rPr>
          <w:rFonts w:cs="Times New Roman"/>
          <w:lang w:val="en-US"/>
        </w:rPr>
        <w:t xml:space="preserve"> over </w:t>
      </w:r>
      <w:proofErr w:type="spellStart"/>
      <w:r w:rsidR="00CD439F" w:rsidRPr="007E66B0">
        <w:rPr>
          <w:rFonts w:cs="Times New Roman"/>
          <w:lang w:val="en-US"/>
        </w:rPr>
        <w:t>minimumsnivåer</w:t>
      </w:r>
      <w:proofErr w:type="spellEnd"/>
      <w:r w:rsidR="00CD439F" w:rsidRPr="007E66B0">
        <w:rPr>
          <w:lang w:val="en-US"/>
        </w:rPr>
        <w:t xml:space="preserve">. </w:t>
      </w:r>
      <w:r w:rsidR="00CD439F" w:rsidRPr="00E12880">
        <w:rPr>
          <w:lang w:val="en-US"/>
        </w:rPr>
        <w:t xml:space="preserve">Se </w:t>
      </w:r>
      <w:proofErr w:type="spellStart"/>
      <w:r w:rsidR="00CD439F" w:rsidRPr="00E12880">
        <w:rPr>
          <w:lang w:val="en-US"/>
        </w:rPr>
        <w:t>også</w:t>
      </w:r>
      <w:proofErr w:type="spellEnd"/>
      <w:r w:rsidR="00CD439F" w:rsidRPr="00E12880">
        <w:rPr>
          <w:lang w:val="en-US"/>
        </w:rPr>
        <w:t xml:space="preserve"> </w:t>
      </w:r>
      <w:r w:rsidR="00CD439F" w:rsidRPr="00E12880">
        <w:rPr>
          <w:bCs/>
          <w:lang w:val="en-US"/>
        </w:rPr>
        <w:t>Explanatory Memorandum to the Bern Convention</w:t>
      </w:r>
      <w:r w:rsidR="00CD439F" w:rsidRPr="00E12880">
        <w:rPr>
          <w:lang w:val="en-US"/>
        </w:rPr>
        <w:t>, pkt. 43–45</w:t>
      </w:r>
    </w:p>
  </w:footnote>
  <w:footnote w:id="161">
    <w:p w14:paraId="08307858" w14:textId="0532EEC9" w:rsidR="00CD439F" w:rsidRPr="009264D9" w:rsidRDefault="00404399" w:rsidP="00CD439F">
      <w:pPr>
        <w:pStyle w:val="Fotnotetekst"/>
        <w:rPr>
          <w:lang w:val="en-US"/>
        </w:rPr>
      </w:pPr>
      <w:r w:rsidRPr="00CD439F">
        <w:rPr>
          <w:rStyle w:val="Fotnotereferanse"/>
        </w:rPr>
        <w:footnoteRef/>
      </w:r>
      <w:r w:rsidRPr="009264D9">
        <w:rPr>
          <w:rStyle w:val="Fotnotereferanse"/>
          <w:lang w:val="en-US"/>
        </w:rPr>
        <w:t xml:space="preserve"> </w:t>
      </w:r>
      <w:proofErr w:type="spellStart"/>
      <w:r w:rsidR="00CD439F" w:rsidRPr="009264D9">
        <w:rPr>
          <w:lang w:val="en-US"/>
        </w:rPr>
        <w:t>Storaas</w:t>
      </w:r>
      <w:proofErr w:type="spellEnd"/>
      <w:r w:rsidR="00CD439F" w:rsidRPr="009264D9">
        <w:rPr>
          <w:lang w:val="en-US"/>
        </w:rPr>
        <w:t xml:space="preserve"> og </w:t>
      </w:r>
      <w:proofErr w:type="spellStart"/>
      <w:r w:rsidR="00CD439F" w:rsidRPr="009264D9">
        <w:rPr>
          <w:lang w:val="en-US"/>
        </w:rPr>
        <w:t>Punsvik</w:t>
      </w:r>
      <w:proofErr w:type="spellEnd"/>
      <w:r w:rsidR="00CD439F" w:rsidRPr="009264D9">
        <w:rPr>
          <w:lang w:val="en-US"/>
        </w:rPr>
        <w:t xml:space="preserve">, </w:t>
      </w:r>
      <w:proofErr w:type="spellStart"/>
      <w:r w:rsidR="00CD439F" w:rsidRPr="009264D9">
        <w:rPr>
          <w:lang w:val="en-US"/>
        </w:rPr>
        <w:t>Viltforvaltning</w:t>
      </w:r>
      <w:proofErr w:type="spellEnd"/>
      <w:r w:rsidR="00CD439F" w:rsidRPr="009264D9">
        <w:rPr>
          <w:lang w:val="en-US"/>
        </w:rPr>
        <w:t>, s. 269.</w:t>
      </w:r>
    </w:p>
  </w:footnote>
  <w:footnote w:id="162">
    <w:p w14:paraId="7D6680D1" w14:textId="6B871940" w:rsidR="00CD439F" w:rsidRPr="00612642"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B85E83">
        <w:rPr>
          <w:lang w:val="en-US"/>
        </w:rPr>
        <w:t>HR-2021-662-A</w:t>
      </w:r>
    </w:p>
  </w:footnote>
  <w:footnote w:id="163">
    <w:p w14:paraId="0C738E31" w14:textId="1F9DB367" w:rsidR="00CD439F" w:rsidRPr="00AB49F9"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612642">
        <w:rPr>
          <w:lang w:val="en-US"/>
        </w:rPr>
        <w:t xml:space="preserve"> </w:t>
      </w:r>
      <w:r w:rsidR="00CD439F" w:rsidRPr="00064060">
        <w:rPr>
          <w:rStyle w:val="FotnotetekstTegn"/>
          <w:lang w:val="en-US"/>
        </w:rPr>
        <w:t>Standing Committee Recommendation No. 173 (2014)</w:t>
      </w:r>
    </w:p>
  </w:footnote>
  <w:footnote w:id="164">
    <w:p w14:paraId="2BE0EA9E" w14:textId="272E3444" w:rsidR="00CD439F" w:rsidRPr="00CD439F" w:rsidRDefault="00404399" w:rsidP="00CD439F">
      <w:pPr>
        <w:pStyle w:val="Fotnotetekst"/>
        <w:rPr>
          <w:rStyle w:val="halvfet"/>
          <w:lang w:val="en-US"/>
        </w:rPr>
      </w:pPr>
      <w:r w:rsidRPr="00CD439F">
        <w:rPr>
          <w:rStyle w:val="Fotnotereferanse"/>
        </w:rPr>
        <w:footnoteRef/>
      </w:r>
      <w:r w:rsidRPr="00404399">
        <w:rPr>
          <w:rStyle w:val="Fotnotereferanse"/>
          <w:lang w:val="en-US"/>
        </w:rPr>
        <w:t xml:space="preserve"> </w:t>
      </w:r>
      <w:r w:rsidR="00CD439F" w:rsidRPr="00C51E55">
        <w:rPr>
          <w:rStyle w:val="FotnotetekstTegn"/>
          <w:lang w:val="en-US"/>
        </w:rPr>
        <w:t>Recommendation No. 56 (1997)</w:t>
      </w:r>
    </w:p>
  </w:footnote>
  <w:footnote w:id="165">
    <w:p w14:paraId="77773A45" w14:textId="35D031B9" w:rsidR="00CD439F" w:rsidRPr="00693A45" w:rsidRDefault="00404399" w:rsidP="00CD439F">
      <w:pPr>
        <w:pStyle w:val="Fotnotetekst"/>
        <w:rPr>
          <w:lang w:val="en-US"/>
        </w:rPr>
      </w:pPr>
      <w:r w:rsidRPr="00CD439F">
        <w:rPr>
          <w:rStyle w:val="Fotnotereferanse"/>
        </w:rPr>
        <w:footnoteRef/>
      </w:r>
      <w:r w:rsidRPr="00404399">
        <w:rPr>
          <w:rStyle w:val="Fotnotereferanse"/>
          <w:lang w:val="en-US"/>
        </w:rPr>
        <w:t xml:space="preserve"> </w:t>
      </w:r>
      <w:proofErr w:type="spellStart"/>
      <w:r w:rsidR="00CD439F" w:rsidRPr="00693A45">
        <w:rPr>
          <w:lang w:val="en-US"/>
        </w:rPr>
        <w:t>Ot</w:t>
      </w:r>
      <w:r w:rsidR="00CD439F">
        <w:rPr>
          <w:lang w:val="en-US"/>
        </w:rPr>
        <w:t>.prp</w:t>
      </w:r>
      <w:proofErr w:type="spellEnd"/>
      <w:r w:rsidR="00CD439F">
        <w:rPr>
          <w:lang w:val="en-US"/>
        </w:rPr>
        <w:t xml:space="preserve">. nr. </w:t>
      </w:r>
      <w:r w:rsidR="00CD439F" w:rsidRPr="00693A45">
        <w:rPr>
          <w:lang w:val="en-US"/>
        </w:rPr>
        <w:t>52 (2008–2009) side 389</w:t>
      </w:r>
    </w:p>
  </w:footnote>
  <w:footnote w:id="166">
    <w:p w14:paraId="5FA6CA9A" w14:textId="1C86F7B7" w:rsidR="00CD439F" w:rsidRPr="00693A45"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fldChar w:fldCharType="begin"/>
      </w:r>
      <w:r w:rsidR="00CD439F" w:rsidRPr="00693A45">
        <w:rPr>
          <w:lang w:val="en-US"/>
        </w:rPr>
        <w:instrText xml:space="preserve"> ADDIN EN.CITE &lt;EndNote&gt;&lt;Cite&gt;&lt;Author&gt;Høyesterett&lt;/Author&gt;&lt;Year&gt;2021&lt;/Year&gt;&lt;RecNum&gt;10054&lt;/RecNum&gt;&lt;DisplayText&gt;Høyesterett, &lt;style face="italic"&gt;Ulvefelling I (HR-2021-662-A)&lt;/style&gt; (2021)&lt;/DisplayText&gt;&lt;record&gt;&lt;rec-number&gt;10054&lt;/rec-number&gt;&lt;foreign-keys&gt;&lt;key app="EN" db-id="5sffrv50pw0vx2esf075e50jafxwafzxe9r0" timestamp="1755918491" guid="d9a3df87-91b2-4a96-a961-5e182012627b"&gt;10054&lt;/key&gt;&lt;/foreign-keys&gt;&lt;ref-type name="Generic"&gt;13&lt;/ref-type&gt;&lt;contributors&gt;&lt;authors&gt;&lt;author&gt;Høyesterett&lt;/author&gt;&lt;/authors&gt;&lt;/contributors&gt;&lt;titles&gt;&lt;title&gt;Ulvefelling I (HR-2021-662-A)&lt;/title&gt;&lt;/titles&gt;&lt;keywords&gt;&lt;keyword&gt;Miljø ulv biodiversitet Bern folkerett Norge&lt;/keyword&gt;&lt;/keywords&gt;&lt;dates&gt;&lt;year&gt;2021&lt;/year&gt;&lt;/dates&gt;&lt;urls&gt;&lt;/urls&gt;&lt;/record&gt;&lt;/Cite&gt;&lt;/EndNote&gt;</w:instrText>
      </w:r>
      <w:r w:rsidR="00CD439F">
        <w:fldChar w:fldCharType="separate"/>
      </w:r>
      <w:r w:rsidR="00CD439F" w:rsidRPr="00693A45">
        <w:rPr>
          <w:lang w:val="en-US"/>
        </w:rPr>
        <w:t xml:space="preserve">Høyesterett, </w:t>
      </w:r>
      <w:r w:rsidR="00CD439F" w:rsidRPr="00CD439F">
        <w:rPr>
          <w:rStyle w:val="kursiv"/>
          <w:lang w:val="en-US"/>
        </w:rPr>
        <w:t>Ulvefelling I (HR-2021-662-A)</w:t>
      </w:r>
      <w:r w:rsidR="00CD439F" w:rsidRPr="00693A45">
        <w:rPr>
          <w:lang w:val="en-US"/>
        </w:rPr>
        <w:t xml:space="preserve"> (2021)</w:t>
      </w:r>
      <w:r w:rsidR="00CD439F">
        <w:fldChar w:fldCharType="end"/>
      </w:r>
      <w:r w:rsidR="00CD439F" w:rsidRPr="00693A45">
        <w:rPr>
          <w:lang w:val="en-US"/>
        </w:rPr>
        <w:t xml:space="preserve">, </w:t>
      </w:r>
      <w:proofErr w:type="spellStart"/>
      <w:r w:rsidR="00CD439F" w:rsidRPr="00693A45">
        <w:rPr>
          <w:lang w:val="en-US"/>
        </w:rPr>
        <w:t>avsnitt</w:t>
      </w:r>
      <w:proofErr w:type="spellEnd"/>
      <w:r w:rsidR="00CD439F" w:rsidRPr="00693A45">
        <w:rPr>
          <w:lang w:val="en-US"/>
        </w:rPr>
        <w:t xml:space="preserve"> 82.</w:t>
      </w:r>
    </w:p>
  </w:footnote>
  <w:footnote w:id="167">
    <w:p w14:paraId="5D2261C3" w14:textId="5623AD7E" w:rsidR="00CD439F" w:rsidRPr="00A006BC"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A006BC">
        <w:rPr>
          <w:lang w:val="en-US"/>
        </w:rPr>
        <w:t>HR 2021</w:t>
      </w:r>
      <w:r w:rsidR="00CD439F">
        <w:rPr>
          <w:lang w:val="en-US"/>
        </w:rPr>
        <w:t>-662-A</w:t>
      </w:r>
      <w:r w:rsidR="00CD439F" w:rsidRPr="00A006BC">
        <w:rPr>
          <w:lang w:val="en-US"/>
        </w:rPr>
        <w:t xml:space="preserve">, </w:t>
      </w:r>
      <w:proofErr w:type="spellStart"/>
      <w:r w:rsidR="00CD439F">
        <w:rPr>
          <w:lang w:val="en-GB"/>
        </w:rPr>
        <w:t>avsnitt</w:t>
      </w:r>
      <w:proofErr w:type="spellEnd"/>
      <w:r w:rsidR="00CD439F" w:rsidRPr="00A006BC">
        <w:rPr>
          <w:lang w:val="en-US"/>
        </w:rPr>
        <w:t xml:space="preserve"> 88.</w:t>
      </w:r>
    </w:p>
  </w:footnote>
  <w:footnote w:id="168">
    <w:p w14:paraId="59B1A8BF" w14:textId="091E281B" w:rsidR="00CD439F" w:rsidRPr="00404399" w:rsidRDefault="00404399" w:rsidP="00D96CC5">
      <w:pPr>
        <w:pStyle w:val="Fotnotetekst"/>
        <w:rPr>
          <w:lang w:val="en-US"/>
        </w:rPr>
      </w:pPr>
      <w:r w:rsidRPr="00CD439F">
        <w:rPr>
          <w:rStyle w:val="Fotnotereferanse"/>
        </w:rPr>
        <w:footnoteRef/>
      </w:r>
      <w:r w:rsidRPr="00404399">
        <w:rPr>
          <w:rStyle w:val="Fotnotereferanse"/>
          <w:lang w:val="en-US"/>
        </w:rPr>
        <w:t xml:space="preserve"> </w:t>
      </w:r>
      <w:proofErr w:type="spellStart"/>
      <w:r w:rsidR="00CD439F" w:rsidRPr="00404399">
        <w:rPr>
          <w:rFonts w:eastAsiaTheme="minorHAnsi"/>
          <w:lang w:val="en-US"/>
        </w:rPr>
        <w:t>Møterapport</w:t>
      </w:r>
      <w:proofErr w:type="spellEnd"/>
      <w:r w:rsidR="00CD439F" w:rsidRPr="00404399">
        <w:rPr>
          <w:rFonts w:eastAsiaTheme="minorHAnsi"/>
          <w:lang w:val="en-US"/>
        </w:rPr>
        <w:t xml:space="preserve">, </w:t>
      </w:r>
      <w:proofErr w:type="spellStart"/>
      <w:r w:rsidR="00CD439F" w:rsidRPr="00404399">
        <w:rPr>
          <w:rFonts w:eastAsiaTheme="minorHAnsi"/>
          <w:lang w:val="en-US"/>
        </w:rPr>
        <w:t>september</w:t>
      </w:r>
      <w:proofErr w:type="spellEnd"/>
      <w:r w:rsidR="00CD439F" w:rsidRPr="00404399">
        <w:rPr>
          <w:rFonts w:eastAsiaTheme="minorHAnsi"/>
          <w:lang w:val="en-US"/>
        </w:rPr>
        <w:t xml:space="preserve"> 2024, « suggested gradually moving away from its strict target and a very constrained wolf management zone to other policy measures, enhancing co-existence.»</w:t>
      </w:r>
    </w:p>
  </w:footnote>
  <w:footnote w:id="169">
    <w:p w14:paraId="36DB1874" w14:textId="1A5F7220" w:rsidR="00CD439F" w:rsidRPr="00693A45"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fldChar w:fldCharType="begin"/>
      </w:r>
      <w:r w:rsidR="00CD439F" w:rsidRPr="00693A45">
        <w:rPr>
          <w:lang w:val="en-US"/>
        </w:rPr>
        <w:instrText xml:space="preserve"> ADDIN EN.CITE &lt;EndNote&gt;&lt;Cite&gt;&lt;Author&gt;Høyesterett&lt;/Author&gt;&lt;Year&gt;2021&lt;/Year&gt;&lt;RecNum&gt;10054&lt;/RecNum&gt;&lt;DisplayText&gt;Høyesterett, &lt;style face="italic"&gt;Ulvefelling I (HR-2021-662-A)&lt;/style&gt;&lt;/DisplayText&gt;&lt;record&gt;&lt;rec-number&gt;10054&lt;/rec-number&gt;&lt;foreign-keys&gt;&lt;key app="EN" db-id="5sffrv50pw0vx2esf075e50jafxwafzxe9r0" timestamp="1755918491" guid="d9a3df87-91b2-4a96-a961-5e182012627b"&gt;10054&lt;/key&gt;&lt;/foreign-keys&gt;&lt;ref-type name="Generic"&gt;13&lt;/ref-type&gt;&lt;contributors&gt;&lt;authors&gt;&lt;author&gt;Høyesterett&lt;/author&gt;&lt;/authors&gt;&lt;/contributors&gt;&lt;titles&gt;&lt;title&gt;Ulvefelling I (HR-2021-662-A)&lt;/title&gt;&lt;/titles&gt;&lt;keywords&gt;&lt;keyword&gt;Miljø ulv biodiversitet Bern folkerett Norge&lt;/keyword&gt;&lt;/keywords&gt;&lt;dates&gt;&lt;year&gt;2021&lt;/year&gt;&lt;/dates&gt;&lt;urls&gt;&lt;/urls&gt;&lt;/record&gt;&lt;/Cite&gt;&lt;/EndNote&gt;</w:instrText>
      </w:r>
      <w:r w:rsidR="00CD439F">
        <w:fldChar w:fldCharType="separate"/>
      </w:r>
      <w:r w:rsidR="00CD439F" w:rsidRPr="00693A45">
        <w:rPr>
          <w:lang w:val="en-US"/>
        </w:rPr>
        <w:t xml:space="preserve">Høyesterett, </w:t>
      </w:r>
      <w:r w:rsidR="00CD439F" w:rsidRPr="00CD439F">
        <w:rPr>
          <w:rStyle w:val="kursiv"/>
          <w:lang w:val="en-US"/>
        </w:rPr>
        <w:t>Ulvefelling I (HR-2021-662-A)</w:t>
      </w:r>
      <w:r w:rsidR="00CD439F">
        <w:fldChar w:fldCharType="end"/>
      </w:r>
      <w:r w:rsidR="00CD439F" w:rsidRPr="00693A45">
        <w:rPr>
          <w:lang w:val="en-US"/>
        </w:rPr>
        <w:t xml:space="preserve">, </w:t>
      </w:r>
      <w:proofErr w:type="spellStart"/>
      <w:r w:rsidR="00CD439F" w:rsidRPr="00693A45">
        <w:rPr>
          <w:lang w:val="en-US"/>
        </w:rPr>
        <w:t>avsnitt</w:t>
      </w:r>
      <w:proofErr w:type="spellEnd"/>
      <w:r w:rsidR="00CD439F" w:rsidRPr="00693A45">
        <w:rPr>
          <w:lang w:val="en-US"/>
        </w:rPr>
        <w:t xml:space="preserve"> 97.</w:t>
      </w:r>
    </w:p>
  </w:footnote>
  <w:footnote w:id="170">
    <w:p w14:paraId="0EA9E07A" w14:textId="00A407B4" w:rsidR="00CD439F" w:rsidRPr="00693A45"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fldChar w:fldCharType="begin"/>
      </w:r>
      <w:r w:rsidR="00CD439F" w:rsidRPr="00693A45">
        <w:rPr>
          <w:lang w:val="en-US"/>
        </w:rPr>
        <w:instrText xml:space="preserve"> ADDIN EN.CITE &lt;EndNote&gt;&lt;Cite&gt;&lt;Author&gt;Høyesterett&lt;/Author&gt;&lt;Year&gt;2023&lt;/Year&gt;&lt;RecNum&gt;9853&lt;/RecNum&gt;&lt;DisplayText&gt;Høyesterett, &lt;style face="italic"&gt;Ulvefelling II (HR-2023-936-A)&lt;/style&gt; (2023)&lt;/DisplayText&gt;&lt;record&gt;&lt;rec-number&gt;9853&lt;/rec-number&gt;&lt;foreign-keys&gt;&lt;key app="EN" db-id="5sffrv50pw0vx2esf075e50jafxwafzxe9r0" timestamp="1755917642" guid="df376836-7981-4797-9ba8-9d8591669c8c"&gt;9853&lt;/key&gt;&lt;/foreign-keys&gt;&lt;ref-type name="Generic"&gt;13&lt;/ref-type&gt;&lt;contributors&gt;&lt;authors&gt;&lt;author&gt;Høyesterett&lt;/author&gt;&lt;/authors&gt;&lt;/contributors&gt;&lt;titles&gt;&lt;title&gt;Ulvefelling II (HR-2023-936-A)&lt;/title&gt;&lt;/titles&gt;&lt;keywords&gt;&lt;keyword&gt;Miljø ulv&lt;/keyword&gt;&lt;/keywords&gt;&lt;dates&gt;&lt;year&gt;2023&lt;/year&gt;&lt;/dates&gt;&lt;urls&gt;&lt;/urls&gt;&lt;/record&gt;&lt;/Cite&gt;&lt;/EndNote&gt;</w:instrText>
      </w:r>
      <w:r w:rsidR="00CD439F">
        <w:fldChar w:fldCharType="separate"/>
      </w:r>
      <w:r w:rsidR="00CD439F" w:rsidRPr="00693A45">
        <w:rPr>
          <w:lang w:val="en-US"/>
        </w:rPr>
        <w:t xml:space="preserve">Høyesterett, </w:t>
      </w:r>
      <w:r w:rsidR="00CD439F" w:rsidRPr="00CD439F">
        <w:rPr>
          <w:rStyle w:val="kursiv"/>
          <w:lang w:val="en-US"/>
        </w:rPr>
        <w:t>Ulvefelling II (HR-2023-936-A)</w:t>
      </w:r>
      <w:r w:rsidR="00CD439F" w:rsidRPr="00693A45">
        <w:rPr>
          <w:lang w:val="en-US"/>
        </w:rPr>
        <w:t xml:space="preserve"> (2023)</w:t>
      </w:r>
      <w:r w:rsidR="00CD439F">
        <w:fldChar w:fldCharType="end"/>
      </w:r>
      <w:r w:rsidR="00CD439F" w:rsidRPr="00693A45">
        <w:rPr>
          <w:lang w:val="en-US"/>
        </w:rPr>
        <w:t xml:space="preserve">, </w:t>
      </w:r>
      <w:proofErr w:type="spellStart"/>
      <w:r w:rsidR="00CD439F" w:rsidRPr="00693A45">
        <w:rPr>
          <w:lang w:val="en-US"/>
        </w:rPr>
        <w:t>avsnitt</w:t>
      </w:r>
      <w:proofErr w:type="spellEnd"/>
      <w:r w:rsidR="00CD439F" w:rsidRPr="00693A45">
        <w:rPr>
          <w:lang w:val="en-US"/>
        </w:rPr>
        <w:t xml:space="preserve"> 39-41.</w:t>
      </w:r>
    </w:p>
  </w:footnote>
  <w:footnote w:id="171">
    <w:p w14:paraId="36CD7E1C" w14:textId="0B89918B" w:rsidR="00CD439F" w:rsidRPr="001A53A6"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1A53A6">
        <w:rPr>
          <w:lang w:val="en-US"/>
        </w:rPr>
        <w:t>Standing Committee Recommendation No. 173 (2014)</w:t>
      </w:r>
    </w:p>
  </w:footnote>
  <w:footnote w:id="172">
    <w:p w14:paraId="75CB4AB2" w14:textId="352BB4C2" w:rsidR="00CD439F" w:rsidRPr="00CD439F" w:rsidRDefault="00404399" w:rsidP="00CD439F">
      <w:pPr>
        <w:pStyle w:val="Fotnotetekst"/>
        <w:rPr>
          <w:rStyle w:val="kursiv"/>
          <w:lang w:val="en-US"/>
        </w:rPr>
      </w:pPr>
      <w:r w:rsidRPr="00CD439F">
        <w:rPr>
          <w:rStyle w:val="Fotnotereferanse"/>
        </w:rPr>
        <w:footnoteRef/>
      </w:r>
      <w:r w:rsidRPr="00404399">
        <w:rPr>
          <w:rStyle w:val="Fotnotereferanse"/>
          <w:lang w:val="en-US"/>
        </w:rPr>
        <w:t xml:space="preserve"> </w:t>
      </w:r>
      <w:r w:rsidR="00CD439F" w:rsidRPr="00DD2433">
        <w:rPr>
          <w:lang w:val="en-US"/>
        </w:rPr>
        <w:fldChar w:fldCharType="begin"/>
      </w:r>
      <w:r w:rsidR="00CD439F" w:rsidRPr="00DD2433">
        <w:rPr>
          <w:lang w:val="en-US"/>
        </w:rPr>
        <w:instrText xml:space="preserve"> ADDIN EN.CITE &lt;EndNote&gt;&lt;Cite&gt;&lt;Author&gt;ICJ&lt;/Author&gt;&lt;Year&gt;2025&lt;/Year&gt;&lt;RecNum&gt;10129&lt;/RecNum&gt;&lt;DisplayText&gt;ICJ, &lt;style face="italic"&gt;Obligations of States in Respect of Climate Change (Advisory Opinion)&lt;/style&gt;&lt;/DisplayText&gt;&lt;record&gt;&lt;rec-number&gt;10129&lt;/rec-number&gt;&lt;foreign-keys&gt;&lt;key app="EN" db-id="5sffrv50pw0vx2esf075e50jafxwafzxe9r0" timestamp="1755918851" guid="585812a6-c51d-4aa0-a503-6fd559edbf53"&gt;10129&lt;/key&gt;&lt;/foreign-keys&gt;&lt;ref-type name="Generic"&gt;13&lt;/ref-type&gt;&lt;contributors&gt;&lt;authors&gt;&lt;author&gt;ICJ&lt;/author&gt;&lt;/authors&gt;&lt;/contributors&gt;&lt;titles&gt;&lt;title&gt;Obligations of States in Respect of Climate Change (Advisory Opinion)&lt;/title&gt;&lt;/titles&gt;&lt;keywords&gt;&lt;keyword&gt;Miljø klima&lt;/keyword&gt;&lt;/keywords&gt;&lt;dates&gt;&lt;year&gt;2025&lt;/year&gt;&lt;/dates&gt;&lt;urls&gt;&lt;related-urls&gt;&lt;url&gt;https://www.icj-cij.org/case/187&lt;/url&gt;&lt;/related-urls&gt;&lt;/urls&gt;&lt;/record&gt;&lt;/Cite&gt;&lt;/EndNote&gt;</w:instrText>
      </w:r>
      <w:r w:rsidR="00CD439F" w:rsidRPr="00DD2433">
        <w:rPr>
          <w:lang w:val="en-US"/>
        </w:rPr>
        <w:fldChar w:fldCharType="separate"/>
      </w:r>
      <w:r w:rsidR="00CD439F" w:rsidRPr="00DD2433">
        <w:rPr>
          <w:noProof/>
          <w:lang w:val="en-US"/>
        </w:rPr>
        <w:t xml:space="preserve">ICJ, </w:t>
      </w:r>
      <w:r w:rsidR="00CD439F" w:rsidRPr="00CD439F">
        <w:rPr>
          <w:rStyle w:val="kursiv"/>
          <w:lang w:val="en-US"/>
        </w:rPr>
        <w:t>Obligations of States in Respect of Climate Change (Advisory Opinion)</w:t>
      </w:r>
      <w:r w:rsidR="00CD439F" w:rsidRPr="00DD2433">
        <w:rPr>
          <w:lang w:val="en-US"/>
        </w:rPr>
        <w:fldChar w:fldCharType="end"/>
      </w:r>
      <w:r w:rsidR="00CD439F" w:rsidRPr="00DD2433">
        <w:rPr>
          <w:lang w:val="en-US"/>
        </w:rPr>
        <w:t xml:space="preserve">, para 294: </w:t>
      </w:r>
      <w:r w:rsidR="00CD439F">
        <w:rPr>
          <w:lang w:val="en-US"/>
        </w:rPr>
        <w:t>«</w:t>
      </w:r>
      <w:r w:rsidR="00CD439F" w:rsidRPr="00DD2433">
        <w:rPr>
          <w:lang w:val="en-US"/>
        </w:rPr>
        <w:t xml:space="preserve">The Court agrees with the conclusion reached by ITLOS that </w:t>
      </w:r>
      <w:r w:rsidR="00CD439F">
        <w:rPr>
          <w:lang w:val="en-US"/>
        </w:rPr>
        <w:t>«</w:t>
      </w:r>
      <w:r w:rsidR="00CD439F" w:rsidRPr="00DD2433">
        <w:rPr>
          <w:lang w:val="en-US"/>
        </w:rPr>
        <w:t>where there are plausible indications of potential risks</w:t>
      </w:r>
      <w:r w:rsidR="00CD439F">
        <w:rPr>
          <w:lang w:val="en-US"/>
        </w:rPr>
        <w:t>»</w:t>
      </w:r>
      <w:r w:rsidR="00CD439F" w:rsidRPr="00DD2433">
        <w:rPr>
          <w:lang w:val="en-US"/>
        </w:rPr>
        <w:t xml:space="preserve">, a State </w:t>
      </w:r>
      <w:r w:rsidR="00CD439F">
        <w:rPr>
          <w:lang w:val="en-US"/>
        </w:rPr>
        <w:t>«</w:t>
      </w:r>
      <w:r w:rsidR="00CD439F" w:rsidRPr="00DD2433">
        <w:rPr>
          <w:lang w:val="en-US"/>
        </w:rPr>
        <w:t>would not meet its obligation of due diligence if it disregarded those risks</w:t>
      </w:r>
      <w:r w:rsidR="00CD439F">
        <w:rPr>
          <w:lang w:val="en-US"/>
        </w:rPr>
        <w:t>»</w:t>
      </w:r>
      <w:r w:rsidR="00CD439F" w:rsidRPr="00DD2433">
        <w:rPr>
          <w:lang w:val="en-US"/>
        </w:rPr>
        <w:t xml:space="preserve"> and, in that sense, the </w:t>
      </w:r>
      <w:r w:rsidR="00CD439F">
        <w:rPr>
          <w:lang w:val="en-US"/>
        </w:rPr>
        <w:t>«</w:t>
      </w:r>
      <w:r w:rsidR="00CD439F" w:rsidRPr="00DD2433">
        <w:rPr>
          <w:lang w:val="en-US"/>
        </w:rPr>
        <w:t>precautionary approach is also an integral part of the general obligation of due diligence</w:t>
      </w:r>
      <w:r w:rsidR="00CD439F">
        <w:rPr>
          <w:lang w:val="en-US"/>
        </w:rPr>
        <w:t>»</w:t>
      </w:r>
      <w:r w:rsidR="00CD439F" w:rsidRPr="00DD2433">
        <w:rPr>
          <w:lang w:val="en-US"/>
        </w:rPr>
        <w:t xml:space="preserve"> under the duty to prevent significant harm to the environment (Responsibilities and obligations of States with respect to activities in the Area, Advisory Opinion, 1 February 2011, ITLOS Reports 2011, p. 46, para. 131). Based on the above, the Court considers that the precautionary approach or principle, where applicable, guides States in the determination of the required standard of conduct in fulfilling their customary duty to prevent significant harm.</w:t>
      </w:r>
      <w:r w:rsidR="00CD439F">
        <w:rPr>
          <w:lang w:val="en-US"/>
        </w:rPr>
        <w:t>»</w:t>
      </w:r>
      <w:r w:rsidR="00CD439F" w:rsidRPr="00DD2433">
        <w:rPr>
          <w:lang w:val="en-US"/>
        </w:rPr>
        <w:t xml:space="preserve"> </w:t>
      </w:r>
    </w:p>
  </w:footnote>
  <w:footnote w:id="173">
    <w:p w14:paraId="2E7F5F89" w14:textId="01452961"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Pr>
          <w:lang w:val="nn-NO"/>
        </w:rPr>
        <w:t xml:space="preserve">St.meld. nr. </w:t>
      </w:r>
      <w:r w:rsidR="00CD439F" w:rsidRPr="00693A45">
        <w:rPr>
          <w:lang w:val="nn-NO"/>
        </w:rPr>
        <w:t>35 (1996</w:t>
      </w:r>
      <w:r w:rsidR="00CD439F">
        <w:rPr>
          <w:lang w:val="nn-NO"/>
        </w:rPr>
        <w:t>–</w:t>
      </w:r>
      <w:r w:rsidR="00CD439F" w:rsidRPr="00693A45">
        <w:rPr>
          <w:lang w:val="nn-NO"/>
        </w:rPr>
        <w:t xml:space="preserve">97) </w:t>
      </w:r>
      <w:r w:rsidR="00CD439F" w:rsidRPr="00CD439F">
        <w:rPr>
          <w:rStyle w:val="kursiv"/>
          <w:lang w:val="nn-NO"/>
        </w:rPr>
        <w:t>Om rovviltforvaltning,</w:t>
      </w:r>
      <w:r w:rsidR="00CD439F" w:rsidRPr="00693A45">
        <w:rPr>
          <w:lang w:val="nn-NO"/>
        </w:rPr>
        <w:t xml:space="preserve"> s. 48.</w:t>
      </w:r>
    </w:p>
  </w:footnote>
  <w:footnote w:id="174">
    <w:p w14:paraId="03FB9210" w14:textId="6BD35203"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693A45">
        <w:rPr>
          <w:rStyle w:val="FotnotetekstTegn"/>
          <w:lang w:val="nn-NO"/>
        </w:rPr>
        <w:t xml:space="preserve">G. Ulfstein, Bernkonvensjonen som ramme for norsk rovdyrpolitikk, 2001, </w:t>
      </w:r>
      <w:proofErr w:type="spellStart"/>
      <w:r w:rsidR="00CD439F" w:rsidRPr="00693A45">
        <w:rPr>
          <w:rStyle w:val="FotnotetekstTegn"/>
          <w:lang w:val="nn-NO"/>
        </w:rPr>
        <w:t>tilgjengelig</w:t>
      </w:r>
      <w:proofErr w:type="spellEnd"/>
      <w:r w:rsidR="00CD439F" w:rsidRPr="00693A45">
        <w:rPr>
          <w:rStyle w:val="FotnotetekstTegn"/>
          <w:lang w:val="nn-NO"/>
        </w:rPr>
        <w:t>: https://www.jus.uio.no/ior/personer/vit/geiru/blog/filer/environmental-law/bernkonvensjonen-utredning-uio-2001.pdf</w:t>
      </w:r>
    </w:p>
  </w:footnote>
  <w:footnote w:id="175">
    <w:p w14:paraId="227FF0E5" w14:textId="3873917A" w:rsidR="00CD439F" w:rsidRPr="00404399"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404399">
        <w:rPr>
          <w:rFonts w:eastAsiaTheme="minorHAnsi"/>
          <w:lang w:val="en-US"/>
        </w:rPr>
        <w:t xml:space="preserve">Se IUCN, </w:t>
      </w:r>
      <w:proofErr w:type="spellStart"/>
      <w:r w:rsidR="00CD439F" w:rsidRPr="00404399">
        <w:rPr>
          <w:rFonts w:eastAsiaTheme="minorHAnsi"/>
          <w:lang w:val="en-US"/>
        </w:rPr>
        <w:t>som</w:t>
      </w:r>
      <w:proofErr w:type="spellEnd"/>
      <w:r w:rsidR="00CD439F" w:rsidRPr="00404399">
        <w:rPr>
          <w:rFonts w:eastAsiaTheme="minorHAnsi"/>
          <w:lang w:val="en-US"/>
        </w:rPr>
        <w:t xml:space="preserve"> </w:t>
      </w:r>
      <w:proofErr w:type="spellStart"/>
      <w:r w:rsidR="00CD439F" w:rsidRPr="00404399">
        <w:rPr>
          <w:rFonts w:eastAsiaTheme="minorHAnsi"/>
          <w:lang w:val="en-US"/>
        </w:rPr>
        <w:t>definerer</w:t>
      </w:r>
      <w:proofErr w:type="spellEnd"/>
      <w:r w:rsidR="00CD439F" w:rsidRPr="00404399">
        <w:rPr>
          <w:rFonts w:eastAsiaTheme="minorHAnsi"/>
          <w:lang w:val="en-US"/>
        </w:rPr>
        <w:t xml:space="preserve"> «viable population as a population that is large enough to have a high probability of survival for a specified period, despite environmental, genetic, and demographic threats» (IUCN,</w:t>
      </w:r>
      <w:r w:rsidR="00CD439F" w:rsidRPr="00404399">
        <w:rPr>
          <w:lang w:val="en-US"/>
        </w:rPr>
        <w:t xml:space="preserve"> Guidelines for Using the IUCN Red List Categories and Criteria, March 2024) </w:t>
      </w:r>
      <w:proofErr w:type="spellStart"/>
      <w:r w:rsidR="00CD439F" w:rsidRPr="00404399">
        <w:rPr>
          <w:lang w:val="en-US"/>
        </w:rPr>
        <w:t>også</w:t>
      </w:r>
      <w:proofErr w:type="spellEnd"/>
      <w:r w:rsidR="00CD439F" w:rsidRPr="00404399">
        <w:rPr>
          <w:lang w:val="en-US"/>
        </w:rPr>
        <w:t xml:space="preserve">: </w:t>
      </w:r>
      <w:proofErr w:type="spellStart"/>
      <w:r w:rsidR="00CD439F" w:rsidRPr="00404399">
        <w:rPr>
          <w:lang w:val="en-US"/>
        </w:rPr>
        <w:t>Lochran</w:t>
      </w:r>
      <w:proofErr w:type="spellEnd"/>
      <w:r w:rsidR="00CD439F" w:rsidRPr="00404399">
        <w:rPr>
          <w:lang w:val="en-US"/>
        </w:rPr>
        <w:t xml:space="preserve"> W. Traill et al., Minimum viable population size, Ecology Theory, March 2010.</w:t>
      </w:r>
    </w:p>
  </w:footnote>
  <w:footnote w:id="176">
    <w:p w14:paraId="3B0978E2" w14:textId="2666E235" w:rsidR="00CD439F" w:rsidRPr="00693A45" w:rsidRDefault="00404399" w:rsidP="00CD439F">
      <w:pPr>
        <w:pStyle w:val="Fotnotetekst"/>
        <w:rPr>
          <w:lang w:val="en-US"/>
        </w:rPr>
      </w:pPr>
      <w:r w:rsidRPr="00CD439F">
        <w:rPr>
          <w:rStyle w:val="Fotnotereferanse"/>
        </w:rPr>
        <w:footnoteRef/>
      </w:r>
      <w:r w:rsidRPr="00404399">
        <w:rPr>
          <w:rStyle w:val="Fotnotereferanse"/>
          <w:lang w:val="en-US"/>
        </w:rPr>
        <w:t xml:space="preserve"> </w:t>
      </w:r>
      <w:proofErr w:type="spellStart"/>
      <w:r w:rsidR="00CD439F" w:rsidRPr="00693A45">
        <w:rPr>
          <w:lang w:val="en-US"/>
        </w:rPr>
        <w:t>Rovdata</w:t>
      </w:r>
      <w:proofErr w:type="spellEnd"/>
      <w:r w:rsidR="00CD439F" w:rsidRPr="00693A45">
        <w:rPr>
          <w:lang w:val="en-US"/>
        </w:rPr>
        <w:t xml:space="preserve">, </w:t>
      </w:r>
      <w:proofErr w:type="spellStart"/>
      <w:r w:rsidR="00CD439F" w:rsidRPr="00693A45">
        <w:rPr>
          <w:lang w:val="en-US"/>
        </w:rPr>
        <w:t>Genetisk</w:t>
      </w:r>
      <w:proofErr w:type="spellEnd"/>
      <w:r w:rsidR="00CD439F" w:rsidRPr="00693A45">
        <w:rPr>
          <w:lang w:val="en-US"/>
        </w:rPr>
        <w:t xml:space="preserve"> </w:t>
      </w:r>
      <w:proofErr w:type="spellStart"/>
      <w:r w:rsidR="00CD439F" w:rsidRPr="00693A45">
        <w:rPr>
          <w:lang w:val="en-US"/>
        </w:rPr>
        <w:t>viktig</w:t>
      </w:r>
      <w:proofErr w:type="spellEnd"/>
      <w:r w:rsidR="00CD439F" w:rsidRPr="00693A45">
        <w:rPr>
          <w:lang w:val="en-US"/>
        </w:rPr>
        <w:t xml:space="preserve"> </w:t>
      </w:r>
      <w:proofErr w:type="spellStart"/>
      <w:r w:rsidR="00CD439F" w:rsidRPr="00693A45">
        <w:rPr>
          <w:lang w:val="en-US"/>
        </w:rPr>
        <w:t>ulv</w:t>
      </w:r>
      <w:proofErr w:type="spellEnd"/>
      <w:r w:rsidR="00CD439F" w:rsidRPr="00693A45">
        <w:rPr>
          <w:lang w:val="en-US"/>
        </w:rPr>
        <w:t xml:space="preserve"> </w:t>
      </w:r>
      <w:proofErr w:type="spellStart"/>
      <w:r w:rsidR="00CD439F" w:rsidRPr="00693A45">
        <w:rPr>
          <w:lang w:val="en-US"/>
        </w:rPr>
        <w:t>fra</w:t>
      </w:r>
      <w:proofErr w:type="spellEnd"/>
      <w:r w:rsidR="00CD439F" w:rsidRPr="00693A45">
        <w:rPr>
          <w:lang w:val="en-US"/>
        </w:rPr>
        <w:t xml:space="preserve"> Norge </w:t>
      </w:r>
      <w:proofErr w:type="spellStart"/>
      <w:r w:rsidR="00CD439F" w:rsidRPr="00693A45">
        <w:rPr>
          <w:lang w:val="en-US"/>
        </w:rPr>
        <w:t>har</w:t>
      </w:r>
      <w:proofErr w:type="spellEnd"/>
      <w:r w:rsidR="00CD439F" w:rsidRPr="00693A45">
        <w:rPr>
          <w:lang w:val="en-US"/>
        </w:rPr>
        <w:t xml:space="preserve"> </w:t>
      </w:r>
      <w:proofErr w:type="spellStart"/>
      <w:r w:rsidR="00CD439F" w:rsidRPr="00693A45">
        <w:rPr>
          <w:lang w:val="en-US"/>
        </w:rPr>
        <w:t>etablert</w:t>
      </w:r>
      <w:proofErr w:type="spellEnd"/>
      <w:r w:rsidR="00CD439F" w:rsidRPr="00693A45">
        <w:rPr>
          <w:lang w:val="en-US"/>
        </w:rPr>
        <w:t xml:space="preserve"> seg </w:t>
      </w:r>
      <w:proofErr w:type="spellStart"/>
      <w:r w:rsidR="00CD439F" w:rsidRPr="00693A45">
        <w:rPr>
          <w:lang w:val="en-US"/>
        </w:rPr>
        <w:t>i</w:t>
      </w:r>
      <w:proofErr w:type="spellEnd"/>
      <w:r w:rsidR="00CD439F" w:rsidRPr="00693A45">
        <w:rPr>
          <w:lang w:val="en-US"/>
        </w:rPr>
        <w:t xml:space="preserve"> Sverige, 31. </w:t>
      </w:r>
      <w:proofErr w:type="spellStart"/>
      <w:r w:rsidR="00CD439F" w:rsidRPr="00693A45">
        <w:rPr>
          <w:lang w:val="en-US"/>
        </w:rPr>
        <w:t>januar</w:t>
      </w:r>
      <w:proofErr w:type="spellEnd"/>
      <w:r w:rsidR="00CD439F" w:rsidRPr="00693A45">
        <w:rPr>
          <w:lang w:val="en-US"/>
        </w:rPr>
        <w:t xml:space="preserve"> 2023.</w:t>
      </w:r>
    </w:p>
  </w:footnote>
  <w:footnote w:id="177">
    <w:p w14:paraId="292D32D5" w14:textId="0E175ACC" w:rsidR="00CD439F" w:rsidRPr="003060D7"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3060D7">
        <w:rPr>
          <w:lang w:val="en-US"/>
        </w:rPr>
        <w:t xml:space="preserve">CONVENTION ON THE CONSERVATION OF EUROPEAN WILDLIFE AND NATURAL HABITATS </w:t>
      </w:r>
    </w:p>
    <w:p w14:paraId="4603CB2D" w14:textId="77777777" w:rsidR="00CD439F" w:rsidRDefault="00CD439F" w:rsidP="00CD439F">
      <w:pPr>
        <w:pStyle w:val="Fotnotetekst"/>
        <w:rPr>
          <w:rFonts w:cs="Times New Roman"/>
          <w:color w:val="000000"/>
          <w:lang w:val="en-US"/>
        </w:rPr>
      </w:pPr>
      <w:r w:rsidRPr="003060D7">
        <w:rPr>
          <w:color w:val="000000"/>
          <w:lang w:val="en-US"/>
        </w:rPr>
        <w:t>Standing Committee, 44th meeting, Meeting of the Bureau, 10-12 September 2024, (Strasbourg)</w:t>
      </w:r>
      <w:r>
        <w:rPr>
          <w:color w:val="000000"/>
          <w:lang w:val="en-US"/>
        </w:rPr>
        <w:t xml:space="preserve"> – </w:t>
      </w:r>
      <w:r w:rsidRPr="003060D7">
        <w:rPr>
          <w:color w:val="000000"/>
          <w:lang w:val="en-US"/>
        </w:rPr>
        <w:t>MEETING REPORT.</w:t>
      </w:r>
    </w:p>
  </w:footnote>
  <w:footnote w:id="178">
    <w:p w14:paraId="5AADDA6B" w14:textId="335113B1" w:rsidR="00CD439F" w:rsidRPr="00693A45" w:rsidRDefault="00404399" w:rsidP="00CD439F">
      <w:pPr>
        <w:pStyle w:val="Fotnotetekst"/>
        <w:rPr>
          <w:lang w:val="en-US"/>
        </w:rPr>
      </w:pPr>
      <w:r w:rsidRPr="00CD439F">
        <w:rPr>
          <w:rStyle w:val="Fotnotereferanse"/>
        </w:rPr>
        <w:footnoteRef/>
      </w:r>
      <w:r>
        <w:rPr>
          <w:rStyle w:val="Fotnotereferanse"/>
        </w:rPr>
        <w:t xml:space="preserve"> </w:t>
      </w:r>
      <w:r w:rsidR="00CD439F" w:rsidRPr="003060D7">
        <w:rPr>
          <w:rStyle w:val="FotnotetekstTegn"/>
        </w:rPr>
        <w:t xml:space="preserve">Dyrevern- og naturvernorganisasjoner har vært kritiske til håndteringen av norske myndigheter. De mener at Norge tolker kravet for snevert og at bestandsmålet er politisk, ikke vitenskapelig, fastsatt. </w:t>
      </w:r>
      <w:proofErr w:type="spellStart"/>
      <w:r w:rsidR="00CD439F" w:rsidRPr="00693A45">
        <w:rPr>
          <w:rStyle w:val="FotnotetekstTegn"/>
          <w:lang w:val="en-US"/>
        </w:rPr>
        <w:t>Dermed</w:t>
      </w:r>
      <w:proofErr w:type="spellEnd"/>
      <w:r w:rsidR="00CD439F" w:rsidRPr="00693A45">
        <w:rPr>
          <w:rStyle w:val="FotnotetekstTegn"/>
          <w:lang w:val="en-US"/>
        </w:rPr>
        <w:t xml:space="preserve"> er </w:t>
      </w:r>
      <w:proofErr w:type="spellStart"/>
      <w:r w:rsidR="00CD439F" w:rsidRPr="00693A45">
        <w:rPr>
          <w:rStyle w:val="FotnotetekstTegn"/>
          <w:lang w:val="en-US"/>
        </w:rPr>
        <w:t>ikke</w:t>
      </w:r>
      <w:proofErr w:type="spellEnd"/>
      <w:r w:rsidR="00CD439F" w:rsidRPr="00693A45">
        <w:rPr>
          <w:rStyle w:val="FotnotetekstTegn"/>
          <w:lang w:val="en-US"/>
        </w:rPr>
        <w:t xml:space="preserve"> </w:t>
      </w:r>
      <w:r w:rsidR="00CD439F">
        <w:rPr>
          <w:rStyle w:val="FotnotetekstTegn"/>
          <w:lang w:val="en-US"/>
        </w:rPr>
        <w:t>«</w:t>
      </w:r>
      <w:proofErr w:type="spellStart"/>
      <w:r w:rsidR="00CD439F" w:rsidRPr="00693A45">
        <w:rPr>
          <w:rStyle w:val="FotnotetekstTegn"/>
          <w:lang w:val="en-US"/>
        </w:rPr>
        <w:t>overlevelse</w:t>
      </w:r>
      <w:proofErr w:type="spellEnd"/>
      <w:r w:rsidR="00CD439F">
        <w:rPr>
          <w:rStyle w:val="FotnotetekstTegn"/>
          <w:lang w:val="en-US"/>
        </w:rPr>
        <w:t>»</w:t>
      </w:r>
      <w:r w:rsidR="00CD439F" w:rsidRPr="00693A45">
        <w:rPr>
          <w:rStyle w:val="FotnotetekstTegn"/>
          <w:lang w:val="en-US"/>
        </w:rPr>
        <w:t xml:space="preserve"> </w:t>
      </w:r>
      <w:proofErr w:type="spellStart"/>
      <w:r w:rsidR="00CD439F" w:rsidRPr="00693A45">
        <w:rPr>
          <w:rStyle w:val="FotnotetekstTegn"/>
          <w:lang w:val="en-US"/>
        </w:rPr>
        <w:t>tilstrekkelig</w:t>
      </w:r>
      <w:proofErr w:type="spellEnd"/>
      <w:r w:rsidR="00CD439F" w:rsidRPr="00693A45">
        <w:rPr>
          <w:rStyle w:val="FotnotetekstTegn"/>
          <w:lang w:val="en-US"/>
        </w:rPr>
        <w:t xml:space="preserve"> </w:t>
      </w:r>
      <w:proofErr w:type="spellStart"/>
      <w:r w:rsidR="00CD439F" w:rsidRPr="00693A45">
        <w:rPr>
          <w:rStyle w:val="FotnotetekstTegn"/>
          <w:lang w:val="en-US"/>
        </w:rPr>
        <w:t>garantert</w:t>
      </w:r>
      <w:proofErr w:type="spellEnd"/>
      <w:r w:rsidR="00CD439F" w:rsidRPr="00693A45">
        <w:rPr>
          <w:rStyle w:val="FotnotetekstTegn"/>
          <w:lang w:val="en-US"/>
        </w:rPr>
        <w:t>.</w:t>
      </w:r>
    </w:p>
  </w:footnote>
  <w:footnote w:id="179">
    <w:p w14:paraId="691BC0F1" w14:textId="04C60ABA"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Pr>
          <w:lang w:val="en-US"/>
        </w:rPr>
        <w:t>CONVENTION ON THE CONSERVATION OF EUROPEAN WILDLIFE AND NATURAL HABITATS, Standing Committee, 44th meeting, Meeting of the Bureau 18-19 March 2024 (Strasbourg) MEETING REPORT.</w:t>
      </w:r>
    </w:p>
  </w:footnote>
  <w:footnote w:id="180">
    <w:p w14:paraId="5265712C" w14:textId="485B0750" w:rsidR="00CD439F" w:rsidRDefault="00404399" w:rsidP="00CD439F">
      <w:pPr>
        <w:pStyle w:val="Fotnotetekst"/>
        <w:rPr>
          <w:rFonts w:eastAsia="Arial"/>
          <w:lang w:val="en-US"/>
        </w:rPr>
      </w:pPr>
      <w:r w:rsidRPr="00CD439F">
        <w:rPr>
          <w:rStyle w:val="Fotnotereferanse"/>
        </w:rPr>
        <w:footnoteRef/>
      </w:r>
      <w:r w:rsidRPr="00404399">
        <w:rPr>
          <w:rStyle w:val="Fotnotereferanse"/>
          <w:lang w:val="en-US"/>
        </w:rPr>
        <w:t xml:space="preserve"> </w:t>
      </w:r>
      <w:r w:rsidR="00CD439F">
        <w:rPr>
          <w:rFonts w:eastAsia="Arial"/>
          <w:lang w:val="en-US"/>
        </w:rPr>
        <w:t>DIRECTORATE OF SOCIAL RIGHTS, HEALTH AND ENVIRONMENT, 27 October 2025, Subject: Complaint No. 2022/03: Open File: Norway: Wolf culling policy</w:t>
      </w:r>
    </w:p>
  </w:footnote>
  <w:footnote w:id="181">
    <w:p w14:paraId="2253E405" w14:textId="22B4BAE2" w:rsidR="00CD439F" w:rsidRPr="007C1299" w:rsidRDefault="00404399" w:rsidP="00CD439F">
      <w:pPr>
        <w:pStyle w:val="Fotnotetekst"/>
        <w:rPr>
          <w:lang w:val="en-US"/>
        </w:rPr>
      </w:pPr>
      <w:r w:rsidRPr="00CD439F">
        <w:rPr>
          <w:rStyle w:val="Fotnotereferanse"/>
        </w:rPr>
        <w:footnoteRef/>
      </w:r>
      <w:r w:rsidRPr="009264D9">
        <w:rPr>
          <w:rStyle w:val="Fotnotereferanse"/>
          <w:lang w:val="en-US"/>
        </w:rPr>
        <w:t xml:space="preserve"> </w:t>
      </w:r>
      <w:r w:rsidR="00CD439F" w:rsidRPr="00693A45">
        <w:rPr>
          <w:rStyle w:val="FotnotetekstTegn"/>
          <w:lang w:val="en-US"/>
        </w:rPr>
        <w:t xml:space="preserve">Rapport </w:t>
      </w:r>
      <w:proofErr w:type="spellStart"/>
      <w:r w:rsidR="00CD439F" w:rsidRPr="00693A45">
        <w:rPr>
          <w:rStyle w:val="FotnotetekstTegn"/>
          <w:lang w:val="en-US"/>
        </w:rPr>
        <w:t>fra</w:t>
      </w:r>
      <w:proofErr w:type="spellEnd"/>
      <w:r w:rsidR="00CD439F" w:rsidRPr="00693A45">
        <w:rPr>
          <w:rStyle w:val="FotnotetekstTegn"/>
          <w:lang w:val="en-US"/>
        </w:rPr>
        <w:t xml:space="preserve"> Den </w:t>
      </w:r>
      <w:proofErr w:type="spellStart"/>
      <w:r w:rsidR="00CD439F" w:rsidRPr="00693A45">
        <w:rPr>
          <w:rStyle w:val="FotnotetekstTegn"/>
          <w:lang w:val="en-US"/>
        </w:rPr>
        <w:t>permanente</w:t>
      </w:r>
      <w:proofErr w:type="spellEnd"/>
      <w:r w:rsidR="00CD439F" w:rsidRPr="00693A45">
        <w:rPr>
          <w:rStyle w:val="FotnotetekstTegn"/>
          <w:lang w:val="en-US"/>
        </w:rPr>
        <w:t xml:space="preserve"> </w:t>
      </w:r>
      <w:proofErr w:type="spellStart"/>
      <w:r w:rsidR="00CD439F" w:rsidRPr="00693A45">
        <w:rPr>
          <w:rStyle w:val="FotnotetekstTegn"/>
          <w:lang w:val="en-US"/>
        </w:rPr>
        <w:t>komiteen</w:t>
      </w:r>
      <w:proofErr w:type="spellEnd"/>
      <w:r w:rsidR="00CD439F" w:rsidRPr="00693A45">
        <w:rPr>
          <w:rStyle w:val="FotnotetekstTegn"/>
          <w:lang w:val="en-US"/>
        </w:rPr>
        <w:t xml:space="preserve"> </w:t>
      </w:r>
      <w:proofErr w:type="spellStart"/>
      <w:r w:rsidR="00CD439F" w:rsidRPr="00693A45">
        <w:rPr>
          <w:rStyle w:val="FotnotetekstTegn"/>
          <w:lang w:val="en-US"/>
        </w:rPr>
        <w:t>i</w:t>
      </w:r>
      <w:proofErr w:type="spellEnd"/>
      <w:r w:rsidR="00CD439F" w:rsidRPr="00693A45">
        <w:rPr>
          <w:rStyle w:val="FotnotetekstTegn"/>
          <w:lang w:val="en-US"/>
        </w:rPr>
        <w:t xml:space="preserve"> </w:t>
      </w:r>
      <w:proofErr w:type="spellStart"/>
      <w:r w:rsidR="00CD439F" w:rsidRPr="00693A45">
        <w:rPr>
          <w:rStyle w:val="FotnotetekstTegn"/>
          <w:lang w:val="en-US"/>
        </w:rPr>
        <w:t>saken</w:t>
      </w:r>
      <w:proofErr w:type="spellEnd"/>
      <w:r w:rsidR="00CD439F" w:rsidRPr="00693A45">
        <w:rPr>
          <w:rStyle w:val="FotnotetekstTegn"/>
          <w:lang w:val="en-US"/>
        </w:rPr>
        <w:t xml:space="preserve"> No. 2022/03, Open File, Norway: Wolf culling policy. </w:t>
      </w:r>
      <w:r w:rsidR="00CD439F" w:rsidRPr="001A53A6">
        <w:rPr>
          <w:rStyle w:val="FotnotetekstTegn"/>
          <w:lang w:val="en-US"/>
        </w:rPr>
        <w:t xml:space="preserve">19. </w:t>
      </w:r>
      <w:proofErr w:type="spellStart"/>
      <w:r w:rsidR="00CD439F" w:rsidRPr="001A53A6">
        <w:rPr>
          <w:rStyle w:val="FotnotetekstTegn"/>
          <w:lang w:val="en-US"/>
        </w:rPr>
        <w:t>Desember</w:t>
      </w:r>
      <w:proofErr w:type="spellEnd"/>
      <w:r w:rsidR="00CD439F" w:rsidRPr="001A53A6">
        <w:rPr>
          <w:rStyle w:val="FotnotetekstTegn"/>
          <w:lang w:val="en-US"/>
        </w:rPr>
        <w:t xml:space="preserve"> 2025. </w:t>
      </w:r>
      <w:proofErr w:type="spellStart"/>
      <w:r w:rsidR="00CD439F" w:rsidRPr="001A53A6">
        <w:rPr>
          <w:rStyle w:val="FotnotetekstTegn"/>
          <w:lang w:val="en-US"/>
        </w:rPr>
        <w:t>Se</w:t>
      </w:r>
      <w:proofErr w:type="spellEnd"/>
      <w:r w:rsidR="00CD439F" w:rsidRPr="001A53A6">
        <w:rPr>
          <w:rStyle w:val="FotnotetekstTegn"/>
          <w:lang w:val="en-US"/>
        </w:rPr>
        <w:t xml:space="preserve"> also LIST OF DECISIONS AND ADOPTED TEXTS Standing Committee T-PVS(2025)MISC, </w:t>
      </w:r>
      <w:proofErr w:type="spellStart"/>
      <w:r w:rsidR="00CD439F">
        <w:rPr>
          <w:lang w:val="en-GB"/>
        </w:rPr>
        <w:t>avsnitt</w:t>
      </w:r>
      <w:proofErr w:type="spellEnd"/>
      <w:r w:rsidR="00CD439F" w:rsidRPr="001A53A6">
        <w:rPr>
          <w:rStyle w:val="FotnotetekstTegn"/>
          <w:lang w:val="en-US"/>
        </w:rPr>
        <w:t xml:space="preserve"> 214 –224, 12 December 2025.</w:t>
      </w:r>
    </w:p>
  </w:footnote>
  <w:footnote w:id="182">
    <w:p w14:paraId="1BEC7EB9" w14:textId="30C4B1EE"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Pr>
          <w:lang w:val="en-US"/>
        </w:rPr>
        <w:fldChar w:fldCharType="begin"/>
      </w:r>
      <w:r w:rsidR="00CD439F">
        <w:rPr>
          <w:lang w:val="en-US"/>
        </w:rPr>
        <w:instrText xml:space="preserve"> ADDIN EN.CITE &lt;EndNote&gt;&lt;Cite&gt;&lt;Author&gt;ICJ&lt;/Author&gt;&lt;Year&gt;2014&lt;/Year&gt;&lt;RecNum&gt;9165&lt;/RecNum&gt;&lt;DisplayText&gt;ICJ, &lt;style face="italic"&gt;Whaling in the Antarctic (Australia v. Japan: New Zealand intervening), Judgment, I.C.J. Reports 2014, p. 226&lt;/style&gt; (2014)&lt;/DisplayText&gt;&lt;record&gt;&lt;rec-number&gt;9165&lt;/rec-number&gt;&lt;foreign-keys&gt;&lt;key app="EN" db-id="5sffrv50pw0vx2esf075e50jafxwafzxe9r0" timestamp="1755913027" guid="7cb92bfe-1c11-4db4-861c-332727e1e901"&gt;9165&lt;/key&gt;&lt;/foreign-keys&gt;&lt;ref-type name="Generic"&gt;13&lt;/ref-type&gt;&lt;contributors&gt;&lt;authors&gt;&lt;author&gt;ICJ&lt;/author&gt;&lt;/authors&gt;&lt;/contributors&gt;&lt;titles&gt;&lt;title&gt;Whaling in the Antarctic (Australia v. Japan: New Zealand intervening), Judgment, I.C.J. Reports 2014, p. 226&lt;/title&gt;&lt;/titles&gt;&lt;keywords&gt;&lt;keyword&gt;Havrett Japan Australia New Zealand Hvalfangst tolkning traktat IGO&lt;/keyword&gt;&lt;/keywords&gt;&lt;dates&gt;&lt;year&gt;2014&lt;/year&gt;&lt;/dates&gt;&lt;urls&gt;&lt;related-urls&gt;&lt;url&gt;https://www.icj-cij.org/en/case/148&lt;/url&gt;&lt;url&gt;&lt;style face="underline" font="default" size="100%"&gt;http://www.asil.org/insights/volume/18/issue/9/australia-v-japan-icj-halts-antarctic-whaling#_ednref11&lt;/style&gt;&lt;/url&gt;&lt;/related-urls&gt;&lt;/urls&gt;&lt;research-notes&gt;Arato i vedlagt artikkel skiller mellom praksis fra IOs og treaty bodies.&lt;/research-notes&gt;&lt;/record&gt;&lt;/Cite&gt;&lt;/EndNote&gt;</w:instrText>
      </w:r>
      <w:r w:rsidR="00CD439F">
        <w:rPr>
          <w:lang w:val="en-US"/>
        </w:rPr>
        <w:fldChar w:fldCharType="separate"/>
      </w:r>
      <w:r w:rsidR="00CD439F">
        <w:rPr>
          <w:noProof/>
          <w:lang w:val="en-US"/>
        </w:rPr>
        <w:t xml:space="preserve">ICJ, </w:t>
      </w:r>
      <w:r w:rsidR="00CD439F" w:rsidRPr="00CD439F">
        <w:rPr>
          <w:rStyle w:val="kursiv"/>
          <w:lang w:val="en-US"/>
        </w:rPr>
        <w:t>Whaling in the Antarctic (Australia v. Japan: New Zealand intervening), Judgment, I.C.J. Reports 2014, p. 226</w:t>
      </w:r>
      <w:r w:rsidR="00CD439F">
        <w:rPr>
          <w:noProof/>
          <w:lang w:val="en-US"/>
        </w:rPr>
        <w:t xml:space="preserve"> (2014)</w:t>
      </w:r>
      <w:r w:rsidR="00CD439F">
        <w:rPr>
          <w:lang w:val="en-US"/>
        </w:rPr>
        <w:fldChar w:fldCharType="end"/>
      </w:r>
      <w:r w:rsidR="00CD439F" w:rsidRPr="554CF858">
        <w:rPr>
          <w:lang w:val="en-US"/>
        </w:rPr>
        <w:t xml:space="preserve">. </w:t>
      </w:r>
    </w:p>
  </w:footnote>
  <w:footnote w:id="183">
    <w:p w14:paraId="629F6428" w14:textId="5721E797" w:rsidR="00CD439F" w:rsidRPr="00CC384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CC384F">
        <w:rPr>
          <w:lang w:val="en-US"/>
        </w:rPr>
        <w:t>CONVENTION ON THE CONSERVATION OF EUROPEAN WILDLIFE AND NATURAL HABITATS Standing Committee 45th meeting Strasbourg, 8</w:t>
      </w:r>
      <w:r w:rsidR="00CD439F">
        <w:rPr>
          <w:lang w:val="en-US"/>
        </w:rPr>
        <w:t xml:space="preserve"> – </w:t>
      </w:r>
      <w:r w:rsidR="00CD439F" w:rsidRPr="00CC384F">
        <w:rPr>
          <w:lang w:val="en-US"/>
        </w:rPr>
        <w:t>12 December 2025 Best practices for management of large carnivores in Europe with respect to lethal and non-lethal management measure.</w:t>
      </w:r>
    </w:p>
  </w:footnote>
  <w:footnote w:id="184">
    <w:p w14:paraId="1422C37B" w14:textId="0FB27126" w:rsidR="00CD439F" w:rsidRPr="00E70441"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E70441">
        <w:rPr>
          <w:lang w:val="en-US"/>
        </w:rPr>
        <w:t>TPVS/Inf(2025)19rev</w:t>
      </w:r>
      <w:r w:rsidR="00CD439F" w:rsidRPr="000124BD">
        <w:rPr>
          <w:rFonts w:cs="Times New Roman"/>
          <w:lang w:val="en-US"/>
        </w:rPr>
        <w:t>.</w:t>
      </w:r>
    </w:p>
  </w:footnote>
  <w:footnote w:id="185">
    <w:p w14:paraId="445DFEDE" w14:textId="3DD16C15" w:rsidR="00CD439F" w:rsidRPr="00BC7C2B" w:rsidRDefault="00404399" w:rsidP="00CD439F">
      <w:pPr>
        <w:pStyle w:val="Fotnotetekst"/>
        <w:rPr>
          <w:lang w:val="en-US"/>
        </w:rPr>
      </w:pPr>
      <w:r w:rsidRPr="00CD439F">
        <w:rPr>
          <w:rStyle w:val="Fotnotereferanse"/>
        </w:rPr>
        <w:footnoteRef/>
      </w:r>
      <w:r w:rsidRPr="00404399">
        <w:rPr>
          <w:rStyle w:val="Fotnotereferanse"/>
          <w:lang w:val="en-US"/>
        </w:rPr>
        <w:t xml:space="preserve"> </w:t>
      </w:r>
      <w:hyperlink r:id="rId8" w:history="1">
        <w:r w:rsidR="00CD439F" w:rsidRPr="00BC7C2B">
          <w:rPr>
            <w:rStyle w:val="Hyperkobling"/>
            <w:lang w:val="en-US"/>
          </w:rPr>
          <w:t>Draft Agenda 43rd Standing Committee</w:t>
        </w:r>
      </w:hyperlink>
    </w:p>
  </w:footnote>
  <w:footnote w:id="186">
    <w:p w14:paraId="047EE299" w14:textId="57184810" w:rsidR="00CD439F" w:rsidRPr="00607588" w:rsidRDefault="00404399" w:rsidP="00CD439F">
      <w:pPr>
        <w:pStyle w:val="Fotnotetekst"/>
        <w:rPr>
          <w:lang w:val="en-US"/>
        </w:rPr>
      </w:pPr>
      <w:r w:rsidRPr="00CD439F">
        <w:rPr>
          <w:rStyle w:val="Fotnotereferanse"/>
        </w:rPr>
        <w:footnoteRef/>
      </w:r>
      <w:r w:rsidRPr="009264D9">
        <w:rPr>
          <w:rStyle w:val="Fotnotereferanse"/>
          <w:lang w:val="en-US"/>
        </w:rPr>
        <w:t xml:space="preserve"> </w:t>
      </w:r>
      <w:r w:rsidR="00CD439F" w:rsidRPr="00693A45">
        <w:rPr>
          <w:rStyle w:val="FotnotetekstTegn"/>
          <w:lang w:val="en-US"/>
        </w:rPr>
        <w:t>Decision 15/4. Kunming-Montreal Global Biodiversity Framework, CBD/COP/DEC/15/4</w:t>
      </w:r>
      <w:r w:rsidR="00CD439F">
        <w:rPr>
          <w:rFonts w:cs="Times New Roman"/>
          <w:color w:val="000000" w:themeColor="text1"/>
          <w:sz w:val="20"/>
          <w:szCs w:val="20"/>
          <w:lang w:val="en-US"/>
        </w:rPr>
        <w:t xml:space="preserve"> </w:t>
      </w:r>
      <w:r w:rsidR="00CD439F" w:rsidRPr="00693A45">
        <w:rPr>
          <w:rStyle w:val="FotnotetekstTegn"/>
          <w:lang w:val="en-US"/>
        </w:rPr>
        <w:t>19 December 2022.</w:t>
      </w:r>
    </w:p>
  </w:footnote>
  <w:footnote w:id="187">
    <w:p w14:paraId="07A25D2D" w14:textId="278BACE1"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AB49F9">
        <w:rPr>
          <w:rStyle w:val="FotnotetekstTegn"/>
          <w:lang w:val="en-GB"/>
        </w:rPr>
        <w:t xml:space="preserve">Decision 15/6 Mechanisms for planning, monitoring, reporting and review </w:t>
      </w:r>
      <w:r w:rsidR="00CD439F">
        <w:rPr>
          <w:rStyle w:val="FotnotetekstTegn"/>
          <w:lang w:val="en-GB"/>
        </w:rPr>
        <w:t>«</w:t>
      </w:r>
      <w:r w:rsidR="00CD439F" w:rsidRPr="00AB49F9">
        <w:rPr>
          <w:rStyle w:val="FotnotetekstTegn"/>
          <w:lang w:val="en-GB"/>
        </w:rPr>
        <w:t>6. Requests Parties to revise and update their national biodiversity strategies and action plans in accordance with Article 6 of the Convention, following the guidance provided in annex I to the present decision, aligned with the Kunming-Montreal Global Biodiversity Framework and its goals and targets, including those related to means of implementation, and to submit them through the clearing-house mechanism by the sixteenth meeting of the Conference of the Parties</w:t>
      </w:r>
      <w:r w:rsidR="00CD439F">
        <w:rPr>
          <w:rStyle w:val="FotnotetekstTegn"/>
          <w:lang w:val="en-GB"/>
        </w:rPr>
        <w:t>»</w:t>
      </w:r>
      <w:r w:rsidR="00CD439F" w:rsidRPr="00AB49F9">
        <w:rPr>
          <w:rStyle w:val="FotnotetekstTegn"/>
          <w:lang w:val="en-GB"/>
        </w:rPr>
        <w:t>.</w:t>
      </w:r>
    </w:p>
  </w:footnote>
  <w:footnote w:id="188">
    <w:p w14:paraId="04ABA5C6" w14:textId="65F1D2A0" w:rsidR="00CD439F" w:rsidRDefault="00404399" w:rsidP="00CD439F">
      <w:pPr>
        <w:pStyle w:val="Fotnotetekst"/>
        <w:rPr>
          <w:lang w:val="en-US"/>
        </w:rPr>
      </w:pPr>
      <w:r w:rsidRPr="00CD439F">
        <w:rPr>
          <w:rStyle w:val="Fotnotereferanse"/>
        </w:rPr>
        <w:footnoteRef/>
      </w:r>
      <w:r>
        <w:rPr>
          <w:rStyle w:val="Fotnotereferanse"/>
        </w:rPr>
        <w:t xml:space="preserve"> </w:t>
      </w:r>
      <w:r w:rsidR="00CD439F" w:rsidRPr="00607588">
        <w:rPr>
          <w:rStyle w:val="FotnotetekstTegn"/>
        </w:rPr>
        <w:t xml:space="preserve">En tilsvarende rettslig plikt ble påpekt av Den internasjonale domstolen (ICJ) i forhold til statenes forpliktelser under Parisavtalen med hensyn til innholdet i de </w:t>
      </w:r>
      <w:r w:rsidR="00CD439F">
        <w:rPr>
          <w:rStyle w:val="FotnotetekstTegn"/>
        </w:rPr>
        <w:t>«</w:t>
      </w:r>
      <w:r w:rsidR="00CD439F" w:rsidRPr="00607588">
        <w:rPr>
          <w:rStyle w:val="FotnotetekstTegn"/>
        </w:rPr>
        <w:t>nasjonalt bestemte bidrag</w:t>
      </w:r>
      <w:r w:rsidR="00CD439F">
        <w:rPr>
          <w:rStyle w:val="FotnotetekstTegn"/>
        </w:rPr>
        <w:t>»</w:t>
      </w:r>
      <w:r w:rsidR="00CD439F" w:rsidRPr="00607588">
        <w:rPr>
          <w:rStyle w:val="FotnotetekstTegn"/>
        </w:rPr>
        <w:t xml:space="preserve"> (</w:t>
      </w:r>
      <w:proofErr w:type="spellStart"/>
      <w:r w:rsidR="00CD439F" w:rsidRPr="00607588">
        <w:rPr>
          <w:rStyle w:val="FotnotetekstTegn"/>
        </w:rPr>
        <w:t>NDCer</w:t>
      </w:r>
      <w:proofErr w:type="spellEnd"/>
      <w:r w:rsidR="00CD439F" w:rsidRPr="00607588">
        <w:rPr>
          <w:rStyle w:val="FotnotetekstTegn"/>
        </w:rPr>
        <w:t xml:space="preserve">). Også her har partene en handlingsplikt når det gjelder innholdet i </w:t>
      </w:r>
      <w:proofErr w:type="spellStart"/>
      <w:r w:rsidR="00CD439F" w:rsidRPr="00607588">
        <w:rPr>
          <w:rStyle w:val="FotnotetekstTegn"/>
        </w:rPr>
        <w:t>NDCen</w:t>
      </w:r>
      <w:proofErr w:type="spellEnd"/>
      <w:r w:rsidR="00CD439F" w:rsidRPr="00607588">
        <w:rPr>
          <w:rStyle w:val="FotnotetekstTegn"/>
        </w:rPr>
        <w:t xml:space="preserve">. Føringer vedtatt enten i avtalen eller gjennom beslutninger av partskonferansen kan etablere </w:t>
      </w:r>
      <w:r w:rsidR="00CD439F">
        <w:rPr>
          <w:rStyle w:val="FotnotetekstTegn"/>
        </w:rPr>
        <w:t>«</w:t>
      </w:r>
      <w:r w:rsidR="00CD439F" w:rsidRPr="00607588">
        <w:rPr>
          <w:rStyle w:val="FotnotetekstTegn"/>
        </w:rPr>
        <w:t xml:space="preserve">standards </w:t>
      </w:r>
      <w:proofErr w:type="spellStart"/>
      <w:r w:rsidR="00CD439F" w:rsidRPr="00607588">
        <w:rPr>
          <w:rStyle w:val="FotnotetekstTegn"/>
        </w:rPr>
        <w:t>that</w:t>
      </w:r>
      <w:proofErr w:type="spellEnd"/>
      <w:r w:rsidR="00CD439F" w:rsidRPr="00607588">
        <w:rPr>
          <w:rStyle w:val="FotnotetekstTegn"/>
        </w:rPr>
        <w:t xml:space="preserve"> </w:t>
      </w:r>
      <w:proofErr w:type="spellStart"/>
      <w:r w:rsidR="00CD439F" w:rsidRPr="00607588">
        <w:rPr>
          <w:rStyle w:val="FotnotetekstTegn"/>
        </w:rPr>
        <w:t>parties</w:t>
      </w:r>
      <w:proofErr w:type="spellEnd"/>
      <w:r w:rsidR="00CD439F" w:rsidRPr="00607588">
        <w:rPr>
          <w:rStyle w:val="FotnotetekstTegn"/>
        </w:rPr>
        <w:t xml:space="preserve"> must </w:t>
      </w:r>
      <w:proofErr w:type="spellStart"/>
      <w:r w:rsidR="00CD439F" w:rsidRPr="00607588">
        <w:rPr>
          <w:rStyle w:val="FotnotetekstTegn"/>
        </w:rPr>
        <w:t>satisfy</w:t>
      </w:r>
      <w:proofErr w:type="spellEnd"/>
      <w:r w:rsidR="00CD439F">
        <w:rPr>
          <w:rStyle w:val="FotnotetekstTegn"/>
        </w:rPr>
        <w:t>»</w:t>
      </w:r>
      <w:r w:rsidR="00CD439F" w:rsidRPr="00607588">
        <w:rPr>
          <w:rStyle w:val="FotnotetekstTegn"/>
        </w:rPr>
        <w:t xml:space="preserve"> når de forbereder sine </w:t>
      </w:r>
      <w:proofErr w:type="spellStart"/>
      <w:r w:rsidR="00CD439F" w:rsidRPr="00607588">
        <w:rPr>
          <w:rStyle w:val="FotnotetekstTegn"/>
        </w:rPr>
        <w:t>NDCer</w:t>
      </w:r>
      <w:proofErr w:type="spellEnd"/>
      <w:r w:rsidR="00CD439F" w:rsidRPr="00607588">
        <w:rPr>
          <w:rStyle w:val="FotnotetekstTegn"/>
        </w:rPr>
        <w:t xml:space="preserve">. </w:t>
      </w:r>
      <w:r w:rsidR="00CD439F" w:rsidRPr="00693A45">
        <w:rPr>
          <w:rStyle w:val="FotnotetekstTegn"/>
          <w:lang w:val="en-US"/>
        </w:rPr>
        <w:t>(</w:t>
      </w:r>
      <w:r w:rsidR="00CD439F" w:rsidRPr="00607588">
        <w:rPr>
          <w:rStyle w:val="FotnotetekstTegn"/>
        </w:rPr>
        <w:fldChar w:fldCharType="begin"/>
      </w:r>
      <w:r w:rsidR="00CD439F" w:rsidRPr="00693A45">
        <w:rPr>
          <w:rStyle w:val="FotnotetekstTegn"/>
          <w:lang w:val="en-US"/>
        </w:rPr>
        <w:instrText xml:space="preserve"> ADDIN EN.CITE &lt;EndNote&gt;&lt;Cite&gt;&lt;Author&gt;ICJ&lt;/Author&gt;&lt;Year&gt;2025&lt;/Year&gt;&lt;RecNum&gt;10129&lt;/RecNum&gt;&lt;DisplayText&gt;ICJ, &lt;style face="italic"&gt;Obligations of States in Respect of Climate Change (Advisory Opinion)&lt;/style&gt;&lt;/DisplayText&gt;&lt;record&gt;&lt;rec-number&gt;10129&lt;/rec-number&gt;&lt;foreign-keys&gt;&lt;key app="EN" db-id="5sffrv50pw0vx2esf075e50jafxwafzxe9r0" timestamp="1755918851" guid="585812a6-c51d-4aa0-a503-6fd559edbf53"&gt;10129&lt;/key&gt;&lt;/foreign-keys&gt;&lt;ref-type name="Generic"&gt;13&lt;/ref-type&gt;&lt;contributors&gt;&lt;authors&gt;&lt;author&gt;ICJ&lt;/author&gt;&lt;/authors&gt;&lt;/contributors&gt;&lt;titles&gt;&lt;title&gt;Obligations of States in Respect of Climate Change (Advisory Opinion)&lt;/title&gt;&lt;/titles&gt;&lt;keywords&gt;&lt;keyword&gt;Miljø klima&lt;/keyword&gt;&lt;/keywords&gt;&lt;dates&gt;&lt;year&gt;2025&lt;/year&gt;&lt;/dates&gt;&lt;urls&gt;&lt;related-urls&gt;&lt;url&gt;https://www.icj-cij.org/case/187&lt;/url&gt;&lt;/related-urls&gt;&lt;/urls&gt;&lt;/record&gt;&lt;/Cite&gt;&lt;/EndNote&gt;</w:instrText>
      </w:r>
      <w:r w:rsidR="00CD439F" w:rsidRPr="00607588">
        <w:rPr>
          <w:rStyle w:val="FotnotetekstTegn"/>
        </w:rPr>
        <w:fldChar w:fldCharType="separate"/>
      </w:r>
      <w:r w:rsidR="00CD439F" w:rsidRPr="00693A45">
        <w:rPr>
          <w:rStyle w:val="FotnotetekstTegn"/>
          <w:lang w:val="en-US"/>
        </w:rPr>
        <w:t>ICJ, Obligations of States in Respect of Climate Change (Advisory Opinion)</w:t>
      </w:r>
      <w:r w:rsidR="00CD439F" w:rsidRPr="00607588">
        <w:rPr>
          <w:rStyle w:val="FotnotetekstTegn"/>
        </w:rPr>
        <w:fldChar w:fldCharType="end"/>
      </w:r>
      <w:r w:rsidR="00CD439F" w:rsidRPr="00693A45">
        <w:rPr>
          <w:rStyle w:val="FotnotetekstTegn"/>
          <w:lang w:val="en-US"/>
        </w:rPr>
        <w:t xml:space="preserve">, </w:t>
      </w:r>
      <w:proofErr w:type="spellStart"/>
      <w:r w:rsidR="00CD439F" w:rsidRPr="00693A45">
        <w:rPr>
          <w:rStyle w:val="FotnotetekstTegn"/>
          <w:lang w:val="en-US"/>
        </w:rPr>
        <w:t>avsnitt</w:t>
      </w:r>
      <w:proofErr w:type="spellEnd"/>
      <w:r w:rsidR="00CD439F" w:rsidRPr="00693A45">
        <w:rPr>
          <w:rStyle w:val="FotnotetekstTegn"/>
          <w:lang w:val="en-US"/>
        </w:rPr>
        <w:t xml:space="preserve"> 249).</w:t>
      </w:r>
    </w:p>
  </w:footnote>
  <w:footnote w:id="189">
    <w:p w14:paraId="5A286259" w14:textId="73AB8190" w:rsidR="00CD439F" w:rsidRPr="0067414D" w:rsidRDefault="00404399" w:rsidP="00CD439F">
      <w:pPr>
        <w:pStyle w:val="Fotnotetekst"/>
        <w:rPr>
          <w:lang w:val="en-US"/>
        </w:rPr>
      </w:pPr>
      <w:r w:rsidRPr="00CD439F">
        <w:rPr>
          <w:rStyle w:val="Fotnotereferanse"/>
        </w:rPr>
        <w:footnoteRef/>
      </w:r>
      <w:r w:rsidRPr="009264D9">
        <w:rPr>
          <w:rStyle w:val="Fotnotereferanse"/>
          <w:lang w:val="en-US"/>
        </w:rPr>
        <w:t xml:space="preserve"> </w:t>
      </w:r>
      <w:r w:rsidR="00CD439F" w:rsidRPr="00CF43EE">
        <w:rPr>
          <w:rStyle w:val="FotnotetekstTegn"/>
          <w:lang w:val="en-GB"/>
        </w:rPr>
        <w:fldChar w:fldCharType="begin"/>
      </w:r>
      <w:r w:rsidR="00CD439F" w:rsidRPr="00CF43EE">
        <w:rPr>
          <w:rStyle w:val="FotnotetekstTegn"/>
          <w:lang w:val="en-GB"/>
        </w:rPr>
        <w:instrText xml:space="preserve"> ADDIN EN.CITE &lt;EndNote&gt;&lt;Cite&gt;&lt;Author&gt;ICJ&lt;/Author&gt;&lt;Year&gt;2025&lt;/Year&gt;&lt;RecNum&gt;10129&lt;/RecNum&gt;&lt;DisplayText&gt;Ibid&lt;/DisplayText&gt;&lt;record&gt;&lt;rec-number&gt;10129&lt;/rec-number&gt;&lt;foreign-keys&gt;&lt;key app="EN" db-id="5sffrv50pw0vx2esf075e50jafxwafzxe9r0" timestamp="1755918851" guid="585812a6-c51d-4aa0-a503-6fd559edbf53"&gt;10129&lt;/key&gt;&lt;/foreign-keys&gt;&lt;ref-type name="Generic"&gt;13&lt;/ref-type&gt;&lt;contributors&gt;&lt;authors&gt;&lt;author&gt;ICJ&lt;/author&gt;&lt;/authors&gt;&lt;/contributors&gt;&lt;titles&gt;&lt;title&gt;Obligations of States in Respect of Climate Change (Advisory Opinion)&lt;/title&gt;&lt;/titles&gt;&lt;keywords&gt;&lt;keyword&gt;Miljø klima&lt;/keyword&gt;&lt;/keywords&gt;&lt;dates&gt;&lt;year&gt;2025&lt;/year&gt;&lt;/dates&gt;&lt;urls&gt;&lt;related-urls&gt;&lt;url&gt;https://www.icj-cij.org/case/187&lt;/url&gt;&lt;/related-urls&gt;&lt;/urls&gt;&lt;/record&gt;&lt;/Cite&gt;&lt;/EndNote&gt;</w:instrText>
      </w:r>
      <w:r w:rsidR="00CD439F" w:rsidRPr="00CF43EE">
        <w:rPr>
          <w:rStyle w:val="FotnotetekstTegn"/>
          <w:lang w:val="en-GB"/>
        </w:rPr>
        <w:fldChar w:fldCharType="separate"/>
      </w:r>
      <w:r w:rsidR="00CD439F" w:rsidRPr="00CF43EE">
        <w:rPr>
          <w:rStyle w:val="FotnotetekstTegn"/>
          <w:lang w:val="en-GB"/>
        </w:rPr>
        <w:t>Ibid</w:t>
      </w:r>
      <w:r w:rsidR="00CD439F" w:rsidRPr="00CF43EE">
        <w:rPr>
          <w:rStyle w:val="FotnotetekstTegn"/>
          <w:lang w:val="en-GB"/>
        </w:rPr>
        <w:fldChar w:fldCharType="end"/>
      </w:r>
      <w:r w:rsidR="00CD439F" w:rsidRPr="00CF43EE">
        <w:rPr>
          <w:rStyle w:val="FotnotetekstTegn"/>
          <w:lang w:val="en-GB"/>
        </w:rPr>
        <w:t xml:space="preserve">, </w:t>
      </w:r>
      <w:proofErr w:type="spellStart"/>
      <w:r w:rsidR="00CD439F" w:rsidRPr="00CF43EE">
        <w:rPr>
          <w:rStyle w:val="FotnotetekstTegn"/>
          <w:lang w:val="en-GB"/>
        </w:rPr>
        <w:t>avsnitt</w:t>
      </w:r>
      <w:proofErr w:type="spellEnd"/>
      <w:r w:rsidR="00CD439F" w:rsidRPr="00CF43EE">
        <w:rPr>
          <w:rStyle w:val="FotnotetekstTegn"/>
          <w:lang w:val="en-GB"/>
        </w:rPr>
        <w:t xml:space="preserve"> 270. </w:t>
      </w:r>
      <w:r w:rsidR="00CD439F">
        <w:rPr>
          <w:rStyle w:val="FotnotetekstTegn"/>
          <w:lang w:val="en-GB"/>
        </w:rPr>
        <w:t>«</w:t>
      </w:r>
      <w:r w:rsidR="00CD439F" w:rsidRPr="00CF43EE">
        <w:rPr>
          <w:rStyle w:val="FotnotetekstTegn"/>
          <w:lang w:val="en-GB"/>
        </w:rPr>
        <w:t>Each party has a due diligence obligation to do its utmost to ensure that the NDCs it puts forward represent its highest possible ambition in order to realize the objectives of the Agreement (Article 4, paragraph 2). Consequently, parties have an obligation to undertake best efforts to achieve the content of their NDCs.</w:t>
      </w:r>
      <w:r w:rsidR="00CD439F">
        <w:rPr>
          <w:rStyle w:val="FotnotetekstTegn"/>
          <w:lang w:val="en-GB"/>
        </w:rPr>
        <w:t>»</w:t>
      </w:r>
    </w:p>
  </w:footnote>
  <w:footnote w:id="190">
    <w:p w14:paraId="6ADE578D" w14:textId="7051DB46" w:rsidR="00CD439F" w:rsidRPr="0067414D"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67414D">
        <w:rPr>
          <w:lang w:val="en-US"/>
        </w:rPr>
        <w:t xml:space="preserve">IUCN SSC guidelines on human-wildlife conflict and coexistence (2023) </w:t>
      </w:r>
      <w:proofErr w:type="spellStart"/>
      <w:r w:rsidR="00CD439F" w:rsidRPr="0067414D">
        <w:rPr>
          <w:lang w:val="en-US"/>
        </w:rPr>
        <w:t>tilgjengelig</w:t>
      </w:r>
      <w:proofErr w:type="spellEnd"/>
      <w:r w:rsidR="00CD439F">
        <w:rPr>
          <w:lang w:val="en-US"/>
        </w:rPr>
        <w:t xml:space="preserve"> her</w:t>
      </w:r>
      <w:r w:rsidR="00CD439F" w:rsidRPr="0067414D">
        <w:rPr>
          <w:lang w:val="en-US"/>
        </w:rPr>
        <w:t>: https://portals.iucn.org/library/node/50756</w:t>
      </w:r>
    </w:p>
  </w:footnote>
  <w:footnote w:id="191">
    <w:p w14:paraId="5F326650" w14:textId="0DB1C47A" w:rsidR="00CD439F" w:rsidRPr="00693A45"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fldChar w:fldCharType="begin"/>
      </w:r>
      <w:r w:rsidR="00CD439F" w:rsidRPr="00693A45">
        <w:rPr>
          <w:lang w:val="en-US"/>
        </w:rPr>
        <w:instrText xml:space="preserve"> ADDIN EN.CITE &lt;EndNote&gt;&lt;Cite&gt;&lt;Author&gt;Andersen&lt;/Author&gt;&lt;Year&gt;2003&lt;/Year&gt;&lt;RecNum&gt;10263&lt;/RecNum&gt;&lt;DisplayText&gt;Reidar Andersen, John D. C. Linnell and Håkon Hustad (eds), &lt;style face="italic"&gt;Rovvilt og samfunn i Norge : En veileder til sameksistens i det 21. århundre&lt;/style&gt; (NINA 2003)&lt;/DisplayText&gt;&lt;record&gt;&lt;rec-number&gt;10263&lt;/rec-number&gt;&lt;foreign-keys&gt;&lt;key app="EN" db-id="5sffrv50pw0vx2esf075e50jafxwafzxe9r0" timestamp="1770973770" guid="acfa5fff-8727-4688-918a-d45d83aba3be"&gt;10263&lt;/key&gt;&lt;/foreign-keys&gt;&lt;ref-type name="Edited Book"&gt;28&lt;/ref-type&gt;&lt;contributors&gt;&lt;authors&gt;&lt;author&gt;Andersen, Reidar&lt;/author&gt;&lt;author&gt;Linnell, John D. C.&lt;/author&gt;&lt;author&gt;Hustad, Håkon&lt;/author&gt;&lt;/authors&gt;&lt;/contributors&gt;&lt;titles&gt;&lt;title&gt;Rovvilt og samfunn i Norge : En veileder til sameksistens i det 21. århundre&lt;/title&gt;&lt;/titles&gt;&lt;keywords&gt;&lt;keyword&gt;Rovvilt urfolk&lt;/keyword&gt;&lt;/keywords&gt;&lt;dates&gt;&lt;year&gt;2003&lt;/year&gt;&lt;/dates&gt;&lt;publisher&gt;NINA&lt;/publisher&gt;&lt;urls&gt;&lt;related-urls&gt;&lt;url&gt;https://nva.sikt.no/registration/0198cc850fad-3f3f61fb-7c90-4d3b-b2c9-df00ecf86031&lt;/url&gt;&lt;/related-urls&gt;&lt;/urls&gt;&lt;/record&gt;&lt;/Cite&gt;&lt;/EndNote&gt;</w:instrText>
      </w:r>
      <w:r w:rsidR="00CD439F">
        <w:fldChar w:fldCharType="separate"/>
      </w:r>
      <w:r w:rsidR="00CD439F" w:rsidRPr="00693A45">
        <w:rPr>
          <w:lang w:val="en-US"/>
        </w:rPr>
        <w:t xml:space="preserve">Reidar Andersen, John D. C. Linnell and Håkon Hustad (eds), </w:t>
      </w:r>
      <w:r w:rsidR="00CD439F" w:rsidRPr="00CD439F">
        <w:rPr>
          <w:rStyle w:val="kursiv"/>
          <w:lang w:val="en-US"/>
        </w:rPr>
        <w:t>Rovvilt og samfunn i Norge : En veileder til sameksistens i det 21. århundre</w:t>
      </w:r>
      <w:r w:rsidR="00CD439F" w:rsidRPr="00693A45">
        <w:rPr>
          <w:lang w:val="en-US"/>
        </w:rPr>
        <w:t xml:space="preserve"> (NINA 2003)</w:t>
      </w:r>
      <w:r w:rsidR="00CD439F">
        <w:fldChar w:fldCharType="end"/>
      </w:r>
      <w:r w:rsidR="00CD439F" w:rsidRPr="00693A45">
        <w:rPr>
          <w:lang w:val="en-US"/>
        </w:rPr>
        <w:t>.</w:t>
      </w:r>
    </w:p>
  </w:footnote>
  <w:footnote w:id="192">
    <w:p w14:paraId="2D8EB45D" w14:textId="39518054" w:rsidR="00CD439F" w:rsidRPr="0067414D" w:rsidRDefault="00404399" w:rsidP="00CD439F">
      <w:pPr>
        <w:pStyle w:val="Fotnotetekst"/>
        <w:rPr>
          <w:lang w:val="en-US"/>
        </w:rPr>
      </w:pPr>
      <w:r w:rsidRPr="00CD439F">
        <w:rPr>
          <w:rStyle w:val="Fotnotereferanse"/>
        </w:rPr>
        <w:footnoteRef/>
      </w:r>
      <w:r w:rsidRPr="00404399">
        <w:rPr>
          <w:rStyle w:val="Fotnotereferanse"/>
          <w:lang w:val="en-US"/>
        </w:rPr>
        <w:t xml:space="preserve"> </w:t>
      </w:r>
      <w:proofErr w:type="spellStart"/>
      <w:r w:rsidR="00CD439F" w:rsidRPr="0067414D">
        <w:rPr>
          <w:lang w:val="en-US"/>
        </w:rPr>
        <w:t>Rocia</w:t>
      </w:r>
      <w:proofErr w:type="spellEnd"/>
      <w:r w:rsidR="00CD439F" w:rsidRPr="0067414D">
        <w:rPr>
          <w:lang w:val="en-US"/>
        </w:rPr>
        <w:t xml:space="preserve"> </w:t>
      </w:r>
      <w:proofErr w:type="spellStart"/>
      <w:r w:rsidR="00CD439F" w:rsidRPr="0067414D">
        <w:rPr>
          <w:lang w:val="en-US"/>
        </w:rPr>
        <w:t>Almuna</w:t>
      </w:r>
      <w:proofErr w:type="spellEnd"/>
      <w:r w:rsidR="00CD439F" w:rsidRPr="0067414D">
        <w:rPr>
          <w:lang w:val="en-US"/>
        </w:rPr>
        <w:t xml:space="preserve"> et al., Global perspectives, local solutions: Improving human–predator coexistence through collaboration, meaningful experiences and cross</w:t>
      </w:r>
      <w:r w:rsidR="00CD439F">
        <w:rPr>
          <w:rFonts w:ascii="Cambria Math" w:hAnsi="Cambria Math" w:cs="Cambria Math"/>
          <w:lang w:val="en-US"/>
        </w:rPr>
        <w:t>-</w:t>
      </w:r>
      <w:r w:rsidR="00CD439F" w:rsidRPr="0067414D">
        <w:rPr>
          <w:lang w:val="en-US"/>
        </w:rPr>
        <w:t xml:space="preserve">cultural knowledge, July 2025, </w:t>
      </w:r>
      <w:hyperlink r:id="rId9" w:history="1">
        <w:r w:rsidR="00CD439F" w:rsidRPr="0067414D">
          <w:rPr>
            <w:rStyle w:val="Hyperkobling"/>
            <w:rFonts w:cs="Times New Roman"/>
            <w:color w:val="131314"/>
            <w:lang w:val="en-US"/>
          </w:rPr>
          <w:t>People and Nature</w:t>
        </w:r>
      </w:hyperlink>
      <w:r w:rsidR="00CD439F" w:rsidRPr="0067414D">
        <w:rPr>
          <w:lang w:val="en-US"/>
        </w:rPr>
        <w:t xml:space="preserve"> 7(9):2068-2084.</w:t>
      </w:r>
    </w:p>
  </w:footnote>
  <w:footnote w:id="193">
    <w:p w14:paraId="3CEA4192" w14:textId="3C6542E7"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proofErr w:type="spellStart"/>
      <w:r w:rsidR="00CD439F">
        <w:rPr>
          <w:lang w:val="en-US"/>
        </w:rPr>
        <w:t>Menneskerettighetsrådets</w:t>
      </w:r>
      <w:proofErr w:type="spellEnd"/>
      <w:r w:rsidR="00CD439F">
        <w:rPr>
          <w:lang w:val="en-US"/>
        </w:rPr>
        <w:t xml:space="preserve"> </w:t>
      </w:r>
      <w:proofErr w:type="spellStart"/>
      <w:r w:rsidR="00CD439F">
        <w:rPr>
          <w:lang w:val="en-US"/>
        </w:rPr>
        <w:t>resolusjon</w:t>
      </w:r>
      <w:proofErr w:type="spellEnd"/>
      <w:r w:rsidR="00CD439F">
        <w:rPr>
          <w:lang w:val="en-US"/>
        </w:rPr>
        <w:t xml:space="preserve"> 48/13,</w:t>
      </w:r>
      <w:r w:rsidR="00CD439F" w:rsidRPr="00CD439F">
        <w:rPr>
          <w:rStyle w:val="kursiv"/>
          <w:lang w:val="en-US"/>
        </w:rPr>
        <w:t xml:space="preserve"> The human right to a clean, healthy and sustainable environment</w:t>
      </w:r>
      <w:r w:rsidR="00CD439F">
        <w:rPr>
          <w:lang w:val="en-US"/>
        </w:rPr>
        <w:t xml:space="preserve">, 8. </w:t>
      </w:r>
      <w:proofErr w:type="spellStart"/>
      <w:r w:rsidR="00CD439F">
        <w:rPr>
          <w:lang w:val="en-US"/>
        </w:rPr>
        <w:t>oktober</w:t>
      </w:r>
      <w:proofErr w:type="spellEnd"/>
      <w:r w:rsidR="00CD439F">
        <w:rPr>
          <w:lang w:val="en-US"/>
        </w:rPr>
        <w:t xml:space="preserve"> 2021).</w:t>
      </w:r>
    </w:p>
  </w:footnote>
  <w:footnote w:id="194">
    <w:p w14:paraId="43424611" w14:textId="6985A58D"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Pr>
          <w:lang w:val="en-US"/>
        </w:rPr>
        <w:t>UNGA Resolution 76/300 of 28 July 2022</w:t>
      </w:r>
    </w:p>
  </w:footnote>
  <w:footnote w:id="195">
    <w:p w14:paraId="1B0B3892" w14:textId="76946532" w:rsidR="00CD439F"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Pr>
          <w:lang w:val="en-US"/>
        </w:rPr>
        <w:fldChar w:fldCharType="begin"/>
      </w:r>
      <w:r w:rsidR="00CD439F">
        <w:rPr>
          <w:lang w:val="en-US"/>
        </w:rPr>
        <w:instrText xml:space="preserve"> ADDIN EN.CITE &lt;EndNote&gt;&lt;Cite&gt;&lt;Author&gt;ICJ&lt;/Author&gt;&lt;Year&gt;2025&lt;/Year&gt;&lt;RecNum&gt;10129&lt;/RecNum&gt;&lt;DisplayText&gt;ICJ, &lt;style face="italic"&gt;Obligations of States in Respect of Climate Change (Advisory Opinion)&lt;/style&gt;&lt;/DisplayText&gt;&lt;record&gt;&lt;rec-number&gt;10129&lt;/rec-number&gt;&lt;foreign-keys&gt;&lt;key app="EN" db-id="5sffrv50pw0vx2esf075e50jafxwafzxe9r0" timestamp="1755918851" guid="585812a6-c51d-4aa0-a503-6fd559edbf53"&gt;10129&lt;/key&gt;&lt;/foreign-keys&gt;&lt;ref-type name="Generic"&gt;13&lt;/ref-type&gt;&lt;contributors&gt;&lt;authors&gt;&lt;author&gt;ICJ&lt;/author&gt;&lt;/authors&gt;&lt;/contributors&gt;&lt;titles&gt;&lt;title&gt;Obligations of States in Respect of Climate Change (Advisory Opinion)&lt;/title&gt;&lt;/titles&gt;&lt;keywords&gt;&lt;keyword&gt;Miljø klima&lt;/keyword&gt;&lt;/keywords&gt;&lt;dates&gt;&lt;year&gt;2025&lt;/year&gt;&lt;/dates&gt;&lt;urls&gt;&lt;related-urls&gt;&lt;url&gt;https://www.icj-cij.org/case/187&lt;/url&gt;&lt;/related-urls&gt;&lt;/urls&gt;&lt;/record&gt;&lt;/Cite&gt;&lt;/EndNote&gt;</w:instrText>
      </w:r>
      <w:r w:rsidR="00CD439F">
        <w:rPr>
          <w:lang w:val="en-US"/>
        </w:rPr>
        <w:fldChar w:fldCharType="separate"/>
      </w:r>
      <w:r w:rsidR="00CD439F">
        <w:rPr>
          <w:noProof/>
          <w:lang w:val="en-US"/>
        </w:rPr>
        <w:t xml:space="preserve">ICJ, </w:t>
      </w:r>
      <w:r w:rsidR="00CD439F" w:rsidRPr="00CD439F">
        <w:rPr>
          <w:rStyle w:val="kursiv"/>
          <w:lang w:val="en-US"/>
        </w:rPr>
        <w:t>Obligations of States in Respect of Climate Change (Advisory Opinion)</w:t>
      </w:r>
      <w:r w:rsidR="00CD439F">
        <w:rPr>
          <w:lang w:val="en-US"/>
        </w:rPr>
        <w:fldChar w:fldCharType="end"/>
      </w:r>
      <w:r w:rsidR="00CD439F">
        <w:rPr>
          <w:lang w:val="en-US"/>
        </w:rPr>
        <w:t xml:space="preserve">, </w:t>
      </w:r>
      <w:proofErr w:type="spellStart"/>
      <w:r w:rsidR="00CD439F">
        <w:rPr>
          <w:lang w:val="en-US"/>
        </w:rPr>
        <w:t>avsnitt</w:t>
      </w:r>
      <w:proofErr w:type="spellEnd"/>
      <w:r w:rsidR="00CD439F">
        <w:rPr>
          <w:lang w:val="en-US"/>
        </w:rPr>
        <w:t xml:space="preserve"> 393.</w:t>
      </w:r>
    </w:p>
  </w:footnote>
  <w:footnote w:id="196">
    <w:p w14:paraId="1187D548" w14:textId="64AC0088" w:rsidR="00CD439F" w:rsidRPr="00396CE0" w:rsidRDefault="00404399" w:rsidP="00CD439F">
      <w:pPr>
        <w:pStyle w:val="Fotnotetekst"/>
        <w:rPr>
          <w:lang w:val="en-US"/>
        </w:rPr>
      </w:pPr>
      <w:r w:rsidRPr="00CD439F">
        <w:rPr>
          <w:rStyle w:val="Fotnotereferanse"/>
        </w:rPr>
        <w:footnoteRef/>
      </w:r>
      <w:r w:rsidRPr="00404399">
        <w:rPr>
          <w:rStyle w:val="Fotnotereferanse"/>
          <w:lang w:val="en-US"/>
        </w:rPr>
        <w:t xml:space="preserve"> </w:t>
      </w:r>
      <w:r w:rsidR="00CD439F" w:rsidRPr="00396CE0">
        <w:rPr>
          <w:lang w:val="en-US"/>
        </w:rPr>
        <w:t>Fragmentation of International Law: Difficulties Arising from the Diversification and Expansion</w:t>
      </w:r>
      <w:r w:rsidR="00CD439F">
        <w:rPr>
          <w:lang w:val="en-US"/>
        </w:rPr>
        <w:t xml:space="preserve"> </w:t>
      </w:r>
      <w:r w:rsidR="00CD439F" w:rsidRPr="00396CE0">
        <w:rPr>
          <w:lang w:val="en-US"/>
        </w:rPr>
        <w:t xml:space="preserve">of </w:t>
      </w:r>
      <w:r w:rsidR="00CD439F">
        <w:rPr>
          <w:lang w:val="en-US"/>
        </w:rPr>
        <w:t>I</w:t>
      </w:r>
      <w:r w:rsidR="00CD439F" w:rsidRPr="00396CE0">
        <w:rPr>
          <w:lang w:val="en-US"/>
        </w:rPr>
        <w:t>nternational Law. Report of the Study Group of the International Law Commission</w:t>
      </w:r>
      <w:r w:rsidR="00CD439F">
        <w:rPr>
          <w:lang w:val="en-US"/>
        </w:rPr>
        <w:t xml:space="preserve"> </w:t>
      </w:r>
      <w:r w:rsidR="00CD439F" w:rsidRPr="00396CE0">
        <w:rPr>
          <w:lang w:val="en-US"/>
        </w:rPr>
        <w:t xml:space="preserve">(2006) </w:t>
      </w:r>
      <w:proofErr w:type="spellStart"/>
      <w:r w:rsidR="00CD439F" w:rsidRPr="00396CE0">
        <w:rPr>
          <w:lang w:val="en-US"/>
        </w:rPr>
        <w:t>avsnitt</w:t>
      </w:r>
      <w:proofErr w:type="spellEnd"/>
      <w:r w:rsidR="00CD439F" w:rsidRPr="00396CE0">
        <w:rPr>
          <w:lang w:val="en-US"/>
        </w:rPr>
        <w:t xml:space="preserve"> 479–480.</w:t>
      </w:r>
    </w:p>
  </w:footnote>
  <w:footnote w:id="197">
    <w:p w14:paraId="64BD65D4" w14:textId="193D4836" w:rsidR="00CD439F" w:rsidRPr="00396CE0" w:rsidRDefault="00404399" w:rsidP="00CD439F">
      <w:pPr>
        <w:pStyle w:val="Fotnotetekst"/>
        <w:rPr>
          <w:lang w:val="en-US"/>
        </w:rPr>
      </w:pPr>
      <w:r w:rsidRPr="00CD439F">
        <w:rPr>
          <w:rStyle w:val="Fotnotereferanse"/>
        </w:rPr>
        <w:footnoteRef/>
      </w:r>
      <w:r w:rsidRPr="009264D9">
        <w:rPr>
          <w:rStyle w:val="Fotnotereferanse"/>
          <w:lang w:val="en-US"/>
        </w:rPr>
        <w:t xml:space="preserve"> </w:t>
      </w:r>
      <w:r w:rsidR="00CD439F" w:rsidRPr="00396CE0">
        <w:rPr>
          <w:lang w:val="en-US"/>
        </w:rPr>
        <w:t>ICJ (2025). Obligations of States in Respect of Climate Change (Advisory Opinion)</w:t>
      </w:r>
      <w:r w:rsidR="00CD439F">
        <w:rPr>
          <w:lang w:val="en-US"/>
        </w:rPr>
        <w:t xml:space="preserve">, </w:t>
      </w:r>
      <w:proofErr w:type="spellStart"/>
      <w:r w:rsidR="00CD439F">
        <w:rPr>
          <w:lang w:val="en-US"/>
        </w:rPr>
        <w:t>avsnitt</w:t>
      </w:r>
      <w:proofErr w:type="spellEnd"/>
      <w:r w:rsidR="00CD439F">
        <w:rPr>
          <w:lang w:val="en-US"/>
        </w:rPr>
        <w:t xml:space="preserve"> 165.</w:t>
      </w:r>
    </w:p>
  </w:footnote>
  <w:footnote w:id="198">
    <w:p w14:paraId="15ACC525" w14:textId="13806551" w:rsidR="00CD439F" w:rsidRPr="004D44BF" w:rsidRDefault="00404399" w:rsidP="00CD439F">
      <w:pPr>
        <w:pStyle w:val="Fotnotetekst"/>
        <w:rPr>
          <w:lang w:val="en-US"/>
        </w:rPr>
      </w:pPr>
      <w:r w:rsidRPr="00CD439F">
        <w:rPr>
          <w:rStyle w:val="Fotnotereferanse"/>
        </w:rPr>
        <w:footnoteRef/>
      </w:r>
      <w:r w:rsidRPr="009264D9">
        <w:rPr>
          <w:rStyle w:val="Fotnotereferanse"/>
          <w:lang w:val="en-US"/>
        </w:rPr>
        <w:t xml:space="preserve"> </w:t>
      </w:r>
      <w:r w:rsidR="00CD439F" w:rsidRPr="00396CE0">
        <w:rPr>
          <w:lang w:val="en-US"/>
        </w:rPr>
        <w:t>ICJ (2025). Obligations of States in Respect of Climate Change (Advisory Opinion)</w:t>
      </w:r>
      <w:r w:rsidR="00CD439F">
        <w:rPr>
          <w:lang w:val="en-US"/>
        </w:rPr>
        <w:t xml:space="preserve">, </w:t>
      </w:r>
      <w:proofErr w:type="spellStart"/>
      <w:r w:rsidR="00CD439F">
        <w:rPr>
          <w:lang w:val="en-US"/>
        </w:rPr>
        <w:t>avsnitt</w:t>
      </w:r>
      <w:proofErr w:type="spellEnd"/>
      <w:r w:rsidR="00CD439F">
        <w:rPr>
          <w:lang w:val="en-US"/>
        </w:rPr>
        <w:t xml:space="preserve"> 404.</w:t>
      </w:r>
    </w:p>
  </w:footnote>
  <w:footnote w:id="199">
    <w:p w14:paraId="1245B6CD" w14:textId="3BFEA176"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fldChar w:fldCharType="begin"/>
      </w:r>
      <w:r w:rsidR="00CD439F" w:rsidRPr="00693A45">
        <w:rPr>
          <w:lang w:val="nn-NO"/>
        </w:rPr>
        <w:instrText xml:space="preserve"> ADDIN EN.CITE &lt;EndNote&gt;&lt;Cite&gt;&lt;Author&gt;St.meld.&lt;/Author&gt;&lt;Year&gt;2003&lt;/Year&gt;&lt;RecNum&gt;10065&lt;/RecNum&gt;&lt;DisplayText&gt;St.meld., &lt;style face="italic"&gt;St.meld. nr. 15 (2003-2004) Rovvilt i norsk natur&lt;/style&gt; (2003)&lt;/DisplayText&gt;&lt;record&gt;&lt;rec-number&gt;10065&lt;/rec-number&gt;&lt;foreign-keys&gt;&lt;key app="EN" db-id="5sffrv50pw0vx2esf075e50jafxwafzxe9r0" timestamp="1755918561" guid="757782b4-7e5f-489e-be60-62665a209e8a"&gt;10065&lt;/key&gt;&lt;/foreign-keys&gt;&lt;ref-type name="Generic"&gt;13&lt;/ref-type&gt;&lt;contributors&gt;&lt;authors&gt;&lt;author&gt;St.meld.&lt;/author&gt;&lt;/authors&gt;&lt;/contributors&gt;&lt;titles&gt;&lt;title&gt;St.meld. nr. 15 (2003-2004) Rovvilt i norsk natur&lt;/title&gt;&lt;/titles&gt;&lt;keywords&gt;&lt;keyword&gt;Miljø rovvilt urfolksrett samerett&lt;/keyword&gt;&lt;/keywords&gt;&lt;dates&gt;&lt;year&gt;2003&lt;/year&gt;&lt;/dates&gt;&lt;urls&gt;&lt;/urls&gt;&lt;research-notes&gt;https://www.regjeringen.no/no/dokumenter/stmeld-nr-15-2003-2004-/id403693/&amp;#xD;https://www.stortinget.no/no/Saker-og-publikasjoner/Saker/Sak/?p=27939&lt;/research-notes&gt;&lt;/record&gt;&lt;/Cite&gt;&lt;/EndNote&gt;</w:instrText>
      </w:r>
      <w:r w:rsidR="00CD439F">
        <w:fldChar w:fldCharType="separate"/>
      </w:r>
      <w:r w:rsidR="00CD439F" w:rsidRPr="00693A45">
        <w:rPr>
          <w:lang w:val="nn-NO"/>
        </w:rPr>
        <w:t xml:space="preserve">St.meld., </w:t>
      </w:r>
      <w:r w:rsidR="00CD439F" w:rsidRPr="00CD439F">
        <w:rPr>
          <w:rStyle w:val="kursiv"/>
          <w:lang w:val="nn-NO"/>
        </w:rPr>
        <w:t>St.meld. nr. 15 (2003–2004) Rovvilt i norsk natur</w:t>
      </w:r>
      <w:r w:rsidR="00CD439F" w:rsidRPr="00693A45">
        <w:rPr>
          <w:lang w:val="nn-NO"/>
        </w:rPr>
        <w:t xml:space="preserve"> (2003)</w:t>
      </w:r>
      <w:r w:rsidR="00CD439F">
        <w:fldChar w:fldCharType="end"/>
      </w:r>
      <w:r w:rsidR="00CD439F" w:rsidRPr="00693A45">
        <w:rPr>
          <w:lang w:val="nn-NO"/>
        </w:rPr>
        <w:t>, s. 83.</w:t>
      </w:r>
    </w:p>
  </w:footnote>
  <w:footnote w:id="200">
    <w:p w14:paraId="2D069E99" w14:textId="3C024C18"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&lt;EndNote&gt;&lt;Cite&gt;&lt;Author&gt;St.meld.&lt;/Author&gt;&lt;Year&gt;2003&lt;/Year&gt;&lt;RecNum&gt;10065&lt;/RecNum&gt;&lt;DisplayText&gt;Ibid&lt;/DisplayText&gt;&lt;record&gt;&lt;rec-number&gt;10065&lt;/rec-number&gt;&lt;foreign-keys&gt;&lt;key app="EN" db-id="5sffrv50pw0vx2esf075e50jafxwafzxe9r0" timestamp="1755918561" guid="757782b4-7e5f-489e-be60-62665a209e8a"&gt;10065&lt;/key&gt;&lt;/foreign-keys&gt;&lt;ref-type name="Generic"&gt;13&lt;/ref-type&gt;&lt;contributors&gt;&lt;authors&gt;&lt;author&gt;St.meld.&lt;/author&gt;&lt;/authors&gt;&lt;/contributors&gt;&lt;titles&gt;&lt;title&gt;St.meld. nr. 15 (2003-2004) Rovvilt i norsk natur&lt;/title&gt;&lt;/titles&gt;&lt;keywords&gt;&lt;keyword&gt;Miljø rovvilt urfolksrett samerett&lt;/keyword&gt;&lt;/keywords&gt;&lt;dates&gt;&lt;year&gt;2003&lt;/year&gt;&lt;/dates&gt;&lt;urls&gt;&lt;/urls&gt;&lt;research-notes&gt;https://www.regjeringen.no/no/dokumenter/stmeld-nr-15-2003-2004-/id403693/&amp;#xD;https://www.stortinget.no/no/Saker-og-publikasjoner/Saker/Sak/?p=27939&lt;/research-notes&gt;&lt;/record&gt;&lt;/Cite&gt;&lt;/EndNote&gt;</w:instrText>
      </w:r>
      <w:r w:rsidR="00CD439F">
        <w:fldChar w:fldCharType="separate"/>
      </w:r>
      <w:r w:rsidR="00CD439F">
        <w:rPr>
          <w:noProof/>
        </w:rPr>
        <w:t>Ibid</w:t>
      </w:r>
      <w:r w:rsidR="00CD439F">
        <w:fldChar w:fldCharType="end"/>
      </w:r>
      <w:r w:rsidR="00CD439F">
        <w:t>., s. 86 (uthevet her).</w:t>
      </w:r>
    </w:p>
  </w:footnote>
  <w:footnote w:id="201">
    <w:p w14:paraId="1D30FBEC" w14:textId="16B1849D" w:rsidR="00CD439F" w:rsidRPr="00E1437A"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rsidRPr="00E1437A">
        <w:instrText xml:space="preserve"> ADDIN EN.CITE &lt;EndNote&gt;&lt;Cite&gt;&lt;Author&gt;St.meld.&lt;/Author&gt;&lt;Year&gt;2003&lt;/Year&gt;&lt;RecNum&gt;10065&lt;/RecNum&gt;&lt;DisplayText&gt;Ibid&lt;/DisplayText&gt;&lt;record&gt;&lt;rec-number&gt;10065&lt;/rec-number&gt;&lt;foreign-keys&gt;&lt;key app="EN" db-id="5sffrv50pw0vx2esf075e50jafxwafzxe9r0" timestamp="1755918561" guid="757782b4-7e5f-489e-be60-62665a209e8a"&gt;10065&lt;/key&gt;&lt;/foreign-keys&gt;&lt;ref-type name="Generic"&gt;13&lt;/ref-type&gt;&lt;contributors&gt;&lt;authors&gt;&lt;author&gt;St.meld.&lt;/author&gt;&lt;/authors&gt;&lt;/contributors&gt;&lt;titles&gt;&lt;title&gt;St.meld. nr. 15 (2003-2004) Rovvilt i norsk natur&lt;/title&gt;&lt;/titles&gt;&lt;keywords&gt;&lt;keyword&gt;Miljø rovvilt urfolksrett samerett&lt;/keyword&gt;&lt;/keywords&gt;&lt;dates&gt;&lt;year&gt;2003&lt;/year&gt;&lt;/dates&gt;&lt;urls&gt;&lt;/urls&gt;&lt;research-notes&gt;https://www.regjeringen.no/no/dokumenter/stmeld-nr-15-2003-2004-/id403693/&amp;#xD;https://www.stortinget.no/no/Saker-og-publikasjoner/Saker/Sak/?p=27939&lt;/research-notes&gt;&lt;/record&gt;&lt;/Cite&gt;&lt;/EndNote&gt;</w:instrText>
      </w:r>
      <w:r w:rsidR="00CD439F">
        <w:fldChar w:fldCharType="separate"/>
      </w:r>
      <w:r w:rsidR="00CD439F" w:rsidRPr="00E1437A">
        <w:rPr>
          <w:noProof/>
        </w:rPr>
        <w:t>Ibid</w:t>
      </w:r>
      <w:r w:rsidR="00CD439F">
        <w:fldChar w:fldCharType="end"/>
      </w:r>
      <w:r w:rsidR="00CD439F" w:rsidRPr="00E1437A">
        <w:t>., s. 86.</w:t>
      </w:r>
    </w:p>
  </w:footnote>
  <w:footnote w:id="202">
    <w:p w14:paraId="77F0510C" w14:textId="503EC10F"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fldChar w:fldCharType="begin"/>
      </w:r>
      <w:r w:rsidR="00CD439F" w:rsidRPr="00693A45">
        <w:rPr>
          <w:lang w:val="nn-NO"/>
        </w:rPr>
        <w:instrText xml:space="preserve"> ADDIN EN.CITE &lt;EndNote&gt;&lt;Cite&gt;&lt;Author&gt;St.meld.&lt;/Author&gt;&lt;Year&gt;2003&lt;/Year&gt;&lt;RecNum&gt;10065&lt;/RecNum&gt;&lt;DisplayText&gt;Ibid&lt;/DisplayText&gt;&lt;record&gt;&lt;rec-number&gt;10065&lt;/rec-number&gt;&lt;foreign-keys&gt;&lt;key app="EN" db-id="5sffrv50pw0vx2esf075e50jafxwafzxe9r0" timestamp="1755918561" guid="757782b4-7e5f-489e-be60-62665a209e8a"&gt;10065&lt;/key&gt;&lt;/foreign-keys&gt;&lt;ref-type name="Generic"&gt;13&lt;/ref-type&gt;&lt;contributors&gt;&lt;authors&gt;&lt;author&gt;St.meld.&lt;/author&gt;&lt;/authors&gt;&lt;/contributors&gt;&lt;titles&gt;&lt;title&gt;St.meld. nr. 15 (2003-2004) Rovvilt i norsk natur&lt;/title&gt;&lt;/titles&gt;&lt;keywords&gt;&lt;keyword&gt;Miljø rovvilt urfolksrett samerett&lt;/keyword&gt;&lt;/keywords&gt;&lt;dates&gt;&lt;year&gt;2003&lt;/year&gt;&lt;/dates&gt;&lt;urls&gt;&lt;/urls&gt;&lt;research-notes&gt;https://www.regjeringen.no/no/dokumenter/stmeld-nr-15-2003-2004-/id403693/&amp;#xD;https://www.stortinget.no/no/Saker-og-publikasjoner/Saker/Sak/?p=27939&lt;/research-notes&gt;&lt;/record&gt;&lt;/Cite&gt;&lt;/EndNote&gt;</w:instrText>
      </w:r>
      <w:r w:rsidR="00CD439F">
        <w:fldChar w:fldCharType="separate"/>
      </w:r>
      <w:r w:rsidR="00CD439F" w:rsidRPr="00693A45">
        <w:rPr>
          <w:lang w:val="nn-NO"/>
        </w:rPr>
        <w:t>Ibid</w:t>
      </w:r>
      <w:r w:rsidR="00CD439F">
        <w:fldChar w:fldCharType="end"/>
      </w:r>
      <w:r w:rsidR="00CD439F" w:rsidRPr="00693A45">
        <w:rPr>
          <w:lang w:val="nn-NO"/>
        </w:rPr>
        <w:t>., s. 87.</w:t>
      </w:r>
    </w:p>
  </w:footnote>
  <w:footnote w:id="203">
    <w:p w14:paraId="12029666" w14:textId="76F3AAEA"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fldChar w:fldCharType="begin"/>
      </w:r>
      <w:r w:rsidR="00CD439F" w:rsidRPr="00693A45">
        <w:rPr>
          <w:lang w:val="nn-NO"/>
        </w:rPr>
        <w:instrText xml:space="preserve"> ADDIN EN.CITE &lt;EndNote&gt;&lt;Cite&gt;&lt;Author&gt;St.meld.&lt;/Author&gt;&lt;Year&gt;2003&lt;/Year&gt;&lt;RecNum&gt;10065&lt;/RecNum&gt;&lt;DisplayText&gt;Ibid&lt;/DisplayText&gt;&lt;record&gt;&lt;rec-number&gt;10065&lt;/rec-number&gt;&lt;foreign-keys&gt;&lt;key app="EN" db-id="5sffrv50pw0vx2esf075e50jafxwafzxe9r0" timestamp="1755918561" guid="757782b4-7e5f-489e-be60-62665a209e8a"&gt;10065&lt;/key&gt;&lt;/foreign-keys&gt;&lt;ref-type name="Generic"&gt;13&lt;/ref-type&gt;&lt;contributors&gt;&lt;authors&gt;&lt;author&gt;St.meld.&lt;/author&gt;&lt;/authors&gt;&lt;/contributors&gt;&lt;titles&gt;&lt;title&gt;St.meld. nr. 15 (2003-2004) Rovvilt i norsk natur&lt;/title&gt;&lt;/titles&gt;&lt;keywords&gt;&lt;keyword&gt;Miljø rovvilt urfolksrett samerett&lt;/keyword&gt;&lt;/keywords&gt;&lt;dates&gt;&lt;year&gt;2003&lt;/year&gt;&lt;/dates&gt;&lt;urls&gt;&lt;/urls&gt;&lt;research-notes&gt;https://www.regjeringen.no/no/dokumenter/stmeld-nr-15-2003-2004-/id403693/&amp;#xD;https://www.stortinget.no/no/Saker-og-publikasjoner/Saker/Sak/?p=27939&lt;/research-notes&gt;&lt;/record&gt;&lt;/Cite&gt;&lt;/EndNote&gt;</w:instrText>
      </w:r>
      <w:r w:rsidR="00CD439F">
        <w:fldChar w:fldCharType="separate"/>
      </w:r>
      <w:r w:rsidR="00CD439F" w:rsidRPr="00693A45">
        <w:rPr>
          <w:lang w:val="nn-NO"/>
        </w:rPr>
        <w:t>Ibid</w:t>
      </w:r>
      <w:r w:rsidR="00CD439F">
        <w:fldChar w:fldCharType="end"/>
      </w:r>
      <w:r w:rsidR="00CD439F" w:rsidRPr="00693A45">
        <w:rPr>
          <w:lang w:val="nn-NO"/>
        </w:rPr>
        <w:t>., s. 88.</w:t>
      </w:r>
    </w:p>
  </w:footnote>
  <w:footnote w:id="204">
    <w:p w14:paraId="4E47E1FA" w14:textId="109CAB09"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fldChar w:fldCharType="begin"/>
      </w:r>
      <w:r w:rsidR="00CD439F" w:rsidRPr="00693A45">
        <w:rPr>
          <w:lang w:val="nn-NO"/>
        </w:rPr>
        <w:instrText xml:space="preserve"> ADDIN EN.CITE &lt;EndNote&gt;&lt;Cite&gt;&lt;Author&gt;Innst. S.&lt;/Author&gt;&lt;Year&gt;2004&lt;/Year&gt;&lt;RecNum&gt;10064&lt;/RecNum&gt;&lt;DisplayText&gt;Innst. S., &lt;style face="italic"&gt;Innst. S. nr. 174 (rovviltforliket 2004)&lt;/style&gt; (2004)&lt;/DisplayText&gt;&lt;record&gt;&lt;rec-number&gt;10064&lt;/rec-number&gt;&lt;foreign-keys&gt;&lt;key app="EN" db-id="5sffrv50pw0vx2esf075e50jafxwafzxe9r0" timestamp="1755918555" guid="a7163fa5-bd2c-41bf-a836-19c179c32f85"&gt;10064&lt;/key&gt;&lt;/foreign-keys&gt;&lt;ref-type name="Generic"&gt;13&lt;/ref-type&gt;&lt;contributors&gt;&lt;authors&gt;&lt;author&gt;Innst. S.,&lt;/author&gt;&lt;/authors&gt;&lt;/contributors&gt;&lt;titles&gt;&lt;title&gt;Innst. S. nr. 174 (rovviltforliket 2004)&lt;/title&gt;&lt;/titles&gt;&lt;keywords&gt;&lt;keyword&gt;Miljø rovvilt urfolksrett samerett&lt;/keyword&gt;&lt;/keywords&gt;&lt;dates&gt;&lt;year&gt;2004&lt;/year&gt;&lt;/dates&gt;&lt;urls&gt;&lt;/urls&gt;&lt;research-notes&gt;https://www.stortinget.no/no/Saker-og-publikasjoner/Saker/Sak/?p=27939&lt;/research-notes&gt;&lt;/record&gt;&lt;/Cite&gt;&lt;/EndNote&gt;</w:instrText>
      </w:r>
      <w:r w:rsidR="00CD439F">
        <w:fldChar w:fldCharType="separate"/>
      </w:r>
      <w:r w:rsidR="00CD439F" w:rsidRPr="00693A45">
        <w:rPr>
          <w:lang w:val="nn-NO"/>
        </w:rPr>
        <w:t xml:space="preserve">Innst. S., </w:t>
      </w:r>
      <w:r w:rsidR="00CD439F" w:rsidRPr="007E66B0">
        <w:rPr>
          <w:rStyle w:val="kursiv"/>
          <w:lang w:val="nn-NO"/>
        </w:rPr>
        <w:t>Innst. S. nr. 174 (rovviltforliket 2004)</w:t>
      </w:r>
      <w:r w:rsidR="00CD439F" w:rsidRPr="00693A45">
        <w:rPr>
          <w:lang w:val="nn-NO"/>
        </w:rPr>
        <w:t xml:space="preserve"> (2004)</w:t>
      </w:r>
      <w:r w:rsidR="00CD439F">
        <w:fldChar w:fldCharType="end"/>
      </w:r>
      <w:r w:rsidR="00CD439F" w:rsidRPr="00693A45">
        <w:rPr>
          <w:lang w:val="nn-NO"/>
        </w:rPr>
        <w:t>, s. 7.</w:t>
      </w:r>
    </w:p>
  </w:footnote>
  <w:footnote w:id="205">
    <w:p w14:paraId="27C3CE2E" w14:textId="342394DB" w:rsidR="00CD439F" w:rsidRPr="00693A45"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fldChar w:fldCharType="begin"/>
      </w:r>
      <w:r w:rsidR="00CD439F" w:rsidRPr="00693A45">
        <w:rPr>
          <w:lang w:val="nn-NO"/>
        </w:rPr>
        <w:instrText xml:space="preserve"> ADDIN EN.CITE &lt;EndNote&gt;&lt;Cite&gt;&lt;Author&gt;Dokument 8&lt;/Author&gt;&lt;Year&gt;2011&lt;/Year&gt;&lt;RecNum&gt;10066&lt;/RecNum&gt;&lt;DisplayText&gt;Dokument 8, &lt;style face="italic"&gt;Dokument 8:163 S (2010-2011) Representantforslag om endringer i forvaltningen av rovvilt (Rovviltforliket 2011)&lt;/style&gt; (2011)&lt;/DisplayText&gt;&lt;record&gt;&lt;rec-number&gt;10066&lt;/rec-number&gt;&lt;foreign-keys&gt;&lt;key app="EN" db-id="5sffrv50pw0vx2esf075e50jafxwafzxe9r0" timestamp="1755918569" guid="9deb9899-642e-41a9-96f2-ec6a093f22cf"&gt;10066&lt;/key&gt;&lt;/foreign-keys&gt;&lt;ref-type name="Generic"&gt;13&lt;/ref-type&gt;&lt;contributors&gt;&lt;authors&gt;&lt;author&gt;Dokument 8,&lt;/author&gt;&lt;/authors&gt;&lt;/contributors&gt;&lt;titles&gt;&lt;title&gt;Dokument 8:163 S (2010-2011) Representantforslag om endringer i forvaltningen av rovvilt (Rovviltforliket 2011)&lt;/title&gt;&lt;/titles&gt;&lt;keywords&gt;&lt;keyword&gt;Miljø rovvilt urfolksrett samerett&lt;/keyword&gt;&lt;/keywords&gt;&lt;dates&gt;&lt;year&gt;2011&lt;/year&gt;&lt;/dates&gt;&lt;urls&gt;&lt;related-urls&gt;&lt;url&gt;https://www.stortinget.no/no/Saker-og-publikasjoner/Saker/Sak/?p=50863&lt;/url&gt;&lt;/related-urls&gt;&lt;/urls&gt;&lt;/record&gt;&lt;/Cite&gt;&lt;/EndNote&gt;</w:instrText>
      </w:r>
      <w:r w:rsidR="00CD439F">
        <w:fldChar w:fldCharType="separate"/>
      </w:r>
      <w:r w:rsidR="00CD439F" w:rsidRPr="00693A45">
        <w:rPr>
          <w:lang w:val="nn-NO"/>
        </w:rPr>
        <w:t xml:space="preserve">Dokument 8, </w:t>
      </w:r>
      <w:r w:rsidR="00CD439F" w:rsidRPr="00CD439F">
        <w:rPr>
          <w:rStyle w:val="kursiv"/>
          <w:lang w:val="nn-NO"/>
        </w:rPr>
        <w:t>Dokument 8:163 S (2010–2011) Representantforslag om endringer i forvaltningen av rovvilt (Rovviltforliket 2011)</w:t>
      </w:r>
      <w:r w:rsidR="00CD439F" w:rsidRPr="00693A45">
        <w:rPr>
          <w:lang w:val="nn-NO"/>
        </w:rPr>
        <w:t xml:space="preserve"> (2011)</w:t>
      </w:r>
      <w:r w:rsidR="00CD439F">
        <w:fldChar w:fldCharType="end"/>
      </w:r>
      <w:r w:rsidR="00CD439F" w:rsidRPr="00693A45">
        <w:rPr>
          <w:lang w:val="nn-NO"/>
        </w:rPr>
        <w:t>, s. 1.</w:t>
      </w:r>
    </w:p>
  </w:footnote>
  <w:footnote w:id="206">
    <w:p w14:paraId="6AE96A79" w14:textId="3B7CB3FF" w:rsidR="00CD439F" w:rsidRPr="00693A45"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fldChar w:fldCharType="begin"/>
      </w:r>
      <w:r w:rsidR="00CD439F" w:rsidRPr="00693A45">
        <w:rPr>
          <w:lang w:val="nn-NO"/>
        </w:rPr>
        <w:instrText xml:space="preserve"> ADDIN EN.CITE &lt;EndNote&gt;&lt;Cite&gt;&lt;Author&gt;Meld. St.&lt;/Author&gt;&lt;Year&gt;2016&lt;/Year&gt;&lt;RecNum&gt;10067&lt;/RecNum&gt;&lt;DisplayText&gt;Meld. St., &lt;style face="italic"&gt;Meld. St. 21 (2015–2016) Ulv i norsk natur. Bestandsmål for ulv og ulvesone&lt;/style&gt; (2016)&lt;/DisplayText&gt;&lt;record&gt;&lt;rec-number&gt;10067&lt;/rec-number&gt;&lt;foreign-keys&gt;&lt;key app="EN" db-id="5sffrv50pw0vx2esf075e50jafxwafzxe9r0" timestamp="1755918576" guid="523bc897-f613-4be9-9607-9aeec096c01a"&gt;10067&lt;/key&gt;&lt;/foreign-keys&gt;&lt;ref-type name="Generic"&gt;13&lt;/ref-type&gt;&lt;contributors&gt;&lt;authors&gt;&lt;author&gt;Meld. St.,&lt;/author&gt;&lt;/authors&gt;&lt;/contributors&gt;&lt;titles&gt;&lt;title&gt;Meld. St. 21 (2015–2016) Ulv i norsk natur. Bestandsmål for ulv og ulvesone&lt;/title&gt;&lt;/titles&gt;&lt;keywords&gt;&lt;keyword&gt;Miljø ulv&lt;/keyword&gt;&lt;/keywords&gt;&lt;dates&gt;&lt;year&gt;2016&lt;/year&gt;&lt;/dates&gt;&lt;urls&gt;&lt;related-urls&gt;&lt;url&gt;https://www.regjeringen.no/no/dokumenter/meld.-st.-21-20152016/id2480008/&lt;/url&gt;&lt;url&gt;https://www.stortinget.no/no/Saker-og-publikasjoner/Saker/Sak/?p=65090&lt;/url&gt;&lt;/related-urls&gt;&lt;/urls&gt;&lt;/record&gt;&lt;/Cite&gt;&lt;/EndNote&gt;</w:instrText>
      </w:r>
      <w:r w:rsidR="00CD439F">
        <w:fldChar w:fldCharType="separate"/>
      </w:r>
      <w:r w:rsidR="00CD439F" w:rsidRPr="00693A45">
        <w:rPr>
          <w:lang w:val="nn-NO"/>
        </w:rPr>
        <w:t xml:space="preserve">Meld. St., </w:t>
      </w:r>
      <w:r w:rsidR="00CD439F" w:rsidRPr="00CD439F">
        <w:rPr>
          <w:rStyle w:val="kursiv"/>
          <w:lang w:val="nn-NO"/>
        </w:rPr>
        <w:t xml:space="preserve">Meld. St. 21 (2015–2016) Ulv i norsk natur. </w:t>
      </w:r>
      <w:r w:rsidR="00CD439F" w:rsidRPr="007E66B0">
        <w:rPr>
          <w:rStyle w:val="kursiv"/>
          <w:lang w:val="nn-NO"/>
        </w:rPr>
        <w:t>Bestandsmål for ulv og ulvesone</w:t>
      </w:r>
      <w:r w:rsidR="00CD439F" w:rsidRPr="00693A45">
        <w:rPr>
          <w:lang w:val="nn-NO"/>
        </w:rPr>
        <w:t xml:space="preserve"> (2016)</w:t>
      </w:r>
      <w:r w:rsidR="00CD439F">
        <w:fldChar w:fldCharType="end"/>
      </w:r>
      <w:r w:rsidR="00CD439F" w:rsidRPr="00693A45">
        <w:rPr>
          <w:lang w:val="nn-NO"/>
        </w:rPr>
        <w:t>, s. 12.</w:t>
      </w:r>
    </w:p>
  </w:footnote>
  <w:footnote w:id="207">
    <w:p w14:paraId="64EAF0B5" w14:textId="6EDB934A"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fldChar w:fldCharType="begin"/>
      </w:r>
      <w:r w:rsidR="00CD439F" w:rsidRPr="00693A45">
        <w:rPr>
          <w:lang w:val="nn-NO"/>
        </w:rPr>
        <w:instrText xml:space="preserve"> ADDIN EN.CITE &lt;EndNote&gt;&lt;Cite&gt;&lt;Author&gt;Meld. St.&lt;/Author&gt;&lt;Year&gt;2016&lt;/Year&gt;&lt;RecNum&gt;10067&lt;/RecNum&gt;&lt;DisplayText&gt;Ibid&lt;/DisplayText&gt;&lt;record&gt;&lt;rec-number&gt;10067&lt;/rec-number&gt;&lt;foreign-keys&gt;&lt;key app="EN" db-id="5sffrv50pw0vx2esf075e50jafxwafzxe9r0" timestamp="1755918576" guid="523bc897-f613-4be9-9607-9aeec096c01a"&gt;10067&lt;/key&gt;&lt;/foreign-keys&gt;&lt;ref-type name="Generic"&gt;13&lt;/ref-type&gt;&lt;contributors&gt;&lt;authors&gt;&lt;author&gt;Meld. St.,&lt;/author&gt;&lt;/authors&gt;&lt;/contributors&gt;&lt;titles&gt;&lt;title&gt;Meld. St. 21 (2015–2016) Ulv i norsk natur. Bestandsmål for ulv og ulvesone&lt;/title&gt;&lt;/titles&gt;&lt;keywords&gt;&lt;keyword&gt;Miljø ulv&lt;/keyword&gt;&lt;/keywords&gt;&lt;dates&gt;&lt;year&gt;2016&lt;/year&gt;&lt;/dates&gt;&lt;urls&gt;&lt;related-urls&gt;&lt;url&gt;https://www.regjeringen.no/no/dokumenter/meld.-st.-21-20152016/id2480008/&lt;/url&gt;&lt;url&gt;https://www.stortinget.no/no/Saker-og-publikasjoner/Saker/Sak/?p=65090&lt;/url&gt;&lt;/related-urls&gt;&lt;/urls&gt;&lt;/record&gt;&lt;/Cite&gt;&lt;/EndNote&gt;</w:instrText>
      </w:r>
      <w:r w:rsidR="00CD439F">
        <w:fldChar w:fldCharType="separate"/>
      </w:r>
      <w:r w:rsidR="00CD439F" w:rsidRPr="00693A45">
        <w:rPr>
          <w:lang w:val="nn-NO"/>
        </w:rPr>
        <w:t>Ibid</w:t>
      </w:r>
      <w:r w:rsidR="00CD439F">
        <w:fldChar w:fldCharType="end"/>
      </w:r>
      <w:r w:rsidR="00CD439F" w:rsidRPr="00693A45">
        <w:rPr>
          <w:lang w:val="nn-NO"/>
        </w:rPr>
        <w:t>., s. 19.</w:t>
      </w:r>
    </w:p>
  </w:footnote>
  <w:footnote w:id="208">
    <w:p w14:paraId="19EA7F42" w14:textId="4F864F27"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fldChar w:fldCharType="begin"/>
      </w:r>
      <w:r w:rsidR="00CD439F" w:rsidRPr="00693A45">
        <w:rPr>
          <w:lang w:val="nn-NO"/>
        </w:rPr>
        <w:instrText xml:space="preserve"> ADDIN EN.CITE &lt;EndNote&gt;&lt;Cite&gt;&lt;Author&gt;Meld. St.&lt;/Author&gt;&lt;Year&gt;2016&lt;/Year&gt;&lt;RecNum&gt;10067&lt;/RecNum&gt;&lt;DisplayText&gt;Ibid&lt;/DisplayText&gt;&lt;record&gt;&lt;rec-number&gt;10067&lt;/rec-number&gt;&lt;foreign-keys&gt;&lt;key app="EN" db-id="5sffrv50pw0vx2esf075e50jafxwafzxe9r0" timestamp="1755918576" guid="523bc897-f613-4be9-9607-9aeec096c01a"&gt;10067&lt;/key&gt;&lt;/foreign-keys&gt;&lt;ref-type name="Generic"&gt;13&lt;/ref-type&gt;&lt;contributors&gt;&lt;authors&gt;&lt;author&gt;Meld. St.,&lt;/author&gt;&lt;/authors&gt;&lt;/contributors&gt;&lt;titles&gt;&lt;title&gt;Meld. St. 21 (2015–2016) Ulv i norsk natur. Bestandsmål for ulv og ulvesone&lt;/title&gt;&lt;/titles&gt;&lt;keywords&gt;&lt;keyword&gt;Miljø ulv&lt;/keyword&gt;&lt;/keywords&gt;&lt;dates&gt;&lt;year&gt;2016&lt;/year&gt;&lt;/dates&gt;&lt;urls&gt;&lt;related-urls&gt;&lt;url&gt;https://www.regjeringen.no/no/dokumenter/meld.-st.-21-20152016/id2480008/&lt;/url&gt;&lt;url&gt;https://www.stortinget.no/no/Saker-og-publikasjoner/Saker/Sak/?p=65090&lt;/url&gt;&lt;/related-urls&gt;&lt;/urls&gt;&lt;/record&gt;&lt;/Cite&gt;&lt;/EndNote&gt;</w:instrText>
      </w:r>
      <w:r w:rsidR="00CD439F">
        <w:fldChar w:fldCharType="separate"/>
      </w:r>
      <w:r w:rsidR="00CD439F" w:rsidRPr="00693A45">
        <w:rPr>
          <w:lang w:val="nn-NO"/>
        </w:rPr>
        <w:t>Ibid</w:t>
      </w:r>
      <w:r w:rsidR="00CD439F">
        <w:fldChar w:fldCharType="end"/>
      </w:r>
      <w:r w:rsidR="00CD439F" w:rsidRPr="00693A45">
        <w:rPr>
          <w:lang w:val="nn-NO"/>
        </w:rPr>
        <w:t>., s. 20.</w:t>
      </w:r>
    </w:p>
  </w:footnote>
  <w:footnote w:id="209">
    <w:p w14:paraId="74257C2C" w14:textId="61E473DD"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fldChar w:fldCharType="begin"/>
      </w:r>
      <w:r w:rsidR="00CD439F" w:rsidRPr="00693A45">
        <w:rPr>
          <w:lang w:val="nn-NO"/>
        </w:rPr>
        <w:instrText xml:space="preserve"> ADDIN EN.CITE &lt;EndNote&gt;&lt;Cite&gt;&lt;Author&gt;Innst. S&lt;/Author&gt;&lt;Year&gt;2016&lt;/Year&gt;&lt;RecNum&gt;10068&lt;/RecNum&gt;&lt;DisplayText&gt;Innst. S, &lt;style face="italic"&gt;Innst. 330 S – 2015–2016 (Ulveforliket 2016)&lt;/style&gt; (2016)&lt;/DisplayText&gt;&lt;record&gt;&lt;rec-number&gt;10068&lt;/rec-number&gt;&lt;foreign-keys&gt;&lt;key app="EN" db-id="5sffrv50pw0vx2esf075e50jafxwafzxe9r0" timestamp="1755918583" guid="60a79695-dd56-4efc-9240-393e921a341f"&gt;10068&lt;/key&gt;&lt;/foreign-keys&gt;&lt;ref-type name="Generic"&gt;13&lt;/ref-type&gt;&lt;contributors&gt;&lt;authors&gt;&lt;author&gt;Innst. S,&lt;/author&gt;&lt;/authors&gt;&lt;/contributors&gt;&lt;titles&gt;&lt;title&gt;Innst. 330 S – 2015–2016 (Ulveforliket 2016)&lt;/title&gt;&lt;/titles&gt;&lt;keywords&gt;&lt;keyword&gt;Miljø ulv&lt;/keyword&gt;&lt;/keywords&gt;&lt;dates&gt;&lt;year&gt;2016&lt;/year&gt;&lt;/dates&gt;&lt;urls&gt;&lt;related-urls&gt;&lt;url&gt;https://www.regjeringen.no/no/dokumenter/meld.-st.-21-20152016/id2480008/&lt;/url&gt;&lt;url&gt;https://www.stortinget.no/no/Saker-og-publikasjoner/Saker/Sak/?p=65090&lt;/url&gt;&lt;/related-urls&gt;&lt;/urls&gt;&lt;/record&gt;&lt;/Cite&gt;&lt;/EndNote&gt;</w:instrText>
      </w:r>
      <w:r w:rsidR="00CD439F">
        <w:fldChar w:fldCharType="separate"/>
      </w:r>
      <w:r w:rsidR="00CD439F" w:rsidRPr="00693A45">
        <w:rPr>
          <w:lang w:val="nn-NO"/>
        </w:rPr>
        <w:t xml:space="preserve">Innst. S, </w:t>
      </w:r>
      <w:r w:rsidR="00CD439F" w:rsidRPr="00CD439F">
        <w:rPr>
          <w:rStyle w:val="kursiv"/>
          <w:lang w:val="nn-NO"/>
        </w:rPr>
        <w:t>Innst. 330 S – 2015–2016 (Ulveforliket 2016)</w:t>
      </w:r>
      <w:r w:rsidR="00CD439F" w:rsidRPr="00693A45">
        <w:rPr>
          <w:lang w:val="nn-NO"/>
        </w:rPr>
        <w:t xml:space="preserve"> (2016)</w:t>
      </w:r>
      <w:r w:rsidR="00CD439F">
        <w:fldChar w:fldCharType="end"/>
      </w:r>
      <w:r w:rsidR="00CD439F" w:rsidRPr="00693A45">
        <w:rPr>
          <w:lang w:val="nn-NO"/>
        </w:rPr>
        <w:t>, s. 8.</w:t>
      </w:r>
    </w:p>
  </w:footnote>
  <w:footnote w:id="210">
    <w:p w14:paraId="113C41B7" w14:textId="1EAC4109"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fldChar w:fldCharType="begin"/>
      </w:r>
      <w:r w:rsidR="00CD439F" w:rsidRPr="00693A45">
        <w:rPr>
          <w:lang w:val="nn-NO"/>
        </w:rPr>
        <w:instrText xml:space="preserve"> ADDIN EN.CITE &lt;EndNote&gt;&lt;Cite&gt;&lt;Author&gt;St.meld.&lt;/Author&gt;&lt;Year&gt;2003&lt;/Year&gt;&lt;RecNum&gt;10065&lt;/RecNum&gt;&lt;DisplayText&gt;St.meld., &lt;style face="italic"&gt;St.meld. nr. 15 (2003-2004) Rovvilt i norsk natur&lt;/style&gt;&lt;/DisplayText&gt;&lt;record&gt;&lt;rec-number&gt;10065&lt;/rec-number&gt;&lt;foreign-keys&gt;&lt;key app="EN" db-id="5sffrv50pw0vx2esf075e50jafxwafzxe9r0" timestamp="1755918561" guid="757782b4-7e5f-489e-be60-62665a209e8a"&gt;10065&lt;/key&gt;&lt;/foreign-keys&gt;&lt;ref-type name="Generic"&gt;13&lt;/ref-type&gt;&lt;contributors&gt;&lt;authors&gt;&lt;author&gt;St.meld.&lt;/author&gt;&lt;/authors&gt;&lt;/contributors&gt;&lt;titles&gt;&lt;title&gt;St.meld. nr. 15 (2003-2004) Rovvilt i norsk natur&lt;/title&gt;&lt;/titles&gt;&lt;keywords&gt;&lt;keyword&gt;Miljø rovvilt urfolksrett samerett&lt;/keyword&gt;&lt;/keywords&gt;&lt;dates&gt;&lt;year&gt;2003&lt;/year&gt;&lt;/dates&gt;&lt;urls&gt;&lt;/urls&gt;&lt;research-notes&gt;https://www.regjeringen.no/no/dokumenter/stmeld-nr-15-2003-2004-/id403693/&amp;#xD;https://www.stortinget.no/no/Saker-og-publikasjoner/Saker/Sak/?p=27939&lt;/research-notes&gt;&lt;/record&gt;&lt;/Cite&gt;&lt;/EndNote&gt;</w:instrText>
      </w:r>
      <w:r w:rsidR="00CD439F">
        <w:fldChar w:fldCharType="separate"/>
      </w:r>
      <w:r w:rsidR="00CD439F" w:rsidRPr="00693A45">
        <w:rPr>
          <w:lang w:val="nn-NO"/>
        </w:rPr>
        <w:t xml:space="preserve">St.meld., </w:t>
      </w:r>
      <w:r w:rsidR="00CD439F" w:rsidRPr="00CD439F">
        <w:rPr>
          <w:rStyle w:val="kursiv"/>
          <w:lang w:val="nn-NO"/>
        </w:rPr>
        <w:t>St.meld. nr. 15 (2003–2004) Rovvilt i norsk natur</w:t>
      </w:r>
      <w:r w:rsidR="00CD439F">
        <w:fldChar w:fldCharType="end"/>
      </w:r>
      <w:r w:rsidR="00CD439F" w:rsidRPr="00693A45">
        <w:rPr>
          <w:lang w:val="nn-NO"/>
        </w:rPr>
        <w:t>, s. 114.</w:t>
      </w:r>
    </w:p>
  </w:footnote>
  <w:footnote w:id="211">
    <w:p w14:paraId="4767A0FD" w14:textId="34F3E6FE"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fldChar w:fldCharType="begin"/>
      </w:r>
      <w:r w:rsidR="00CD439F" w:rsidRPr="00693A45">
        <w:rPr>
          <w:lang w:val="nn-NO"/>
        </w:rPr>
        <w:instrText xml:space="preserve"> ADDIN EN.CITE &lt;EndNote&gt;&lt;Cite&gt;&lt;Author&gt;St.meld.&lt;/Author&gt;&lt;Year&gt;1997&lt;/Year&gt;&lt;RecNum&gt;10063&lt;/RecNum&gt;&lt;DisplayText&gt;St.meld., &lt;style face="italic"&gt;St.meld. nr. 35 (1996-1997) Om rovviltforvaltning&lt;/style&gt; (1997)&lt;/DisplayText&gt;&lt;record&gt;&lt;rec-number&gt;10063&lt;/rec-number&gt;&lt;foreign-keys&gt;&lt;key app="EN" db-id="5sffrv50pw0vx2esf075e50jafxwafzxe9r0" timestamp="1755918530" guid="1f3dace4-671b-4e95-9d71-7f2631aa1410"&gt;10063&lt;/key&gt;&lt;/foreign-keys&gt;&lt;ref-type name="Generic"&gt;13&lt;/ref-type&gt;&lt;contributors&gt;&lt;authors&gt;&lt;author&gt;St.meld.&lt;/author&gt;&lt;/authors&gt;&lt;/contributors&gt;&lt;titles&gt;&lt;title&gt;St.meld. nr. 35 (1996-1997) Om rovviltforvaltning&lt;/title&gt;&lt;/titles&gt;&lt;keywords&gt;&lt;keyword&gt;Miljø rovvilt urfolksrett samerett&lt;/keyword&gt;&lt;/keywords&gt;&lt;dates&gt;&lt;year&gt;1997&lt;/year&gt;&lt;/dates&gt;&lt;urls&gt;&lt;related-urls&gt;&lt;url&gt;https://www.stortinget.no/no/Saker-og-publikasjoner/Stortingsforhandlinger/Saksside/?pid=1993-1997&amp;amp;mtid=61&amp;amp;vt=a&amp;amp;did=DIVL40349&lt;/url&gt;&lt;url&gt;https://www.stortinget.no/no/Saker-og-publikasjoner/Publikasjoner/Innstillinger/Stortinget/1996-1997/inns-199697-301/&lt;/url&gt;&lt;/related-urls&gt;&lt;/urls&gt;&lt;/record&gt;&lt;/Cite&gt;&lt;/EndNote&gt;</w:instrText>
      </w:r>
      <w:r w:rsidR="00CD439F">
        <w:fldChar w:fldCharType="separate"/>
      </w:r>
      <w:r w:rsidR="00CD439F" w:rsidRPr="00693A45">
        <w:rPr>
          <w:lang w:val="nn-NO"/>
        </w:rPr>
        <w:t xml:space="preserve">St.meld., </w:t>
      </w:r>
      <w:r w:rsidR="00CD439F" w:rsidRPr="00CD439F">
        <w:rPr>
          <w:rStyle w:val="kursiv"/>
          <w:lang w:val="nn-NO"/>
        </w:rPr>
        <w:t>St.meld. nr. 35 (1996–1997) Om rovviltforvaltning</w:t>
      </w:r>
      <w:r w:rsidR="00CD439F" w:rsidRPr="00693A45">
        <w:rPr>
          <w:lang w:val="nn-NO"/>
        </w:rPr>
        <w:t xml:space="preserve"> (1997)</w:t>
      </w:r>
      <w:r w:rsidR="00CD439F">
        <w:fldChar w:fldCharType="end"/>
      </w:r>
      <w:r w:rsidR="00CD439F" w:rsidRPr="00693A45">
        <w:rPr>
          <w:lang w:val="nn-NO"/>
        </w:rPr>
        <w:t>, side 16.</w:t>
      </w:r>
    </w:p>
  </w:footnote>
  <w:footnote w:id="212">
    <w:p w14:paraId="77F68561" w14:textId="34C2E77D"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693A45">
        <w:rPr>
          <w:lang w:val="nn-NO"/>
        </w:rPr>
        <w:t>HR-2021-662-A (Høyesterett, 2021), avsnitt 68.</w:t>
      </w:r>
    </w:p>
  </w:footnote>
  <w:footnote w:id="213">
    <w:p w14:paraId="51B8B0FC" w14:textId="481D0B7E"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693A45">
        <w:rPr>
          <w:lang w:val="nn-NO"/>
        </w:rPr>
        <w:t>https://www.naturvardsverket.se/4acc17/globalassets/amnen/jakt-och-vilt/dokument/framework-or-transboundary-cooperation-on-management-and-conservation-of-wolves-in-fennoscandi.pdf</w:t>
      </w:r>
    </w:p>
  </w:footnote>
  <w:footnote w:id="214">
    <w:p w14:paraId="110D8793" w14:textId="33054DCC"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693A45">
        <w:rPr>
          <w:lang w:val="nn-NO"/>
        </w:rPr>
        <w:t>https://www.naturvardsverket.se/4acc18/globalassets/amnen/jakt-och-vilt/dokument/framework-for-transboundary-cooperation-on-management-and-conservation-of-wolverines-in-fennoscandia.pdf</w:t>
      </w:r>
    </w:p>
  </w:footnote>
  <w:footnote w:id="215">
    <w:p w14:paraId="5BFAD701" w14:textId="207FC389" w:rsidR="00CD439F" w:rsidRPr="00AB49F9" w:rsidRDefault="00404399" w:rsidP="00CD439F">
      <w:pPr>
        <w:pStyle w:val="Fotnotetekst"/>
        <w:rPr>
          <w:rStyle w:val="FotnotetekstTegn"/>
          <w:lang w:val="en-GB"/>
        </w:rPr>
      </w:pPr>
      <w:r w:rsidRPr="00CD439F">
        <w:rPr>
          <w:rStyle w:val="Fotnotereferanse"/>
        </w:rPr>
        <w:footnoteRef/>
      </w:r>
      <w:r w:rsidRPr="00404399">
        <w:rPr>
          <w:rStyle w:val="Fotnotereferanse"/>
          <w:lang w:val="en-US"/>
        </w:rPr>
        <w:t xml:space="preserve"> </w:t>
      </w:r>
      <w:r w:rsidR="00CD439F" w:rsidRPr="00AB49F9">
        <w:rPr>
          <w:rStyle w:val="FotnotetekstTegn"/>
          <w:lang w:val="en-GB"/>
        </w:rPr>
        <w:t>Agreement between the Ministry of Environment, Sweden, the Ministry of Environment, Norway, and the Ministry of Agriculture- and Forestry, Finland in developing collaboration on large carnivores – brown bear, wolf, lynx and wolverine. 12 August 2011. (</w:t>
      </w:r>
      <w:proofErr w:type="spellStart"/>
      <w:r w:rsidR="00CD439F" w:rsidRPr="00AB49F9">
        <w:rPr>
          <w:rStyle w:val="FotnotetekstTegn"/>
          <w:lang w:val="en-GB"/>
        </w:rPr>
        <w:t>Överenskommelse</w:t>
      </w:r>
      <w:proofErr w:type="spellEnd"/>
      <w:r w:rsidR="00CD439F" w:rsidRPr="00AB49F9">
        <w:rPr>
          <w:rStyle w:val="FotnotetekstTegn"/>
          <w:lang w:val="en-GB"/>
        </w:rPr>
        <w:t xml:space="preserve"> </w:t>
      </w:r>
      <w:proofErr w:type="spellStart"/>
      <w:r w:rsidR="00CD439F" w:rsidRPr="00AB49F9">
        <w:rPr>
          <w:rStyle w:val="FotnotetekstTegn"/>
          <w:lang w:val="en-GB"/>
        </w:rPr>
        <w:t>mellan</w:t>
      </w:r>
      <w:proofErr w:type="spellEnd"/>
      <w:r w:rsidR="00CD439F" w:rsidRPr="00AB49F9">
        <w:rPr>
          <w:rStyle w:val="FotnotetekstTegn"/>
          <w:lang w:val="en-GB"/>
        </w:rPr>
        <w:t xml:space="preserve"> </w:t>
      </w:r>
      <w:proofErr w:type="spellStart"/>
      <w:r w:rsidR="00CD439F" w:rsidRPr="00AB49F9">
        <w:rPr>
          <w:rStyle w:val="FotnotetekstTegn"/>
          <w:lang w:val="en-GB"/>
        </w:rPr>
        <w:t>Miljödepartementet</w:t>
      </w:r>
      <w:proofErr w:type="spellEnd"/>
      <w:r w:rsidR="00CD439F" w:rsidRPr="00AB49F9">
        <w:rPr>
          <w:rStyle w:val="FotnotetekstTegn"/>
          <w:lang w:val="en-GB"/>
        </w:rPr>
        <w:t xml:space="preserve">, Sverige </w:t>
      </w:r>
      <w:proofErr w:type="spellStart"/>
      <w:r w:rsidR="00CD439F" w:rsidRPr="00AB49F9">
        <w:rPr>
          <w:rStyle w:val="FotnotetekstTegn"/>
          <w:lang w:val="en-GB"/>
        </w:rPr>
        <w:t>och</w:t>
      </w:r>
      <w:proofErr w:type="spellEnd"/>
      <w:r w:rsidR="00CD439F" w:rsidRPr="00AB49F9">
        <w:rPr>
          <w:rStyle w:val="FotnotetekstTegn"/>
          <w:lang w:val="en-GB"/>
        </w:rPr>
        <w:t xml:space="preserve"> </w:t>
      </w:r>
      <w:proofErr w:type="spellStart"/>
      <w:r w:rsidR="00CD439F" w:rsidRPr="00AB49F9">
        <w:rPr>
          <w:rStyle w:val="FotnotetekstTegn"/>
          <w:lang w:val="en-GB"/>
        </w:rPr>
        <w:t>Miljöverndepartementet</w:t>
      </w:r>
      <w:proofErr w:type="spellEnd"/>
      <w:r w:rsidR="00CD439F" w:rsidRPr="00AB49F9">
        <w:rPr>
          <w:rStyle w:val="FotnotetekstTegn"/>
          <w:lang w:val="en-GB"/>
        </w:rPr>
        <w:t xml:space="preserve">, Norge </w:t>
      </w:r>
      <w:proofErr w:type="spellStart"/>
      <w:r w:rsidR="00CD439F" w:rsidRPr="00AB49F9">
        <w:rPr>
          <w:rStyle w:val="FotnotetekstTegn"/>
          <w:lang w:val="en-GB"/>
        </w:rPr>
        <w:t>och</w:t>
      </w:r>
      <w:proofErr w:type="spellEnd"/>
      <w:r w:rsidR="00CD439F" w:rsidRPr="00AB49F9">
        <w:rPr>
          <w:rStyle w:val="FotnotetekstTegn"/>
          <w:lang w:val="en-GB"/>
        </w:rPr>
        <w:t xml:space="preserve"> Jord- </w:t>
      </w:r>
      <w:proofErr w:type="spellStart"/>
      <w:r w:rsidR="00CD439F" w:rsidRPr="00AB49F9">
        <w:rPr>
          <w:rStyle w:val="FotnotetekstTegn"/>
          <w:lang w:val="en-GB"/>
        </w:rPr>
        <w:t>och</w:t>
      </w:r>
      <w:proofErr w:type="spellEnd"/>
      <w:r w:rsidR="00CD439F" w:rsidRPr="00AB49F9">
        <w:rPr>
          <w:rStyle w:val="FotnotetekstTegn"/>
          <w:lang w:val="en-GB"/>
        </w:rPr>
        <w:t xml:space="preserve"> </w:t>
      </w:r>
      <w:proofErr w:type="spellStart"/>
      <w:r w:rsidR="00CD439F" w:rsidRPr="00AB49F9">
        <w:rPr>
          <w:rStyle w:val="FotnotetekstTegn"/>
          <w:lang w:val="en-GB"/>
        </w:rPr>
        <w:t>skogsbruksministeriet</w:t>
      </w:r>
      <w:proofErr w:type="spellEnd"/>
      <w:r w:rsidR="00CD439F" w:rsidRPr="00AB49F9">
        <w:rPr>
          <w:rStyle w:val="FotnotetekstTegn"/>
          <w:lang w:val="en-GB"/>
        </w:rPr>
        <w:t xml:space="preserve">, Finland om </w:t>
      </w:r>
      <w:proofErr w:type="spellStart"/>
      <w:r w:rsidR="00CD439F" w:rsidRPr="00AB49F9">
        <w:rPr>
          <w:rStyle w:val="FotnotetekstTegn"/>
          <w:lang w:val="en-GB"/>
        </w:rPr>
        <w:t>utvecklat</w:t>
      </w:r>
      <w:proofErr w:type="spellEnd"/>
      <w:r w:rsidR="00CD439F" w:rsidRPr="00AB49F9">
        <w:rPr>
          <w:rStyle w:val="FotnotetekstTegn"/>
          <w:lang w:val="en-GB"/>
        </w:rPr>
        <w:t xml:space="preserve"> </w:t>
      </w:r>
      <w:proofErr w:type="spellStart"/>
      <w:r w:rsidR="00CD439F" w:rsidRPr="00AB49F9">
        <w:rPr>
          <w:rStyle w:val="FotnotetekstTegn"/>
          <w:lang w:val="en-GB"/>
        </w:rPr>
        <w:t>samarbete</w:t>
      </w:r>
      <w:proofErr w:type="spellEnd"/>
      <w:r w:rsidR="00CD439F" w:rsidRPr="00AB49F9">
        <w:rPr>
          <w:rStyle w:val="FotnotetekstTegn"/>
          <w:lang w:val="en-GB"/>
        </w:rPr>
        <w:t xml:space="preserve"> om </w:t>
      </w:r>
      <w:proofErr w:type="spellStart"/>
      <w:r w:rsidR="00CD439F" w:rsidRPr="00AB49F9">
        <w:rPr>
          <w:rStyle w:val="FotnotetekstTegn"/>
          <w:lang w:val="en-GB"/>
        </w:rPr>
        <w:t>stora</w:t>
      </w:r>
      <w:proofErr w:type="spellEnd"/>
      <w:r w:rsidR="00CD439F" w:rsidRPr="00AB49F9">
        <w:rPr>
          <w:rStyle w:val="FotnotetekstTegn"/>
          <w:lang w:val="en-GB"/>
        </w:rPr>
        <w:t xml:space="preserve"> </w:t>
      </w:r>
      <w:proofErr w:type="spellStart"/>
      <w:r w:rsidR="00CD439F" w:rsidRPr="00AB49F9">
        <w:rPr>
          <w:rStyle w:val="FotnotetekstTegn"/>
          <w:lang w:val="en-GB"/>
        </w:rPr>
        <w:t>rovdjurbjörn</w:t>
      </w:r>
      <w:proofErr w:type="spellEnd"/>
      <w:r w:rsidR="00CD439F" w:rsidRPr="00AB49F9">
        <w:rPr>
          <w:rStyle w:val="FotnotetekstTegn"/>
          <w:lang w:val="en-GB"/>
        </w:rPr>
        <w:t xml:space="preserve">, </w:t>
      </w:r>
      <w:proofErr w:type="spellStart"/>
      <w:r w:rsidR="00CD439F" w:rsidRPr="00AB49F9">
        <w:rPr>
          <w:rStyle w:val="FotnotetekstTegn"/>
          <w:lang w:val="en-GB"/>
        </w:rPr>
        <w:t>varg</w:t>
      </w:r>
      <w:proofErr w:type="spellEnd"/>
      <w:r w:rsidR="00CD439F" w:rsidRPr="00AB49F9">
        <w:rPr>
          <w:rStyle w:val="FotnotetekstTegn"/>
          <w:lang w:val="en-GB"/>
        </w:rPr>
        <w:t xml:space="preserve">, </w:t>
      </w:r>
      <w:proofErr w:type="spellStart"/>
      <w:r w:rsidR="00CD439F" w:rsidRPr="00AB49F9">
        <w:rPr>
          <w:rStyle w:val="FotnotetekstTegn"/>
          <w:lang w:val="en-GB"/>
        </w:rPr>
        <w:t>lodjur</w:t>
      </w:r>
      <w:proofErr w:type="spellEnd"/>
      <w:r w:rsidR="00CD439F" w:rsidRPr="00AB49F9">
        <w:rPr>
          <w:rStyle w:val="FotnotetekstTegn"/>
          <w:lang w:val="en-GB"/>
        </w:rPr>
        <w:t xml:space="preserve"> </w:t>
      </w:r>
      <w:proofErr w:type="spellStart"/>
      <w:r w:rsidR="00CD439F" w:rsidRPr="00AB49F9">
        <w:rPr>
          <w:rStyle w:val="FotnotetekstTegn"/>
          <w:lang w:val="en-GB"/>
        </w:rPr>
        <w:t>och</w:t>
      </w:r>
      <w:proofErr w:type="spellEnd"/>
      <w:r w:rsidR="00CD439F" w:rsidRPr="00AB49F9">
        <w:rPr>
          <w:rStyle w:val="FotnotetekstTegn"/>
          <w:lang w:val="en-GB"/>
        </w:rPr>
        <w:t xml:space="preserve"> </w:t>
      </w:r>
      <w:proofErr w:type="spellStart"/>
      <w:r w:rsidR="00CD439F" w:rsidRPr="00AB49F9">
        <w:rPr>
          <w:rStyle w:val="FotnotetekstTegn"/>
          <w:lang w:val="en-GB"/>
        </w:rPr>
        <w:t>järv</w:t>
      </w:r>
      <w:proofErr w:type="spellEnd"/>
      <w:r w:rsidR="00CD439F" w:rsidRPr="00AB49F9">
        <w:rPr>
          <w:rStyle w:val="FotnotetekstTegn"/>
          <w:lang w:val="en-GB"/>
        </w:rPr>
        <w:t xml:space="preserve">. 12 </w:t>
      </w:r>
      <w:proofErr w:type="spellStart"/>
      <w:r w:rsidR="00CD439F" w:rsidRPr="00AB49F9">
        <w:rPr>
          <w:rStyle w:val="FotnotetekstTegn"/>
          <w:lang w:val="en-GB"/>
        </w:rPr>
        <w:t>augusti</w:t>
      </w:r>
      <w:proofErr w:type="spellEnd"/>
      <w:r w:rsidR="00CD439F" w:rsidRPr="00AB49F9">
        <w:rPr>
          <w:rStyle w:val="FotnotetekstTegn"/>
          <w:lang w:val="en-GB"/>
        </w:rPr>
        <w:t xml:space="preserve"> 2011). Agreement between the Ministry of Environment, Sweden, and the Ministry of Environment, Norway on management of genetically important wolves in the Scandinavian wolf population. 12 August 2011. (</w:t>
      </w:r>
      <w:proofErr w:type="spellStart"/>
      <w:r w:rsidR="00CD439F" w:rsidRPr="00AB49F9">
        <w:rPr>
          <w:rStyle w:val="FotnotetekstTegn"/>
          <w:lang w:val="en-GB"/>
        </w:rPr>
        <w:t>Överenskommelse</w:t>
      </w:r>
      <w:proofErr w:type="spellEnd"/>
      <w:r w:rsidR="00CD439F" w:rsidRPr="00AB49F9">
        <w:rPr>
          <w:rStyle w:val="FotnotetekstTegn"/>
          <w:lang w:val="en-GB"/>
        </w:rPr>
        <w:t xml:space="preserve"> </w:t>
      </w:r>
      <w:proofErr w:type="spellStart"/>
      <w:r w:rsidR="00CD439F" w:rsidRPr="00AB49F9">
        <w:rPr>
          <w:rStyle w:val="FotnotetekstTegn"/>
          <w:lang w:val="en-GB"/>
        </w:rPr>
        <w:t>mellan</w:t>
      </w:r>
      <w:proofErr w:type="spellEnd"/>
      <w:r w:rsidR="00CD439F" w:rsidRPr="00AB49F9">
        <w:rPr>
          <w:rStyle w:val="FotnotetekstTegn"/>
          <w:lang w:val="en-GB"/>
        </w:rPr>
        <w:t xml:space="preserve"> </w:t>
      </w:r>
      <w:proofErr w:type="spellStart"/>
      <w:r w:rsidR="00CD439F" w:rsidRPr="00AB49F9">
        <w:rPr>
          <w:rStyle w:val="FotnotetekstTegn"/>
          <w:lang w:val="en-GB"/>
        </w:rPr>
        <w:t>Miljödepartementet</w:t>
      </w:r>
      <w:proofErr w:type="spellEnd"/>
      <w:r w:rsidR="00CD439F" w:rsidRPr="00AB49F9">
        <w:rPr>
          <w:rStyle w:val="FotnotetekstTegn"/>
          <w:lang w:val="en-GB"/>
        </w:rPr>
        <w:t xml:space="preserve">, Sverige </w:t>
      </w:r>
      <w:proofErr w:type="spellStart"/>
      <w:r w:rsidR="00CD439F" w:rsidRPr="00AB49F9">
        <w:rPr>
          <w:rStyle w:val="FotnotetekstTegn"/>
          <w:lang w:val="en-GB"/>
        </w:rPr>
        <w:t>och</w:t>
      </w:r>
      <w:proofErr w:type="spellEnd"/>
      <w:r w:rsidR="00CD439F" w:rsidRPr="00AB49F9">
        <w:rPr>
          <w:rStyle w:val="FotnotetekstTegn"/>
          <w:lang w:val="en-GB"/>
        </w:rPr>
        <w:t xml:space="preserve"> </w:t>
      </w:r>
      <w:proofErr w:type="spellStart"/>
      <w:r w:rsidR="00CD439F" w:rsidRPr="00AB49F9">
        <w:rPr>
          <w:rStyle w:val="FotnotetekstTegn"/>
          <w:lang w:val="en-GB"/>
        </w:rPr>
        <w:t>Miljövärndepartementet</w:t>
      </w:r>
      <w:proofErr w:type="spellEnd"/>
      <w:r w:rsidR="00CD439F" w:rsidRPr="00AB49F9">
        <w:rPr>
          <w:rStyle w:val="FotnotetekstTegn"/>
          <w:lang w:val="en-GB"/>
        </w:rPr>
        <w:t xml:space="preserve">, Norge om </w:t>
      </w:r>
      <w:proofErr w:type="spellStart"/>
      <w:r w:rsidR="00CD439F" w:rsidRPr="00AB49F9">
        <w:rPr>
          <w:rStyle w:val="FotnotetekstTegn"/>
          <w:lang w:val="en-GB"/>
        </w:rPr>
        <w:t>förvaltning</w:t>
      </w:r>
      <w:proofErr w:type="spellEnd"/>
      <w:r w:rsidR="00CD439F" w:rsidRPr="00AB49F9">
        <w:rPr>
          <w:rStyle w:val="FotnotetekstTegn"/>
          <w:lang w:val="en-GB"/>
        </w:rPr>
        <w:t xml:space="preserve"> </w:t>
      </w:r>
      <w:proofErr w:type="spellStart"/>
      <w:r w:rsidR="00CD439F" w:rsidRPr="00AB49F9">
        <w:rPr>
          <w:rStyle w:val="FotnotetekstTegn"/>
          <w:lang w:val="en-GB"/>
        </w:rPr>
        <w:t>av</w:t>
      </w:r>
      <w:proofErr w:type="spellEnd"/>
      <w:r w:rsidR="00CD439F" w:rsidRPr="00AB49F9">
        <w:rPr>
          <w:rStyle w:val="FotnotetekstTegn"/>
          <w:lang w:val="en-GB"/>
        </w:rPr>
        <w:t xml:space="preserve"> </w:t>
      </w:r>
      <w:proofErr w:type="spellStart"/>
      <w:r w:rsidR="00CD439F" w:rsidRPr="00AB49F9">
        <w:rPr>
          <w:rStyle w:val="FotnotetekstTegn"/>
          <w:lang w:val="en-GB"/>
        </w:rPr>
        <w:t>genetiskt</w:t>
      </w:r>
      <w:proofErr w:type="spellEnd"/>
      <w:r w:rsidR="00CD439F" w:rsidRPr="00AB49F9">
        <w:rPr>
          <w:rStyle w:val="FotnotetekstTegn"/>
          <w:lang w:val="en-GB"/>
        </w:rPr>
        <w:t xml:space="preserve"> </w:t>
      </w:r>
      <w:proofErr w:type="spellStart"/>
      <w:r w:rsidR="00CD439F" w:rsidRPr="00AB49F9">
        <w:rPr>
          <w:rStyle w:val="FotnotetekstTegn"/>
          <w:lang w:val="en-GB"/>
        </w:rPr>
        <w:t>värdefulla</w:t>
      </w:r>
      <w:proofErr w:type="spellEnd"/>
      <w:r w:rsidR="00CD439F" w:rsidRPr="00AB49F9">
        <w:rPr>
          <w:rStyle w:val="FotnotetekstTegn"/>
          <w:lang w:val="en-GB"/>
        </w:rPr>
        <w:t xml:space="preserve"> </w:t>
      </w:r>
      <w:proofErr w:type="spellStart"/>
      <w:r w:rsidR="00CD439F" w:rsidRPr="00AB49F9">
        <w:rPr>
          <w:rStyle w:val="FotnotetekstTegn"/>
          <w:lang w:val="en-GB"/>
        </w:rPr>
        <w:t>vargar</w:t>
      </w:r>
      <w:proofErr w:type="spellEnd"/>
      <w:r w:rsidR="00CD439F" w:rsidRPr="00AB49F9">
        <w:rPr>
          <w:rStyle w:val="FotnotetekstTegn"/>
          <w:lang w:val="en-GB"/>
        </w:rPr>
        <w:t xml:space="preserve"> </w:t>
      </w:r>
      <w:proofErr w:type="spellStart"/>
      <w:r w:rsidR="00CD439F" w:rsidRPr="00AB49F9">
        <w:rPr>
          <w:rStyle w:val="FotnotetekstTegn"/>
          <w:lang w:val="en-GB"/>
        </w:rPr>
        <w:t>i</w:t>
      </w:r>
      <w:proofErr w:type="spellEnd"/>
      <w:r w:rsidR="00CD439F" w:rsidRPr="00AB49F9">
        <w:rPr>
          <w:rStyle w:val="FotnotetekstTegn"/>
          <w:lang w:val="en-GB"/>
        </w:rPr>
        <w:t xml:space="preserve"> den </w:t>
      </w:r>
      <w:proofErr w:type="spellStart"/>
      <w:r w:rsidR="00CD439F" w:rsidRPr="00AB49F9">
        <w:rPr>
          <w:rStyle w:val="FotnotetekstTegn"/>
          <w:lang w:val="en-GB"/>
        </w:rPr>
        <w:t>skandinaviska</w:t>
      </w:r>
      <w:proofErr w:type="spellEnd"/>
      <w:r w:rsidR="00CD439F" w:rsidRPr="00AB49F9">
        <w:rPr>
          <w:rStyle w:val="FotnotetekstTegn"/>
          <w:lang w:val="en-GB"/>
        </w:rPr>
        <w:t xml:space="preserve"> </w:t>
      </w:r>
      <w:proofErr w:type="spellStart"/>
      <w:r w:rsidR="00CD439F" w:rsidRPr="00AB49F9">
        <w:rPr>
          <w:rStyle w:val="FotnotetekstTegn"/>
          <w:lang w:val="en-GB"/>
        </w:rPr>
        <w:t>vargpopulationen</w:t>
      </w:r>
      <w:proofErr w:type="spellEnd"/>
      <w:r w:rsidR="00CD439F" w:rsidRPr="00AB49F9">
        <w:rPr>
          <w:rStyle w:val="FotnotetekstTegn"/>
          <w:lang w:val="en-GB"/>
        </w:rPr>
        <w:t xml:space="preserve">. 12 </w:t>
      </w:r>
      <w:proofErr w:type="spellStart"/>
      <w:r w:rsidR="00CD439F" w:rsidRPr="00AB49F9">
        <w:rPr>
          <w:rStyle w:val="FotnotetekstTegn"/>
          <w:lang w:val="en-GB"/>
        </w:rPr>
        <w:t>augusti</w:t>
      </w:r>
      <w:proofErr w:type="spellEnd"/>
      <w:r w:rsidR="00CD439F" w:rsidRPr="00AB49F9">
        <w:rPr>
          <w:rStyle w:val="FotnotetekstTegn"/>
          <w:lang w:val="en-GB"/>
        </w:rPr>
        <w:t xml:space="preserve"> 2011).</w:t>
      </w:r>
    </w:p>
  </w:footnote>
  <w:footnote w:id="216">
    <w:p w14:paraId="6175EB2E" w14:textId="4673E3DD" w:rsidR="00CD439F" w:rsidRPr="00811DB4" w:rsidRDefault="00404399" w:rsidP="00CD439F">
      <w:pPr>
        <w:pStyle w:val="Fotnotetekst"/>
      </w:pPr>
      <w:r w:rsidRPr="00CD439F">
        <w:rPr>
          <w:rStyle w:val="Fotnotereferanse"/>
        </w:rPr>
        <w:footnoteRef/>
      </w:r>
      <w:r w:rsidRPr="009264D9">
        <w:rPr>
          <w:rStyle w:val="Fotnotereferanse"/>
          <w:lang w:val="en-GB"/>
        </w:rPr>
        <w:t xml:space="preserve"> </w:t>
      </w:r>
      <w:r w:rsidR="00CD439F" w:rsidRPr="007E66B0">
        <w:rPr>
          <w:rStyle w:val="FotnotetekstTegn"/>
          <w:lang w:val="en-GB"/>
        </w:rPr>
        <w:t xml:space="preserve">Meld. </w:t>
      </w:r>
      <w:r w:rsidR="00CD439F">
        <w:rPr>
          <w:rStyle w:val="FotnotetekstTegn"/>
          <w:lang w:val="nn-NO"/>
        </w:rPr>
        <w:t xml:space="preserve">St. </w:t>
      </w:r>
      <w:r w:rsidR="00CD439F" w:rsidRPr="00693A45">
        <w:rPr>
          <w:rStyle w:val="FotnotetekstTegn"/>
          <w:lang w:val="nn-NO"/>
        </w:rPr>
        <w:t>21 (2015</w:t>
      </w:r>
      <w:r w:rsidR="00CD439F">
        <w:rPr>
          <w:rStyle w:val="FotnotetekstTegn"/>
          <w:lang w:val="nn-NO"/>
        </w:rPr>
        <w:t>–</w:t>
      </w:r>
      <w:r w:rsidR="00CD439F" w:rsidRPr="00693A45">
        <w:rPr>
          <w:rStyle w:val="FotnotetekstTegn"/>
          <w:lang w:val="nn-NO"/>
        </w:rPr>
        <w:t>2016)</w:t>
      </w:r>
      <w:r w:rsidR="00CD439F" w:rsidRPr="00693A45">
        <w:rPr>
          <w:lang w:val="nn-NO"/>
        </w:rPr>
        <w:t xml:space="preserve"> Ulv i norsk natur. </w:t>
      </w:r>
      <w:r w:rsidR="00CD439F" w:rsidRPr="00D729D0">
        <w:rPr>
          <w:iCs/>
        </w:rPr>
        <w:t xml:space="preserve">Bestandsmål for ulv og ulvesone </w:t>
      </w:r>
      <w:r w:rsidR="00CD439F" w:rsidRPr="00D729D0">
        <w:t>s. 79</w:t>
      </w:r>
    </w:p>
  </w:footnote>
  <w:footnote w:id="217">
    <w:p w14:paraId="7278D7A4" w14:textId="0E7ECB2A"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&lt;EndNote&gt;&lt;Cite&gt;&lt;Author&gt;Riksrevisjonen&lt;/Author&gt;&lt;Year&gt;2018&lt;/Year&gt;&lt;RecNum&gt;10090&lt;/RecNum&gt;&lt;DisplayText&gt;Riksrevisjonen, &lt;style face="italic"&gt;Riksrevisjonens undersøkelse av rovviltforvaltningen. Dokument 3:13 (2018–2019)&lt;/style&gt;, 2018)&lt;/DisplayText&gt;&lt;record&gt;&lt;rec-number&gt;10090&lt;/rec-number&gt;&lt;foreign-keys&gt;&lt;key app="EN" db-id="5sffrv50pw0vx2esf075e50jafxwafzxe9r0" timestamp="1755918724" guid="64ba2532-8164-401a-9640-bd5bf6d249ec"&gt;10090&lt;/key&gt;&lt;/foreign-keys&gt;&lt;ref-type name="Report"&gt;27&lt;/ref-type&gt;&lt;contributors&gt;&lt;authors&gt;&lt;author&gt;Riksrevisjonen&lt;/author&gt;&lt;/authors&gt;&lt;/contributors&gt;&lt;titles&gt;&lt;title&gt;Riksrevisjonens undersøkelse av rovviltforvaltningen. Dokument 3:13 (2018–2019)&lt;/title&gt;&lt;/titles&gt;&lt;keywords&gt;&lt;keyword&gt;Miljø rovvilt urfolksrett samerett&lt;/keyword&gt;&lt;/keywords&gt;&lt;dates&gt;&lt;year&gt;2018&lt;/year&gt;&lt;/dates&gt;&lt;urls&gt;&lt;related-urls&gt;&lt;url&gt;https://www.stortinget.no/globalassets/pdf/dokumentserien/2019-2020/dok-3-13-2018-2019.pdf&lt;/url&gt;&lt;url&gt;https://www.stortinget.no/no/Saker-og-publikasjoner/Saker/Sak/?p=76596&lt;/url&gt;&lt;/related-urls&gt;&lt;/urls&gt;&lt;/record&gt;&lt;/Cite&gt;&lt;/EndNote&gt;</w:instrText>
      </w:r>
      <w:r w:rsidR="00CD439F">
        <w:fldChar w:fldCharType="separate"/>
      </w:r>
      <w:r w:rsidR="00CD439F">
        <w:rPr>
          <w:noProof/>
        </w:rPr>
        <w:t xml:space="preserve">Riksrevisjonen, </w:t>
      </w:r>
      <w:r w:rsidR="00CD439F" w:rsidRPr="00CD439F">
        <w:rPr>
          <w:rStyle w:val="kursiv"/>
        </w:rPr>
        <w:t>Riksrevisjonens undersøkelse av rovviltforvaltningen. Dokument 3:13 (2018–2019)</w:t>
      </w:r>
      <w:r w:rsidR="00CD439F">
        <w:rPr>
          <w:noProof/>
        </w:rPr>
        <w:t>, 2018)</w:t>
      </w:r>
      <w:r w:rsidR="00CD439F">
        <w:fldChar w:fldCharType="end"/>
      </w:r>
      <w:r w:rsidR="00CD439F">
        <w:t>, s. 127</w:t>
      </w:r>
    </w:p>
  </w:footnote>
  <w:footnote w:id="218">
    <w:p w14:paraId="1A22ECD8" w14:textId="762FDCAD" w:rsidR="00CD439F" w:rsidRPr="00834D2D" w:rsidRDefault="00404399" w:rsidP="00CD439F">
      <w:pPr>
        <w:pStyle w:val="Fotnotetekst"/>
        <w:rPr>
          <w:lang w:val="en-US"/>
        </w:rPr>
      </w:pPr>
      <w:r w:rsidRPr="00CD439F">
        <w:rPr>
          <w:rStyle w:val="Fotnotereferanse"/>
        </w:rPr>
        <w:footnoteRef/>
      </w:r>
      <w:r w:rsidRPr="00834D2D">
        <w:rPr>
          <w:rStyle w:val="Fotnotereferanse"/>
          <w:lang w:val="en-US"/>
        </w:rPr>
        <w:t xml:space="preserve"> </w:t>
      </w:r>
      <w:r w:rsidR="00CD439F">
        <w:fldChar w:fldCharType="begin"/>
      </w:r>
      <w:r w:rsidR="00CD439F" w:rsidRPr="00834D2D">
        <w:rPr>
          <w:lang w:val="en-US"/>
        </w:rPr>
        <w:instrText xml:space="preserve"> ADDIN EN.CITE &lt;EndNote&gt;&lt;Cite&gt;&lt;Author&gt;Riksrevisjonen&lt;/Author&gt;&lt;Year&gt;2018&lt;/Year&gt;&lt;RecNum&gt;10090&lt;/RecNum&gt;&lt;DisplayText&gt;Ibid&lt;/DisplayText&gt;&lt;record&gt;&lt;rec-number&gt;10090&lt;/rec-number&gt;&lt;foreign-keys&gt;&lt;key app="EN" db-id="5sffrv50pw0vx2esf075e50jafxwafzxe9r0" timestamp="1755918724" guid="64ba2532-8164-401a-9640-bd5bf6d249ec"&gt;10090&lt;/key&gt;&lt;/foreign-keys&gt;&lt;ref-type name="Report"&gt;27&lt;/ref-type&gt;&lt;contributors&gt;&lt;authors&gt;&lt;author&gt;Riksrevisjonen&lt;/author&gt;&lt;/authors&gt;&lt;/contributors&gt;&lt;titles&gt;&lt;title&gt;Riksrevisjonens undersøkelse av rovviltforvaltningen. Dokument 3:13 (2018–2019)&lt;/title&gt;&lt;/titles&gt;&lt;keywords&gt;&lt;keyword&gt;Miljø rovvilt urfolksrett samerett&lt;/keyword&gt;&lt;/keywords&gt;&lt;dates&gt;&lt;year&gt;2018&lt;/year&gt;&lt;/dates&gt;&lt;urls&gt;&lt;related-urls&gt;&lt;url&gt;https://www.stortinget.no/globalassets/pdf/dokumentserien/2019-2020/dok-3-13-2018-2019.pdf&lt;/url&gt;&lt;url&gt;https://www.stortinget.no/no/Saker-og-publikasjoner/Saker/Sak/?p=76596&lt;/url&gt;&lt;/related-urls&gt;&lt;/urls&gt;&lt;/record&gt;&lt;/Cite&gt;&lt;/EndNote&gt;</w:instrText>
      </w:r>
      <w:r w:rsidR="00CD439F">
        <w:fldChar w:fldCharType="separate"/>
      </w:r>
      <w:r w:rsidR="00CD439F" w:rsidRPr="00834D2D">
        <w:rPr>
          <w:noProof/>
          <w:lang w:val="en-US"/>
        </w:rPr>
        <w:t>Ibid</w:t>
      </w:r>
      <w:r w:rsidR="00CD439F">
        <w:fldChar w:fldCharType="end"/>
      </w:r>
      <w:r w:rsidR="00CD439F" w:rsidRPr="00834D2D">
        <w:rPr>
          <w:lang w:val="en-US"/>
        </w:rPr>
        <w:t>., s. 127-128.</w:t>
      </w:r>
    </w:p>
  </w:footnote>
  <w:footnote w:id="219">
    <w:p w14:paraId="7A8DDC29" w14:textId="1138243F" w:rsidR="00CD439F" w:rsidRPr="00834D2D" w:rsidRDefault="00404399" w:rsidP="00CD439F">
      <w:pPr>
        <w:pStyle w:val="Fotnotetekst"/>
        <w:rPr>
          <w:lang w:val="en-US"/>
        </w:rPr>
      </w:pPr>
      <w:r w:rsidRPr="00CD439F">
        <w:rPr>
          <w:rStyle w:val="Fotnotereferanse"/>
        </w:rPr>
        <w:footnoteRef/>
      </w:r>
      <w:r w:rsidRPr="00834D2D">
        <w:rPr>
          <w:rStyle w:val="Fotnotereferanse"/>
          <w:lang w:val="en-US"/>
        </w:rPr>
        <w:t xml:space="preserve"> </w:t>
      </w:r>
      <w:r w:rsidR="00CD439F">
        <w:fldChar w:fldCharType="begin"/>
      </w:r>
      <w:r w:rsidR="00CD439F" w:rsidRPr="00834D2D">
        <w:rPr>
          <w:lang w:val="en-US"/>
        </w:rPr>
        <w:instrText xml:space="preserve"> ADDIN EN.CITE &lt;EndNote&gt;&lt;Cite&gt;&lt;Author&gt;Riksrevisjonen&lt;/Author&gt;&lt;Year&gt;2018&lt;/Year&gt;&lt;RecNum&gt;10090&lt;/RecNum&gt;&lt;DisplayText&gt;Ibid&lt;/DisplayText&gt;&lt;record&gt;&lt;rec-number&gt;10090&lt;/rec-number&gt;&lt;foreign-keys&gt;&lt;key app="EN" db-id="5sffrv50pw0vx2esf075e50jafxwafzxe9r0" timestamp="1755918724" guid="64ba2532-8164-401a-9640-bd5bf6d249ec"&gt;10090&lt;/key&gt;&lt;/foreign-keys&gt;&lt;ref-type name="Report"&gt;27&lt;/ref-type&gt;&lt;contributors&gt;&lt;authors&gt;&lt;author&gt;Riksrevisjonen&lt;/author&gt;&lt;/authors&gt;&lt;/contributors&gt;&lt;titles&gt;&lt;title&gt;Riksrevisjonens undersøkelse av rovviltforvaltningen. Dokument 3:13 (2018–2019)&lt;/title&gt;&lt;/titles&gt;&lt;keywords&gt;&lt;keyword&gt;Miljø rovvilt urfolksrett samerett&lt;/keyword&gt;&lt;/keywords&gt;&lt;dates&gt;&lt;year&gt;2018&lt;/year&gt;&lt;/dates&gt;&lt;urls&gt;&lt;related-urls&gt;&lt;url&gt;https://www.stortinget.no/globalassets/pdf/dokumentserien/2019-2020/dok-3-13-2018-2019.pdf&lt;/url&gt;&lt;url&gt;https://www.stortinget.no/no/Saker-og-publikasjoner/Saker/Sak/?p=76596&lt;/url&gt;&lt;/related-urls&gt;&lt;/urls&gt;&lt;/record&gt;&lt;/Cite&gt;&lt;/EndNote&gt;</w:instrText>
      </w:r>
      <w:r w:rsidR="00CD439F">
        <w:fldChar w:fldCharType="separate"/>
      </w:r>
      <w:r w:rsidR="00CD439F" w:rsidRPr="00834D2D">
        <w:rPr>
          <w:noProof/>
          <w:lang w:val="en-US"/>
        </w:rPr>
        <w:t>Ibid</w:t>
      </w:r>
      <w:r w:rsidR="00CD439F">
        <w:fldChar w:fldCharType="end"/>
      </w:r>
      <w:r w:rsidR="00CD439F" w:rsidRPr="00834D2D">
        <w:rPr>
          <w:lang w:val="en-US"/>
        </w:rPr>
        <w:t>., s. 127.</w:t>
      </w:r>
    </w:p>
  </w:footnote>
  <w:footnote w:id="220">
    <w:p w14:paraId="1DE05C33" w14:textId="7BCB2352" w:rsidR="00CD439F" w:rsidRPr="00834D2D" w:rsidRDefault="00404399" w:rsidP="00CD439F">
      <w:pPr>
        <w:pStyle w:val="Fotnotetekst"/>
        <w:rPr>
          <w:lang w:val="en-US"/>
        </w:rPr>
      </w:pPr>
      <w:r w:rsidRPr="00CD439F">
        <w:rPr>
          <w:rStyle w:val="Fotnotereferanse"/>
        </w:rPr>
        <w:footnoteRef/>
      </w:r>
      <w:r w:rsidRPr="00834D2D">
        <w:rPr>
          <w:rStyle w:val="Fotnotereferanse"/>
          <w:lang w:val="en-US"/>
        </w:rPr>
        <w:t xml:space="preserve"> </w:t>
      </w:r>
      <w:r w:rsidR="00CD439F">
        <w:fldChar w:fldCharType="begin"/>
      </w:r>
      <w:r w:rsidR="00CD439F" w:rsidRPr="00834D2D">
        <w:rPr>
          <w:lang w:val="en-US"/>
        </w:rPr>
        <w:instrText xml:space="preserve"> ADDIN EN.CITE &lt;EndNote&gt;&lt;Cite&gt;&lt;Author&gt;Riksrevisjonen&lt;/Author&gt;&lt;Year&gt;2018&lt;/Year&gt;&lt;RecNum&gt;10090&lt;/RecNum&gt;&lt;DisplayText&gt;Ibid&lt;/DisplayText&gt;&lt;record&gt;&lt;rec-number&gt;10090&lt;/rec-number&gt;&lt;foreign-keys&gt;&lt;key app="EN" db-id="5sffrv50pw0vx2esf075e50jafxwafzxe9r0" timestamp="1755918724" guid="64ba2532-8164-401a-9640-bd5bf6d249ec"&gt;10090&lt;/key&gt;&lt;/foreign-keys&gt;&lt;ref-type name="Report"&gt;27&lt;/ref-type&gt;&lt;contributors&gt;&lt;authors&gt;&lt;author&gt;Riksrevisjonen&lt;/author&gt;&lt;/authors&gt;&lt;/contributors&gt;&lt;titles&gt;&lt;title&gt;Riksrevisjonens undersøkelse av rovviltforvaltningen. Dokument 3:13 (2018–2019)&lt;/title&gt;&lt;/titles&gt;&lt;keywords&gt;&lt;keyword&gt;Miljø rovvilt urfolksrett samerett&lt;/keyword&gt;&lt;/keywords&gt;&lt;dates&gt;&lt;year&gt;2018&lt;/year&gt;&lt;/dates&gt;&lt;urls&gt;&lt;related-urls&gt;&lt;url&gt;https://www.stortinget.no/globalassets/pdf/dokumentserien/2019-2020/dok-3-13-2018-2019.pdf&lt;/url&gt;&lt;url&gt;https://www.stortinget.no/no/Saker-og-publikasjoner/Saker/Sak/?p=76596&lt;/url&gt;&lt;/related-urls&gt;&lt;/urls&gt;&lt;/record&gt;&lt;/Cite&gt;&lt;/EndNote&gt;</w:instrText>
      </w:r>
      <w:r w:rsidR="00CD439F">
        <w:fldChar w:fldCharType="separate"/>
      </w:r>
      <w:r w:rsidR="00CD439F" w:rsidRPr="00834D2D">
        <w:rPr>
          <w:noProof/>
          <w:lang w:val="en-US"/>
        </w:rPr>
        <w:t>Ibid</w:t>
      </w:r>
      <w:r w:rsidR="00CD439F">
        <w:fldChar w:fldCharType="end"/>
      </w:r>
      <w:r w:rsidR="00CD439F" w:rsidRPr="00834D2D">
        <w:rPr>
          <w:lang w:val="en-US"/>
        </w:rPr>
        <w:t>., s. 128.</w:t>
      </w:r>
    </w:p>
  </w:footnote>
  <w:footnote w:id="221">
    <w:p w14:paraId="4F77D6EE" w14:textId="65AF4BD1" w:rsidR="00CD439F" w:rsidRPr="00834D2D" w:rsidRDefault="00404399" w:rsidP="00CD439F">
      <w:pPr>
        <w:pStyle w:val="Fotnotetekst"/>
        <w:rPr>
          <w:lang w:val="nn-NO"/>
        </w:rPr>
      </w:pPr>
      <w:r w:rsidRPr="00CD439F">
        <w:rPr>
          <w:rStyle w:val="Fotnotereferanse"/>
        </w:rPr>
        <w:footnoteRef/>
      </w:r>
      <w:r w:rsidRPr="00834D2D">
        <w:rPr>
          <w:rStyle w:val="Fotnotereferanse"/>
          <w:lang w:val="nn-NO"/>
        </w:rPr>
        <w:t xml:space="preserve"> </w:t>
      </w:r>
      <w:r w:rsidR="00CD439F">
        <w:fldChar w:fldCharType="begin"/>
      </w:r>
      <w:r w:rsidR="00CD439F" w:rsidRPr="00834D2D">
        <w:rPr>
          <w:lang w:val="nn-NO"/>
        </w:rPr>
        <w:instrText xml:space="preserve"> ADDIN EN.CITE &lt;EndNote&gt;&lt;Cite&gt;&lt;Author&gt;Innst. S.&lt;/Author&gt;&lt;Year&gt;2004&lt;/Year&gt;&lt;RecNum&gt;10064&lt;/RecNum&gt;&lt;DisplayText&gt;Innst. S., &lt;style face="italic"&gt;Innst. S. nr. 174 (rovviltforliket 2004)&lt;/style&gt;&lt;/DisplayText&gt;&lt;record&gt;&lt;rec-number&gt;10064&lt;/rec-number&gt;&lt;foreign-keys&gt;&lt;key app="EN" db-id="5sffrv50pw0vx2esf075e50jafxwafzxe9r0" timestamp="1755918555" guid="a7163fa5-bd2c-41bf-a836-19c179c32f85"&gt;10064&lt;/key&gt;&lt;/foreign-keys&gt;&lt;ref-type name="Generic"&gt;13&lt;/ref-type&gt;&lt;contributors&gt;&lt;authors&gt;&lt;author&gt;Innst. S.,&lt;/author&gt;&lt;/authors&gt;&lt;/contributors&gt;&lt;titles&gt;&lt;title&gt;Innst. S. nr. 174 (rovviltforliket 2004)&lt;/title&gt;&lt;/titles&gt;&lt;keywords&gt;&lt;keyword&gt;Miljø rovvilt urfolksrett samerett&lt;/keyword&gt;&lt;/keywords&gt;&lt;dates&gt;&lt;year&gt;2004&lt;/year&gt;&lt;/dates&gt;&lt;urls&gt;&lt;/urls&gt;&lt;research-notes&gt;https://www.stortinget.no/no/Saker-og-publikasjoner/Saker/Sak/?p=27939&lt;/research-notes&gt;&lt;/record&gt;&lt;/Cite&gt;&lt;/EndNote&gt;</w:instrText>
      </w:r>
      <w:r w:rsidR="00CD439F">
        <w:fldChar w:fldCharType="separate"/>
      </w:r>
      <w:r w:rsidR="00CD439F" w:rsidRPr="00834D2D">
        <w:rPr>
          <w:noProof/>
          <w:lang w:val="nn-NO"/>
        </w:rPr>
        <w:t xml:space="preserve">Innst. S., </w:t>
      </w:r>
      <w:r w:rsidR="00CD439F" w:rsidRPr="00834D2D">
        <w:rPr>
          <w:rStyle w:val="kursiv"/>
          <w:lang w:val="nn-NO"/>
        </w:rPr>
        <w:t>Innst. S. nr. 174 (rovviltforliket 2004)</w:t>
      </w:r>
      <w:r w:rsidR="00CD439F">
        <w:fldChar w:fldCharType="end"/>
      </w:r>
      <w:r w:rsidR="00CD439F" w:rsidRPr="00834D2D">
        <w:rPr>
          <w:lang w:val="nn-NO"/>
        </w:rPr>
        <w:t>, 8-9.</w:t>
      </w:r>
    </w:p>
  </w:footnote>
  <w:footnote w:id="222">
    <w:p w14:paraId="27663BC0" w14:textId="125A9606" w:rsidR="00CD439F" w:rsidRDefault="00404399" w:rsidP="00CD439F">
      <w:pPr>
        <w:pStyle w:val="Fotnotetekst"/>
      </w:pPr>
      <w:r w:rsidRPr="00CD439F">
        <w:rPr>
          <w:rStyle w:val="Fotnotereferanse"/>
        </w:rPr>
        <w:footnoteRef/>
      </w:r>
      <w:r>
        <w:rPr>
          <w:rStyle w:val="Fotnotereferanse"/>
        </w:rPr>
        <w:t xml:space="preserve"> </w:t>
      </w:r>
      <w:r w:rsidR="00CD439F" w:rsidRPr="00341911">
        <w:t>https://lovdata.no/dokument/SF/forskrift/2005-03-18-242/KAPITTEL_6#KAPITTEL_6</w:t>
      </w:r>
    </w:p>
  </w:footnote>
  <w:footnote w:id="223">
    <w:p w14:paraId="082E473F" w14:textId="783C1FCE" w:rsidR="00CD439F" w:rsidRDefault="00404399" w:rsidP="00CD439F">
      <w:pPr>
        <w:pStyle w:val="Fotnotetekst"/>
      </w:pPr>
      <w:r w:rsidRPr="00CD439F">
        <w:rPr>
          <w:rStyle w:val="Fotnotereferanse"/>
        </w:rPr>
        <w:footnoteRef/>
      </w:r>
      <w:r>
        <w:rPr>
          <w:rStyle w:val="Fotnotereferanse"/>
        </w:rPr>
        <w:t xml:space="preserve"> </w:t>
      </w:r>
      <w:r w:rsidR="00CD439F">
        <w:t xml:space="preserve">Vanskelighetene med en geografisk differensiering i forvaltningen av kongeørn påpekes i </w:t>
      </w:r>
      <w:r w:rsidR="00CD439F">
        <w:fldChar w:fldCharType="begin"/>
      </w:r>
      <w:r w:rsidR="00CD439F">
        <w:instrText xml:space="preserve"> ADDIN EN.CITE &lt;EndNote&gt;&lt;Cite&gt;&lt;Author&gt;Miljødirektoratet&lt;/Author&gt;&lt;Year&gt;2015&lt;/Year&gt;&lt;RecNum&gt;10253&lt;/RecNum&gt;&lt;DisplayText&gt;Miljødirektoratet, &lt;style face="italic"&gt;Forvaltning av kongeørn i Norge. Kunnskap, bestand og framtidig forvaltning&lt;/style&gt; (Rapport M-470, 2015)&lt;/DisplayText&gt;&lt;record&gt;&lt;rec-number&gt;10253&lt;/rec-number&gt;&lt;foreign-keys&gt;&lt;key app="EN" db-id="5sffrv50pw0vx2esf075e50jafxwafzxe9r0" timestamp="1770453487" guid="0d149c04-334b-4549-a532-7931950f4fa4"&gt;10253&lt;/key&gt;&lt;/foreign-keys&gt;&lt;ref-type name="Book"&gt;6&lt;/ref-type&gt;&lt;contributors&gt;&lt;authors&gt;&lt;author&gt;Miljødirektoratet&lt;/author&gt;&lt;/authors&gt;&lt;/contributors&gt;&lt;titles&gt;&lt;title&gt;Forvaltning av kongeørn i Norge. Kunnskap, bestand og framtidig forvaltning&lt;/title&gt;&lt;secondary-title&gt;Rapport M-470&lt;/secondary-title&gt;&lt;/titles&gt;&lt;keywords&gt;&lt;keyword&gt;Rovvilt samerett kongeørn&lt;/keyword&gt;&lt;/keywords&gt;&lt;dates&gt;&lt;year&gt;2015&lt;/year&gt;&lt;/dates&gt;&lt;urls&gt;&lt;/urls&gt;&lt;/record&gt;&lt;/Cite&gt;&lt;/EndNote&gt;</w:instrText>
      </w:r>
      <w:r w:rsidR="00CD439F">
        <w:fldChar w:fldCharType="separate"/>
      </w:r>
      <w:r w:rsidR="00CD439F">
        <w:rPr>
          <w:noProof/>
        </w:rPr>
        <w:t xml:space="preserve">Miljødirektoratet, </w:t>
      </w:r>
      <w:r w:rsidR="00CD439F" w:rsidRPr="00CD439F">
        <w:rPr>
          <w:rStyle w:val="kursiv"/>
        </w:rPr>
        <w:t>Forvaltning av kongeørn i Norge. Kunnskap, bestand og framtidig forvaltning</w:t>
      </w:r>
      <w:r w:rsidR="00CD439F">
        <w:rPr>
          <w:noProof/>
        </w:rPr>
        <w:t xml:space="preserve"> (Rapport M-470, 2015)</w:t>
      </w:r>
      <w:r w:rsidR="00CD439F">
        <w:fldChar w:fldCharType="end"/>
      </w:r>
      <w:r w:rsidR="00CD439F">
        <w:t>, s. 30.</w:t>
      </w:r>
    </w:p>
  </w:footnote>
  <w:footnote w:id="224">
    <w:p w14:paraId="1BC52CB0" w14:textId="5486E7E6"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&lt;EndNote&gt;&lt;Cite&gt;&lt;Author&gt;Meld.St.&lt;/Author&gt;&lt;Year&gt;2017&lt;/Year&gt;&lt;RecNum&gt;10073&lt;/RecNum&gt;&lt;DisplayText&gt;Meld.St., &lt;style face="italic"&gt;Meld. St. 32 (2016 –2017) Reindrift. Lang tradisjon – unike muligheter&lt;/style&gt;&lt;/DisplayText&gt;&lt;record&gt;&lt;rec-number&gt;10073&lt;/rec-number&gt;&lt;foreign-keys&gt;&lt;key app="EN" db-id="5sffrv50pw0vx2esf075e50jafxwafzxe9r0" timestamp="1755918618" guid="eb32bc14-35b0-4af9-baaf-a37942a99d75"&gt;10073&lt;/key&gt;&lt;/foreign-keys&gt;&lt;ref-type name="Generic"&gt;13&lt;/ref-type&gt;&lt;contributors&gt;&lt;authors&gt;&lt;author&gt;Meld.St.,&lt;/author&gt;&lt;/authors&gt;&lt;/contributors&gt;&lt;titles&gt;&lt;title&gt;Meld. St. 32 (2016 –2017) Reindrift. Lang tradisjon – unike muligheter&lt;/title&gt;&lt;/titles&gt;&lt;dates&gt;&lt;year&gt;2017&lt;/year&gt;&lt;/dates&gt;&lt;urls&gt;&lt;related-urls&gt;&lt;url&gt;https://www.regjeringen.no/no/dokumenter/meld.-st.-32-20162017/id2547907/&lt;/url&gt;&lt;url&gt;https://www.stortinget.no/no/Saker-og-publikasjoner/Saker/Sak/?p=68488&lt;/url&gt;&lt;/related-urls&gt;&lt;/urls&gt;&lt;/record&gt;&lt;/Cite&gt;&lt;/EndNote&gt;</w:instrText>
      </w:r>
      <w:r w:rsidR="00CD439F">
        <w:fldChar w:fldCharType="separate"/>
      </w:r>
      <w:r w:rsidR="00CD439F">
        <w:rPr>
          <w:noProof/>
        </w:rPr>
        <w:t xml:space="preserve">Meld.St., </w:t>
      </w:r>
      <w:r w:rsidR="00CD439F" w:rsidRPr="00CD439F">
        <w:rPr>
          <w:rStyle w:val="kursiv"/>
        </w:rPr>
        <w:t>Meld. St. 32 (2016 –2017) Reindrift. Lang tradisjon – unike muligheter</w:t>
      </w:r>
      <w:r w:rsidR="00CD439F">
        <w:fldChar w:fldCharType="end"/>
      </w:r>
      <w:r w:rsidR="00CD439F">
        <w:t>. S- 23 (uthevet her).</w:t>
      </w:r>
    </w:p>
  </w:footnote>
  <w:footnote w:id="225">
    <w:p w14:paraId="2FE3D584" w14:textId="6CD9E2AD"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&lt;EndNote&gt;&lt;Cite&gt;&lt;Author&gt;Riksrevisjonen&lt;/Author&gt;&lt;Year&gt;2018&lt;/Year&gt;&lt;RecNum&gt;10090&lt;/RecNum&gt;&lt;DisplayText&gt;Riksrevisjonen, &lt;style face="italic"&gt;Riksrevisjonens undersøkelse av rovviltforvaltningen. Dokument 3:13 (2018–2019)&lt;/style&gt;&lt;/DisplayText&gt;&lt;record&gt;&lt;rec-number&gt;10090&lt;/rec-number&gt;&lt;foreign-keys&gt;&lt;key app="EN" db-id="5sffrv50pw0vx2esf075e50jafxwafzxe9r0" timestamp="1755918724" guid="64ba2532-8164-401a-9640-bd5bf6d249ec"&gt;10090&lt;/key&gt;&lt;/foreign-keys&gt;&lt;ref-type name="Report"&gt;27&lt;/ref-type&gt;&lt;contributors&gt;&lt;authors&gt;&lt;author&gt;Riksrevisjonen&lt;/author&gt;&lt;/authors&gt;&lt;/contributors&gt;&lt;titles&gt;&lt;title&gt;Riksrevisjonens undersøkelse av rovviltforvaltningen. Dokument 3:13 (2018–2019)&lt;/title&gt;&lt;/titles&gt;&lt;keywords&gt;&lt;keyword&gt;Miljø rovvilt urfolksrett samerett&lt;/keyword&gt;&lt;/keywords&gt;&lt;dates&gt;&lt;year&gt;2018&lt;/year&gt;&lt;/dates&gt;&lt;urls&gt;&lt;related-urls&gt;&lt;url&gt;https://www.stortinget.no/globalassets/pdf/dokumentserien/2019-2020/dok-3-13-2018-2019.pdf&lt;/url&gt;&lt;url&gt;https://www.stortinget.no/no/Saker-og-publikasjoner/Saker/Sak/?p=76596&lt;/url&gt;&lt;/related-urls&gt;&lt;/urls&gt;&lt;/record&gt;&lt;/Cite&gt;&lt;/EndNote&gt;</w:instrText>
      </w:r>
      <w:r w:rsidR="00CD439F">
        <w:fldChar w:fldCharType="separate"/>
      </w:r>
      <w:r w:rsidR="00CD439F">
        <w:rPr>
          <w:noProof/>
        </w:rPr>
        <w:t xml:space="preserve">Riksrevisjonen, </w:t>
      </w:r>
      <w:r w:rsidR="00CD439F" w:rsidRPr="00CD439F">
        <w:rPr>
          <w:rStyle w:val="kursiv"/>
        </w:rPr>
        <w:t>Riksrevisjonens undersøkelse av rovviltforvaltningen. Dokument 3:13 (2018–2019)</w:t>
      </w:r>
      <w:r w:rsidR="00CD439F">
        <w:fldChar w:fldCharType="end"/>
      </w:r>
      <w:r w:rsidR="00CD439F">
        <w:t xml:space="preserve">, 87. </w:t>
      </w:r>
    </w:p>
  </w:footnote>
  <w:footnote w:id="226">
    <w:p w14:paraId="488266B3" w14:textId="5AADA263"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&lt;EndNote&gt;&lt;Cite&gt;&lt;Author&gt;Riksrevisjonen&lt;/Author&gt;&lt;Year&gt;2018&lt;/Year&gt;&lt;RecNum&gt;10090&lt;/RecNum&gt;&lt;DisplayText&gt;Ibid&lt;/DisplayText&gt;&lt;record&gt;&lt;rec-number&gt;10090&lt;/rec-number&gt;&lt;foreign-keys&gt;&lt;key app="EN" db-id="5sffrv50pw0vx2esf075e50jafxwafzxe9r0" timestamp="1755918724" guid="64ba2532-8164-401a-9640-bd5bf6d249ec"&gt;10090&lt;/key&gt;&lt;/foreign-keys&gt;&lt;ref-type name="Report"&gt;27&lt;/ref-type&gt;&lt;contributors&gt;&lt;authors&gt;&lt;author&gt;Riksrevisjonen&lt;/author&gt;&lt;/authors&gt;&lt;/contributors&gt;&lt;titles&gt;&lt;title&gt;Riksrevisjonens undersøkelse av rovviltforvaltningen. Dokument 3:13 (2018–2019)&lt;/title&gt;&lt;/titles&gt;&lt;keywords&gt;&lt;keyword&gt;Miljø rovvilt urfolksrett samerett&lt;/keyword&gt;&lt;/keywords&gt;&lt;dates&gt;&lt;year&gt;2018&lt;/year&gt;&lt;/dates&gt;&lt;urls&gt;&lt;related-urls&gt;&lt;url&gt;https://www.stortinget.no/globalassets/pdf/dokumentserien/2019-2020/dok-3-13-2018-2019.pdf&lt;/url&gt;&lt;url&gt;https://www.stortinget.no/no/Saker-og-publikasjoner/Saker/Sak/?p=76596&lt;/url&gt;&lt;/related-urls&gt;&lt;/urls&gt;&lt;/record&gt;&lt;/Cite&gt;&lt;/EndNote&gt;</w:instrText>
      </w:r>
      <w:r w:rsidR="00CD439F">
        <w:fldChar w:fldCharType="separate"/>
      </w:r>
      <w:r w:rsidR="00CD439F">
        <w:rPr>
          <w:noProof/>
        </w:rPr>
        <w:t>Ibid</w:t>
      </w:r>
      <w:r w:rsidR="00CD439F">
        <w:fldChar w:fldCharType="end"/>
      </w:r>
      <w:r w:rsidR="00CD439F">
        <w:t>. 89.</w:t>
      </w:r>
    </w:p>
  </w:footnote>
  <w:footnote w:id="227">
    <w:p w14:paraId="7CDD87CD" w14:textId="3DCA14F9"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&lt;EndNote&gt;&lt;Cite&gt;&lt;Author&gt;Riksrevisjonen&lt;/Author&gt;&lt;Year&gt;2018&lt;/Year&gt;&lt;RecNum&gt;10090&lt;/RecNum&gt;&lt;DisplayText&gt;Ibid&lt;/DisplayText&gt;&lt;record&gt;&lt;rec-number&gt;10090&lt;/rec-number&gt;&lt;foreign-keys&gt;&lt;key app="EN" db-id="5sffrv50pw0vx2esf075e50jafxwafzxe9r0" timestamp="1755918724" guid="64ba2532-8164-401a-9640-bd5bf6d249ec"&gt;10090&lt;/key&gt;&lt;/foreign-keys&gt;&lt;ref-type name="Report"&gt;27&lt;/ref-type&gt;&lt;contributors&gt;&lt;authors&gt;&lt;author&gt;Riksrevisjonen&lt;/author&gt;&lt;/authors&gt;&lt;/contributors&gt;&lt;titles&gt;&lt;title&gt;Riksrevisjonens undersøkelse av rovviltforvaltningen. Dokument 3:13 (2018–2019)&lt;/title&gt;&lt;/titles&gt;&lt;keywords&gt;&lt;keyword&gt;Miljø rovvilt urfolksrett samerett&lt;/keyword&gt;&lt;/keywords&gt;&lt;dates&gt;&lt;year&gt;2018&lt;/year&gt;&lt;/dates&gt;&lt;urls&gt;&lt;related-urls&gt;&lt;url&gt;https://www.stortinget.no/globalassets/pdf/dokumentserien/2019-2020/dok-3-13-2018-2019.pdf&lt;/url&gt;&lt;url&gt;https://www.stortinget.no/no/Saker-og-publikasjoner/Saker/Sak/?p=76596&lt;/url&gt;&lt;/related-urls&gt;&lt;/urls&gt;&lt;/record&gt;&lt;/Cite&gt;&lt;/EndNote&gt;</w:instrText>
      </w:r>
      <w:r w:rsidR="00CD439F">
        <w:fldChar w:fldCharType="separate"/>
      </w:r>
      <w:r w:rsidR="00CD439F">
        <w:rPr>
          <w:noProof/>
        </w:rPr>
        <w:t>Ibid</w:t>
      </w:r>
      <w:r w:rsidR="00CD439F">
        <w:fldChar w:fldCharType="end"/>
      </w:r>
      <w:r w:rsidR="00CD439F">
        <w:t>. 151.</w:t>
      </w:r>
    </w:p>
  </w:footnote>
  <w:footnote w:id="228">
    <w:p w14:paraId="780A79F3" w14:textId="36AB6F99"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&lt;EndNote&gt;&lt;Cite&gt;&lt;Author&gt;Riksrevisjonen&lt;/Author&gt;&lt;Year&gt;2018&lt;/Year&gt;&lt;RecNum&gt;10090&lt;/RecNum&gt;&lt;DisplayText&gt;Ibid&lt;/DisplayText&gt;&lt;record&gt;&lt;rec-number&gt;10090&lt;/rec-number&gt;&lt;foreign-keys&gt;&lt;key app="EN" db-id="5sffrv50pw0vx2esf075e50jafxwafzxe9r0" timestamp="1755918724" guid="64ba2532-8164-401a-9640-bd5bf6d249ec"&gt;10090&lt;/key&gt;&lt;/foreign-keys&gt;&lt;ref-type name="Report"&gt;27&lt;/ref-type&gt;&lt;contributors&gt;&lt;authors&gt;&lt;author&gt;Riksrevisjonen&lt;/author&gt;&lt;/authors&gt;&lt;/contributors&gt;&lt;titles&gt;&lt;title&gt;Riksrevisjonens undersøkelse av rovviltforvaltningen. Dokument 3:13 (2018–2019)&lt;/title&gt;&lt;/titles&gt;&lt;keywords&gt;&lt;keyword&gt;Miljø rovvilt urfolksrett samerett&lt;/keyword&gt;&lt;/keywords&gt;&lt;dates&gt;&lt;year&gt;2018&lt;/year&gt;&lt;/dates&gt;&lt;urls&gt;&lt;related-urls&gt;&lt;url&gt;https://www.stortinget.no/globalassets/pdf/dokumentserien/2019-2020/dok-3-13-2018-2019.pdf&lt;/url&gt;&lt;url&gt;https://www.stortinget.no/no/Saker-og-publikasjoner/Saker/Sak/?p=76596&lt;/url&gt;&lt;/related-urls&gt;&lt;/urls&gt;&lt;/record&gt;&lt;/Cite&gt;&lt;/EndNote&gt;</w:instrText>
      </w:r>
      <w:r w:rsidR="00CD439F">
        <w:fldChar w:fldCharType="separate"/>
      </w:r>
      <w:r w:rsidR="00CD439F">
        <w:rPr>
          <w:noProof/>
        </w:rPr>
        <w:t>Ibid</w:t>
      </w:r>
      <w:r w:rsidR="00CD439F">
        <w:fldChar w:fldCharType="end"/>
      </w:r>
      <w:r w:rsidR="00CD439F">
        <w:t>., 156.</w:t>
      </w:r>
    </w:p>
  </w:footnote>
  <w:footnote w:id="229">
    <w:p w14:paraId="02C564D0" w14:textId="69ED334D" w:rsidR="00CD439F" w:rsidRDefault="00404399" w:rsidP="00CD439F">
      <w:pPr>
        <w:pStyle w:val="Fotnotetekst"/>
      </w:pPr>
      <w:r w:rsidRPr="00CD439F">
        <w:rPr>
          <w:rStyle w:val="Fotnotereferanse"/>
        </w:rPr>
        <w:footnoteRef/>
      </w:r>
      <w:r>
        <w:rPr>
          <w:rStyle w:val="Fotnotereferanse"/>
        </w:rPr>
        <w:t xml:space="preserve"> </w:t>
      </w:r>
      <w:r w:rsidR="00CD439F">
        <w:t>Brev fra Klima- og miljødepartementet til Ekspertutvalget av 28. januar 2026.</w:t>
      </w:r>
    </w:p>
  </w:footnote>
  <w:footnote w:id="230">
    <w:p w14:paraId="246B6F7E" w14:textId="2C1BD70B"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&lt;EndNote&gt;&lt;Cite&gt;&lt;Author&gt;Vangen&lt;/Author&gt;&lt;Year&gt;2025&lt;/Year&gt;&lt;RecNum&gt;10251&lt;/RecNum&gt;&lt;DisplayText&gt;Knut Morten  Vangen and others, &lt;style face="italic"&gt;Faggrunnlag for utredning av bestandsmål for gaupe og jerv&lt;/style&gt; (NINA-rapport 2693, 2025)&lt;/DisplayText&gt;&lt;record&gt;&lt;rec-number&gt;10251&lt;/rec-number&gt;&lt;foreign-keys&gt;&lt;key app="EN" db-id="5sffrv50pw0vx2esf075e50jafxwafzxe9r0" timestamp="1770273785" guid="fb1ecd94-4448-4f3a-819f-4d42b7b857be"&gt;10251&lt;/key&gt;&lt;/foreign-keys&gt;&lt;ref-type name="Book"&gt;6&lt;/ref-type&gt;&lt;contributors&gt;&lt;authors&gt;&lt;author&gt;Vangen, Knut Morten &lt;/author&gt;&lt;author&gt;Krange, Olve&lt;/author&gt;&lt;author&gt;Mattisson, Jenny&lt;/author&gt;&lt;author&gt;Horntvedt Thorsen, Neri&lt;/author&gt;&lt;author&gt;Tveraa, Torkild &lt;/author&gt;&lt;author&gt;Linnell, John D.C.&lt;/author&gt;&lt;author&gt;Odden, John&lt;/author&gt;&lt;/authors&gt;&lt;/contributors&gt;&lt;titles&gt;&lt;title&gt;Faggrunnlag for utredning av bestandsmål for gaupe og jerv&lt;/title&gt;&lt;secondary-title&gt;NINA-rapport 2693&lt;/secondary-title&gt;&lt;/titles&gt;&lt;keywords&gt;&lt;keyword&gt;Rovvilt samerett&lt;/keyword&gt;&lt;/keywords&gt;&lt;dates&gt;&lt;year&gt;2025&lt;/year&gt;&lt;/dates&gt;&lt;urls&gt;&lt;related-urls&gt;&lt;url&gt;https://nva.sikt.no/registration/019b07dcd4ac-6446dd66-85fc-40cb-a8a7-c3a3717fe95f&lt;/url&gt;&lt;url&gt;https://www.nina.no/Om-NINA/Aktuelt/Nyheter/article/foreslar-flytting-av-rovdyrmal-fra-nord-til-sor&lt;/url&gt;&lt;/related-urls&gt;&lt;/urls&gt;&lt;/record&gt;&lt;/Cite&gt;&lt;/EndNote&gt;</w:instrText>
      </w:r>
      <w:r w:rsidR="00CD439F">
        <w:fldChar w:fldCharType="separate"/>
      </w:r>
      <w:r w:rsidR="00CD439F">
        <w:rPr>
          <w:noProof/>
        </w:rPr>
        <w:t xml:space="preserve">Knut Morten Vangen and others, </w:t>
      </w:r>
      <w:r w:rsidR="00CD439F" w:rsidRPr="00CD439F">
        <w:rPr>
          <w:rStyle w:val="kursiv"/>
        </w:rPr>
        <w:t>Faggrunnlag for utredning av bestandsmål for gaupe og jerv</w:t>
      </w:r>
      <w:r w:rsidR="00CD439F">
        <w:rPr>
          <w:noProof/>
        </w:rPr>
        <w:t xml:space="preserve"> (NINA-rapport 2693, 2025)</w:t>
      </w:r>
      <w:r w:rsidR="00CD439F">
        <w:fldChar w:fldCharType="end"/>
      </w:r>
      <w:r w:rsidR="00CD439F">
        <w:t xml:space="preserve"> s. 63.</w:t>
      </w:r>
    </w:p>
  </w:footnote>
  <w:footnote w:id="231">
    <w:p w14:paraId="268399DA" w14:textId="5EC222AB" w:rsidR="00CD439F" w:rsidRPr="00591E4B" w:rsidRDefault="00404399" w:rsidP="00CD439F">
      <w:pPr>
        <w:pStyle w:val="Fotnotetekst"/>
      </w:pPr>
      <w:r w:rsidRPr="00CD439F">
        <w:rPr>
          <w:rStyle w:val="Fotnotereferanse"/>
        </w:rPr>
        <w:footnoteRef/>
      </w:r>
      <w:r>
        <w:rPr>
          <w:rStyle w:val="Fotnotereferanse"/>
        </w:rPr>
        <w:t xml:space="preserve"> </w:t>
      </w:r>
      <w:r w:rsidR="00CD439F" w:rsidRPr="00591E4B">
        <w:fldChar w:fldCharType="begin"/>
      </w:r>
      <w:r w:rsidR="00CD439F">
        <w:instrText xml:space="preserve"> ADDIN EN.CITE &lt;EndNote&gt;&lt;Cite&gt;&lt;Author&gt;St.meld.&lt;/Author&gt;&lt;Year&gt;2003&lt;/Year&gt;&lt;RecNum&gt;10065&lt;/RecNum&gt;&lt;DisplayText&gt;St.meld., &lt;style face="italic"&gt;St.meld. nr. 15 (2003-2004) Rovvilt i norsk natur&lt;/style&gt;&lt;/DisplayText&gt;&lt;record&gt;&lt;rec-number&gt;10065&lt;/rec-number&gt;&lt;foreign-keys&gt;&lt;key app="EN" db-id="5sffrv50pw0vx2esf075e50jafxwafzxe9r0" timestamp="1755918561" guid="757782b4-7e5f-489e-be60-62665a209e8a"&gt;10065&lt;/key&gt;&lt;/foreign-keys&gt;&lt;ref-type name="Generic"&gt;13&lt;/ref-type&gt;&lt;contributors&gt;&lt;authors&gt;&lt;author&gt;St.meld.&lt;/author&gt;&lt;/authors&gt;&lt;/contributors&gt;&lt;titles&gt;&lt;title&gt;St.meld. nr. 15 (2003-2004) Rovvilt i norsk natur&lt;/title&gt;&lt;/titles&gt;&lt;keywords&gt;&lt;keyword&gt;Miljø rovvilt urfolksrett samerett&lt;/keyword&gt;&lt;/keywords&gt;&lt;dates&gt;&lt;year&gt;2003&lt;/year&gt;&lt;/dates&gt;&lt;urls&gt;&lt;/urls&gt;&lt;research-notes&gt;https://www.regjeringen.no/no/dokumenter/stmeld-nr-15-2003-2004-/id403693/&amp;#xD;https://www.stortinget.no/no/Saker-og-publikasjoner/Saker/Sak/?p=27939&lt;/research-notes&gt;&lt;/record&gt;&lt;/Cite&gt;&lt;/EndNote&gt;</w:instrText>
      </w:r>
      <w:r w:rsidR="00CD439F" w:rsidRPr="00591E4B">
        <w:fldChar w:fldCharType="separate"/>
      </w:r>
      <w:r w:rsidR="00CD439F">
        <w:rPr>
          <w:noProof/>
        </w:rPr>
        <w:t xml:space="preserve">St.meld., </w:t>
      </w:r>
      <w:r w:rsidR="00CD439F" w:rsidRPr="00CD439F">
        <w:rPr>
          <w:rStyle w:val="kursiv"/>
        </w:rPr>
        <w:t>St.meld. nr. 15 (2003–2004) Rovvilt i norsk natur</w:t>
      </w:r>
      <w:r w:rsidR="00CD439F" w:rsidRPr="00591E4B">
        <w:fldChar w:fldCharType="end"/>
      </w:r>
      <w:r w:rsidR="00CD439F" w:rsidRPr="04C45840">
        <w:rPr>
          <w:rFonts w:cs="Times New Roman"/>
        </w:rPr>
        <w:t>, 75 (uthevet her).</w:t>
      </w:r>
    </w:p>
  </w:footnote>
  <w:footnote w:id="232">
    <w:p w14:paraId="4B3EB1F7" w14:textId="69946637" w:rsidR="00CD439F" w:rsidRPr="00404399" w:rsidRDefault="00404399" w:rsidP="00D96CC5">
      <w:pPr>
        <w:pStyle w:val="Fotnotetekst"/>
        <w:rPr>
          <w:lang w:val="nn-NO"/>
        </w:rPr>
      </w:pPr>
      <w:r w:rsidRPr="00CD439F">
        <w:rPr>
          <w:rStyle w:val="Fotnotereferanse"/>
        </w:rPr>
        <w:footnoteRef/>
      </w:r>
      <w:r w:rsidRPr="009264D9">
        <w:rPr>
          <w:rStyle w:val="Fotnotereferanse"/>
          <w:lang w:val="nn-NO"/>
        </w:rPr>
        <w:t xml:space="preserve"> </w:t>
      </w:r>
      <w:proofErr w:type="spellStart"/>
      <w:r w:rsidR="00CD439F" w:rsidRPr="00404399">
        <w:rPr>
          <w:lang w:val="nn-NO"/>
        </w:rPr>
        <w:t>Innst</w:t>
      </w:r>
      <w:proofErr w:type="spellEnd"/>
      <w:r w:rsidR="00CD439F" w:rsidRPr="00404399">
        <w:rPr>
          <w:lang w:val="nn-NO"/>
        </w:rPr>
        <w:t>. S. nr. 174 (2003–2004), s. 16 (</w:t>
      </w:r>
      <w:proofErr w:type="spellStart"/>
      <w:r w:rsidR="00CD439F" w:rsidRPr="00404399">
        <w:rPr>
          <w:lang w:val="nn-NO"/>
        </w:rPr>
        <w:t>uthevet</w:t>
      </w:r>
      <w:proofErr w:type="spellEnd"/>
      <w:r w:rsidR="00CD439F" w:rsidRPr="00404399">
        <w:rPr>
          <w:lang w:val="nn-NO"/>
        </w:rPr>
        <w:t xml:space="preserve"> her).</w:t>
      </w:r>
    </w:p>
  </w:footnote>
  <w:footnote w:id="233">
    <w:p w14:paraId="23F0FE92" w14:textId="1539411A" w:rsidR="00CD439F" w:rsidRPr="00693A45"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rsidRPr="00693A45">
        <w:rPr>
          <w:lang w:val="nn-NO"/>
        </w:rPr>
        <w:t>Dokument 8:163 S (2010</w:t>
      </w:r>
      <w:r w:rsidR="00CD439F">
        <w:rPr>
          <w:lang w:val="nn-NO"/>
        </w:rPr>
        <w:t>–</w:t>
      </w:r>
      <w:r w:rsidR="00CD439F" w:rsidRPr="00693A45">
        <w:rPr>
          <w:lang w:val="nn-NO"/>
        </w:rPr>
        <w:t xml:space="preserve">2011) Representantforslag om </w:t>
      </w:r>
      <w:proofErr w:type="spellStart"/>
      <w:r w:rsidR="00CD439F" w:rsidRPr="00693A45">
        <w:rPr>
          <w:lang w:val="nn-NO"/>
        </w:rPr>
        <w:t>endringer</w:t>
      </w:r>
      <w:proofErr w:type="spellEnd"/>
      <w:r w:rsidR="00CD439F" w:rsidRPr="00693A45">
        <w:rPr>
          <w:lang w:val="nn-NO"/>
        </w:rPr>
        <w:t xml:space="preserve"> i </w:t>
      </w:r>
      <w:proofErr w:type="spellStart"/>
      <w:r w:rsidR="00CD439F" w:rsidRPr="00693A45">
        <w:rPr>
          <w:lang w:val="nn-NO"/>
        </w:rPr>
        <w:t>forvaltningen</w:t>
      </w:r>
      <w:proofErr w:type="spellEnd"/>
      <w:r w:rsidR="00CD439F" w:rsidRPr="00693A45">
        <w:rPr>
          <w:lang w:val="nn-NO"/>
        </w:rPr>
        <w:t xml:space="preserve"> av rovvilt (rovviltforliket) (</w:t>
      </w:r>
      <w:proofErr w:type="spellStart"/>
      <w:r w:rsidR="00CD439F" w:rsidRPr="00693A45">
        <w:rPr>
          <w:lang w:val="nn-NO"/>
        </w:rPr>
        <w:t>uthevet</w:t>
      </w:r>
      <w:proofErr w:type="spellEnd"/>
      <w:r w:rsidR="00CD439F" w:rsidRPr="00693A45">
        <w:rPr>
          <w:lang w:val="nn-NO"/>
        </w:rPr>
        <w:t xml:space="preserve"> her)</w:t>
      </w:r>
      <w:r w:rsidR="00CD439F" w:rsidRPr="00CD439F">
        <w:rPr>
          <w:rStyle w:val="halvfet"/>
          <w:lang w:val="nn-NO"/>
        </w:rPr>
        <w:t>.</w:t>
      </w:r>
    </w:p>
  </w:footnote>
  <w:footnote w:id="234">
    <w:p w14:paraId="1ED2D38A" w14:textId="78E7A695" w:rsidR="00CD439F" w:rsidRPr="00693A45"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rsidRPr="00591E4B">
        <w:fldChar w:fldCharType="begin"/>
      </w:r>
      <w:r w:rsidR="00CD439F" w:rsidRPr="00693A45">
        <w:rPr>
          <w:lang w:val="nn-NO"/>
        </w:rPr>
        <w:instrText xml:space="preserve"> ADDIN EN.CITE &lt;EndNote&gt;&lt;Cite&gt;&lt;Author&gt;Meld. St.&lt;/Author&gt;&lt;Year&gt;2016&lt;/Year&gt;&lt;RecNum&gt;10067&lt;/RecNum&gt;&lt;DisplayText&gt;Meld. St., &lt;style face="italic"&gt;Meld. St. 21 (2015–2016) Ulv i norsk natur. Bestandsmål for ulv og ulvesone&lt;/style&gt;&lt;/DisplayText&gt;&lt;record&gt;&lt;rec-number&gt;10067&lt;/rec-number&gt;&lt;foreign-keys&gt;&lt;key app="EN" db-id="5sffrv50pw0vx2esf075e50jafxwafzxe9r0" timestamp="1755918576" guid="523bc897-f613-4be9-9607-9aeec096c01a"&gt;10067&lt;/key&gt;&lt;/foreign-keys&gt;&lt;ref-type name="Generic"&gt;13&lt;/ref-type&gt;&lt;contributors&gt;&lt;authors&gt;&lt;author&gt;Meld. St.,&lt;/author&gt;&lt;/authors&gt;&lt;/contributors&gt;&lt;titles&gt;&lt;title&gt;Meld. St. 21 (2015–2016) Ulv i norsk natur. Bestandsmål for ulv og ulvesone&lt;/title&gt;&lt;/titles&gt;&lt;keywords&gt;&lt;keyword&gt;Miljø ulv&lt;/keyword&gt;&lt;/keywords&gt;&lt;dates&gt;&lt;year&gt;2016&lt;/year&gt;&lt;/dates&gt;&lt;urls&gt;&lt;related-urls&gt;&lt;url&gt;https://www.regjeringen.no/no/dokumenter/meld.-st.-21-20152016/id2480008/&lt;/url&gt;&lt;url&gt;https://www.stortinget.no/no/Saker-og-publikasjoner/Saker/Sak/?p=65090&lt;/url&gt;&lt;/related-urls&gt;&lt;/urls&gt;&lt;/record&gt;&lt;/Cite&gt;&lt;/EndNote&gt;</w:instrText>
      </w:r>
      <w:r w:rsidR="00CD439F" w:rsidRPr="00591E4B">
        <w:fldChar w:fldCharType="separate"/>
      </w:r>
      <w:r w:rsidR="00CD439F" w:rsidRPr="00693A45">
        <w:rPr>
          <w:lang w:val="nn-NO"/>
        </w:rPr>
        <w:t xml:space="preserve">Meld. St., </w:t>
      </w:r>
      <w:r w:rsidR="00CD439F" w:rsidRPr="00CD439F">
        <w:rPr>
          <w:rStyle w:val="kursiv"/>
          <w:lang w:val="nn-NO"/>
        </w:rPr>
        <w:t xml:space="preserve">Meld. St. 21 (2015–2016) Ulv i norsk natur. </w:t>
      </w:r>
      <w:r w:rsidR="00CD439F" w:rsidRPr="007E66B0">
        <w:rPr>
          <w:rStyle w:val="kursiv"/>
          <w:lang w:val="nn-NO"/>
        </w:rPr>
        <w:t>Bestandsmål for ulv og ulvesone</w:t>
      </w:r>
      <w:r w:rsidR="00CD439F" w:rsidRPr="00591E4B">
        <w:fldChar w:fldCharType="end"/>
      </w:r>
      <w:r w:rsidR="00CD439F" w:rsidRPr="00693A45">
        <w:rPr>
          <w:rFonts w:cs="Times New Roman"/>
          <w:lang w:val="nn-NO"/>
        </w:rPr>
        <w:t>, |6 og 17 (</w:t>
      </w:r>
      <w:proofErr w:type="spellStart"/>
      <w:r w:rsidR="00CD439F" w:rsidRPr="00693A45">
        <w:rPr>
          <w:rFonts w:cs="Times New Roman"/>
          <w:lang w:val="nn-NO"/>
        </w:rPr>
        <w:t>uthevet</w:t>
      </w:r>
      <w:proofErr w:type="spellEnd"/>
      <w:r w:rsidR="00CD439F" w:rsidRPr="00693A45">
        <w:rPr>
          <w:rFonts w:cs="Times New Roman"/>
          <w:lang w:val="nn-NO"/>
        </w:rPr>
        <w:t xml:space="preserve"> her).</w:t>
      </w:r>
    </w:p>
  </w:footnote>
  <w:footnote w:id="235">
    <w:p w14:paraId="319F14CC" w14:textId="405957DF" w:rsidR="00CD439F" w:rsidRPr="00693A45" w:rsidRDefault="00404399" w:rsidP="00CD439F">
      <w:pPr>
        <w:pStyle w:val="Fotnotetekst"/>
        <w:rPr>
          <w:lang w:val="nn-NO"/>
        </w:rPr>
      </w:pPr>
      <w:r w:rsidRPr="00CD439F">
        <w:rPr>
          <w:rStyle w:val="Fotnotereferanse"/>
        </w:rPr>
        <w:footnoteRef/>
      </w:r>
      <w:r w:rsidRPr="00404399">
        <w:rPr>
          <w:rStyle w:val="Fotnotereferanse"/>
          <w:lang w:val="nn-NO"/>
        </w:rPr>
        <w:t xml:space="preserve"> </w:t>
      </w:r>
      <w:r w:rsidR="00CD439F" w:rsidRPr="00591E4B">
        <w:fldChar w:fldCharType="begin"/>
      </w:r>
      <w:r w:rsidR="00CD439F" w:rsidRPr="00693A45">
        <w:rPr>
          <w:lang w:val="nn-NO"/>
        </w:rPr>
        <w:instrText xml:space="preserve"> ADDIN EN.CITE &lt;EndNote&gt;&lt;Cite&gt;&lt;Author&gt;St.meld.&lt;/Author&gt;&lt;Year&gt;2003&lt;/Year&gt;&lt;RecNum&gt;10065&lt;/RecNum&gt;&lt;DisplayText&gt;St.meld., &lt;style face="italic"&gt;St.meld. nr. 15 (2003-2004) Rovvilt i norsk natur&lt;/style&gt;&lt;/DisplayText&gt;&lt;record&gt;&lt;rec-number&gt;10065&lt;/rec-number&gt;&lt;foreign-keys&gt;&lt;key app="EN" db-id="5sffrv50pw0vx2esf075e50jafxwafzxe9r0" timestamp="1755918561" guid="757782b4-7e5f-489e-be60-62665a209e8a"&gt;10065&lt;/key&gt;&lt;/foreign-keys&gt;&lt;ref-type name="Generic"&gt;13&lt;/ref-type&gt;&lt;contributors&gt;&lt;authors&gt;&lt;author&gt;St.meld.&lt;/author&gt;&lt;/authors&gt;&lt;/contributors&gt;&lt;titles&gt;&lt;title&gt;St.meld. nr. 15 (2003-2004) Rovvilt i norsk natur&lt;/title&gt;&lt;/titles&gt;&lt;keywords&gt;&lt;keyword&gt;Miljø rovvilt urfolksrett samerett&lt;/keyword&gt;&lt;/keywords&gt;&lt;dates&gt;&lt;year&gt;2003&lt;/year&gt;&lt;/dates&gt;&lt;urls&gt;&lt;/urls&gt;&lt;research-notes&gt;https://www.regjeringen.no/no/dokumenter/stmeld-nr-15-2003-2004-/id403693/&amp;#xD;https://www.stortinget.no/no/Saker-og-publikasjoner/Saker/Sak/?p=27939&lt;/research-notes&gt;&lt;/record&gt;&lt;/Cite&gt;&lt;/EndNote&gt;</w:instrText>
      </w:r>
      <w:r w:rsidR="00CD439F" w:rsidRPr="00591E4B">
        <w:fldChar w:fldCharType="separate"/>
      </w:r>
      <w:r w:rsidR="00CD439F" w:rsidRPr="00693A45">
        <w:rPr>
          <w:lang w:val="nn-NO"/>
        </w:rPr>
        <w:t xml:space="preserve">St.meld., </w:t>
      </w:r>
      <w:r w:rsidR="00CD439F" w:rsidRPr="00CD439F">
        <w:rPr>
          <w:rStyle w:val="kursiv"/>
          <w:lang w:val="nn-NO"/>
        </w:rPr>
        <w:t>St.meld. nr. 15 (2003–2004) Rovvilt i norsk natur</w:t>
      </w:r>
      <w:r w:rsidR="00CD439F" w:rsidRPr="00591E4B">
        <w:fldChar w:fldCharType="end"/>
      </w:r>
      <w:r w:rsidR="00CD439F" w:rsidRPr="00693A45">
        <w:rPr>
          <w:rFonts w:cs="Times New Roman"/>
          <w:lang w:val="nn-NO"/>
        </w:rPr>
        <w:t>. 91 (</w:t>
      </w:r>
      <w:proofErr w:type="spellStart"/>
      <w:r w:rsidR="00CD439F" w:rsidRPr="00693A45">
        <w:rPr>
          <w:rFonts w:cs="Times New Roman"/>
          <w:lang w:val="nn-NO"/>
        </w:rPr>
        <w:t>uthevet</w:t>
      </w:r>
      <w:proofErr w:type="spellEnd"/>
      <w:r w:rsidR="00CD439F" w:rsidRPr="00693A45">
        <w:rPr>
          <w:rFonts w:cs="Times New Roman"/>
          <w:lang w:val="nn-NO"/>
        </w:rPr>
        <w:t xml:space="preserve"> her).</w:t>
      </w:r>
    </w:p>
  </w:footnote>
  <w:footnote w:id="236">
    <w:p w14:paraId="5157767A" w14:textId="7B1E9C8C" w:rsidR="00CD439F" w:rsidRPr="00693A45"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rsidRPr="00591E4B">
        <w:fldChar w:fldCharType="begin"/>
      </w:r>
      <w:r w:rsidR="00CD439F" w:rsidRPr="00693A45">
        <w:rPr>
          <w:lang w:val="nn-NO"/>
        </w:rPr>
        <w:instrText xml:space="preserve"> ADDIN EN.CITE &lt;EndNote&gt;&lt;Cite&gt;&lt;Author&gt;Meld. St.&lt;/Author&gt;&lt;Year&gt;2016&lt;/Year&gt;&lt;RecNum&gt;10067&lt;/RecNum&gt;&lt;DisplayText&gt;Meld. St., &lt;style face="italic"&gt;Meld. St. 21 (2015–2016) Ulv i norsk natur. Bestandsmål for ulv og ulvesone&lt;/style&gt;&lt;/DisplayText&gt;&lt;record&gt;&lt;rec-number&gt;10067&lt;/rec-number&gt;&lt;foreign-keys&gt;&lt;key app="EN" db-id="5sffrv50pw0vx2esf075e50jafxwafzxe9r0" timestamp="1755918576" guid="523bc897-f613-4be9-9607-9aeec096c01a"&gt;10067&lt;/key&gt;&lt;/foreign-keys&gt;&lt;ref-type name="Generic"&gt;13&lt;/ref-type&gt;&lt;contributors&gt;&lt;authors&gt;&lt;author&gt;Meld. St.,&lt;/author&gt;&lt;/authors&gt;&lt;/contributors&gt;&lt;titles&gt;&lt;title&gt;Meld. St. 21 (2015–2016) Ulv i norsk natur. Bestandsmål for ulv og ulvesone&lt;/title&gt;&lt;/titles&gt;&lt;keywords&gt;&lt;keyword&gt;Miljø ulv&lt;/keyword&gt;&lt;/keywords&gt;&lt;dates&gt;&lt;year&gt;2016&lt;/year&gt;&lt;/dates&gt;&lt;urls&gt;&lt;related-urls&gt;&lt;url&gt;https://www.regjeringen.no/no/dokumenter/meld.-st.-21-20152016/id2480008/&lt;/url&gt;&lt;url&gt;https://www.stortinget.no/no/Saker-og-publikasjoner/Saker/Sak/?p=65090&lt;/url&gt;&lt;/related-urls&gt;&lt;/urls&gt;&lt;/record&gt;&lt;/Cite&gt;&lt;/EndNote&gt;</w:instrText>
      </w:r>
      <w:r w:rsidR="00CD439F" w:rsidRPr="00591E4B">
        <w:fldChar w:fldCharType="separate"/>
      </w:r>
      <w:r w:rsidR="00CD439F" w:rsidRPr="00693A45">
        <w:rPr>
          <w:lang w:val="nn-NO"/>
        </w:rPr>
        <w:t xml:space="preserve">Meld. St., </w:t>
      </w:r>
      <w:r w:rsidR="00CD439F" w:rsidRPr="007E66B0">
        <w:rPr>
          <w:rStyle w:val="kursiv"/>
          <w:lang w:val="nn-NO"/>
        </w:rPr>
        <w:t>Meld. St. 21 (2015–2016) Ulv i norsk natur. Bestandsmål for ulv og ulvesone</w:t>
      </w:r>
      <w:r w:rsidR="00CD439F" w:rsidRPr="00591E4B">
        <w:fldChar w:fldCharType="end"/>
      </w:r>
      <w:r w:rsidR="00CD439F" w:rsidRPr="00693A45">
        <w:rPr>
          <w:rFonts w:cs="Times New Roman"/>
          <w:lang w:val="nn-NO"/>
        </w:rPr>
        <w:t>, 20.</w:t>
      </w:r>
    </w:p>
  </w:footnote>
  <w:footnote w:id="237">
    <w:p w14:paraId="63663745" w14:textId="6AA88AE5" w:rsidR="00CD439F" w:rsidRPr="00834D2D" w:rsidRDefault="00404399" w:rsidP="00CD439F">
      <w:pPr>
        <w:pStyle w:val="Fotnotetekst"/>
        <w:rPr>
          <w:lang w:val="nn-NO"/>
        </w:rPr>
      </w:pPr>
      <w:r w:rsidRPr="00CD439F">
        <w:rPr>
          <w:rStyle w:val="Fotnotereferanse"/>
        </w:rPr>
        <w:footnoteRef/>
      </w:r>
      <w:r w:rsidRPr="009264D9">
        <w:rPr>
          <w:rStyle w:val="Fotnotereferanse"/>
          <w:lang w:val="nn-NO"/>
        </w:rPr>
        <w:t xml:space="preserve"> </w:t>
      </w:r>
      <w:r w:rsidR="00CD439F">
        <w:fldChar w:fldCharType="begin"/>
      </w:r>
      <w:r w:rsidR="00CD439F" w:rsidRPr="00693A45">
        <w:rPr>
          <w:lang w:val="nn-NO"/>
        </w:rPr>
        <w:instrText xml:space="preserve"> ADDIN EN.CITE &lt;EndNote&gt;&lt;Cite&gt;&lt;Author&gt;Meld.St.&lt;/Author&gt;&lt;Year&gt;2017&lt;/Year&gt;&lt;RecNum&gt;10073&lt;/RecNum&gt;&lt;DisplayText&gt;Meld.St., &lt;style face="italic"&gt;Meld. St. 32 (2016 –2017) Reindrift. Lang tradisjon – unike muligheter&lt;/style&gt;&lt;/DisplayText&gt;&lt;record&gt;&lt;rec-number&gt;10073&lt;/rec-number&gt;&lt;foreign-keys&gt;&lt;key app="EN" db-id="5sffrv50pw0vx2esf075e50jafxwafzxe9r0" timestamp="1755918618" guid="eb32bc14-35b0-4af9-baaf-a37942a99d75"&gt;10073&lt;/key&gt;&lt;/foreign-keys&gt;&lt;ref-type name="Generic"&gt;13&lt;/ref-type&gt;&lt;contributors&gt;&lt;authors&gt;&lt;author&gt;Meld.St.,&lt;/author&gt;&lt;/authors&gt;&lt;/contributors&gt;&lt;titles&gt;&lt;title&gt;Meld. St. 32 (2016 –2017) Reindrift. Lang tradisjon – unike muligheter&lt;/title&gt;&lt;/titles&gt;&lt;dates&gt;&lt;year&gt;2017&lt;/year&gt;&lt;/dates&gt;&lt;urls&gt;&lt;related-urls&gt;&lt;url&gt;https://www.regjeringen.no/no/dokumenter/meld.-st.-32-20162017/id2547907/&lt;/url&gt;&lt;url&gt;https://www.stortinget.no/no/Saker-og-publikasjoner/Saker/Sak/?p=68488&lt;/url&gt;&lt;/related-urls&gt;&lt;/urls&gt;&lt;/record&gt;&lt;/Cite&gt;&lt;/EndNote&gt;</w:instrText>
      </w:r>
      <w:r w:rsidR="00CD439F">
        <w:fldChar w:fldCharType="separate"/>
      </w:r>
      <w:r w:rsidR="00CD439F" w:rsidRPr="00693A45">
        <w:rPr>
          <w:lang w:val="nn-NO"/>
        </w:rPr>
        <w:t xml:space="preserve">Meld.St., </w:t>
      </w:r>
      <w:r w:rsidR="00CD439F" w:rsidRPr="007E66B0">
        <w:rPr>
          <w:rStyle w:val="kursiv"/>
          <w:lang w:val="nn-NO"/>
        </w:rPr>
        <w:t xml:space="preserve">Meld. St. 32 (2016 –2017) Reindrift. </w:t>
      </w:r>
      <w:r w:rsidR="00CD439F" w:rsidRPr="00834D2D">
        <w:rPr>
          <w:rStyle w:val="kursiv"/>
          <w:lang w:val="nn-NO"/>
        </w:rPr>
        <w:t>Lang tradisjon – unike muligheter</w:t>
      </w:r>
      <w:r w:rsidR="00CD439F">
        <w:fldChar w:fldCharType="end"/>
      </w:r>
      <w:r w:rsidR="00CD439F" w:rsidRPr="00834D2D">
        <w:rPr>
          <w:lang w:val="nn-NO"/>
        </w:rPr>
        <w:t>, s. 22-23 (uthevet her).</w:t>
      </w:r>
    </w:p>
  </w:footnote>
  <w:footnote w:id="238">
    <w:p w14:paraId="10C1CD50" w14:textId="0E953F18"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&lt;EndNote&gt;&lt;Cite&gt;&lt;Author&gt;Meld.St.&lt;/Author&gt;&lt;Year&gt;2017&lt;/Year&gt;&lt;RecNum&gt;10073&lt;/RecNum&gt;&lt;DisplayText&gt;Ibid&lt;/DisplayText&gt;&lt;record&gt;&lt;rec-number&gt;10073&lt;/rec-number&gt;&lt;foreign-keys&gt;&lt;key app="EN" db-id="5sffrv50pw0vx2esf075e50jafxwafzxe9r0" timestamp="1755918618" guid="eb32bc14-35b0-4af9-baaf-a37942a99d75"&gt;10073&lt;/key&gt;&lt;/foreign-keys&gt;&lt;ref-type name="Generic"&gt;13&lt;/ref-type&gt;&lt;contributors&gt;&lt;authors&gt;&lt;author&gt;Meld.St.,&lt;/author&gt;&lt;/authors&gt;&lt;/contributors&gt;&lt;titles&gt;&lt;title&gt;Meld. St. 32 (2016 –2017) Reindrift. Lang tradisjon – unike muligheter&lt;/title&gt;&lt;/titles&gt;&lt;dates&gt;&lt;year&gt;2017&lt;/year&gt;&lt;/dates&gt;&lt;urls&gt;&lt;related-urls&gt;&lt;url&gt;https://www.regjeringen.no/no/dokumenter/meld.-st.-32-20162017/id2547907/&lt;/url&gt;&lt;url&gt;https://www.stortinget.no/no/Saker-og-publikasjoner/Saker/Sak/?p=68488&lt;/url&gt;&lt;/related-urls&gt;&lt;/urls&gt;&lt;/record&gt;&lt;/Cite&gt;&lt;/EndNote&gt;</w:instrText>
      </w:r>
      <w:r w:rsidR="00CD439F">
        <w:fldChar w:fldCharType="separate"/>
      </w:r>
      <w:r w:rsidR="00CD439F">
        <w:rPr>
          <w:noProof/>
        </w:rPr>
        <w:t>Ibid</w:t>
      </w:r>
      <w:r w:rsidR="00CD439F">
        <w:fldChar w:fldCharType="end"/>
      </w:r>
      <w:r w:rsidR="00CD439F">
        <w:t>, 70.</w:t>
      </w:r>
    </w:p>
  </w:footnote>
  <w:footnote w:id="239">
    <w:p w14:paraId="2875894E" w14:textId="46E75689"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&lt;EndNote&gt;&lt;Cite&gt;&lt;Author&gt;Innst. S&lt;/Author&gt;&lt;Year&gt;2017&lt;/Year&gt;&lt;RecNum&gt;10196&lt;/RecNum&gt;&lt;DisplayText&gt;Innst. S, &lt;style face="italic"&gt;Innst. 377 S (2016–2017) Innstilling fra næringskomiteen om Reindrift – Lang tradisjon – unike muligheter&lt;/style&gt; (2017)&lt;/DisplayText&gt;&lt;record&gt;&lt;rec-number&gt;10196&lt;/rec-number&gt;&lt;foreign-keys&gt;&lt;key app="EN" db-id="5sffrv50pw0vx2esf075e50jafxwafzxe9r0" timestamp="1761873126" guid="b4f0bf59-07a8-4e23-affa-732051baea5f"&gt;10196&lt;/key&gt;&lt;/foreign-keys&gt;&lt;ref-type name="Generic"&gt;13&lt;/ref-type&gt;&lt;contributors&gt;&lt;authors&gt;&lt;author&gt;Innst. S,&lt;/author&gt;&lt;/authors&gt;&lt;/contributors&gt;&lt;titles&gt;&lt;title&gt;Innst. 377 S (2016–2017) Innstilling fra næringskomiteen om Reindrift – Lang tradisjon – unike muligheter&lt;/title&gt;&lt;/titles&gt;&lt;keywords&gt;&lt;keyword&gt;Miljø rovdyr urfolk samerett&lt;/keyword&gt;&lt;/keywords&gt;&lt;dates&gt;&lt;year&gt;2017&lt;/year&gt;&lt;/dates&gt;&lt;urls&gt;&lt;/urls&gt;&lt;/record&gt;&lt;/Cite&gt;&lt;/EndNote&gt;</w:instrText>
      </w:r>
      <w:r w:rsidR="00CD439F">
        <w:fldChar w:fldCharType="separate"/>
      </w:r>
      <w:r w:rsidR="00CD439F">
        <w:rPr>
          <w:noProof/>
        </w:rPr>
        <w:t xml:space="preserve">Innst. S, </w:t>
      </w:r>
      <w:r w:rsidR="00CD439F" w:rsidRPr="00CD439F">
        <w:rPr>
          <w:rStyle w:val="kursiv"/>
        </w:rPr>
        <w:t>Innst. 377 S (2016–2017) Innstilling fra næringskomiteen om Reindrift – Lang tradisjon – unike muligheter</w:t>
      </w:r>
      <w:r w:rsidR="00CD439F">
        <w:rPr>
          <w:noProof/>
        </w:rPr>
        <w:t xml:space="preserve"> (2017)</w:t>
      </w:r>
      <w:r w:rsidR="00CD439F">
        <w:fldChar w:fldCharType="end"/>
      </w:r>
      <w:r w:rsidR="00CD439F">
        <w:t>, 14.</w:t>
      </w:r>
    </w:p>
  </w:footnote>
  <w:footnote w:id="240">
    <w:p w14:paraId="45900DD7" w14:textId="419E0C8C"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&lt;EndNote&gt;&lt;Cite&gt;&lt;Author&gt;Riksrevisjonen&lt;/Author&gt;&lt;Year&gt;2018&lt;/Year&gt;&lt;RecNum&gt;10090&lt;/RecNum&gt;&lt;DisplayText&gt;Riksrevisjonen, &lt;style face="italic"&gt;Riksrevisjonens undersøkelse av rovviltforvaltningen. Dokument 3:13 (2018–2019)&lt;/style&gt;&lt;/DisplayText&gt;&lt;record&gt;&lt;rec-number&gt;10090&lt;/rec-number&gt;&lt;foreign-keys&gt;&lt;key app="EN" db-id="5sffrv50pw0vx2esf075e50jafxwafzxe9r0" timestamp="1755918724" guid="64ba2532-8164-401a-9640-bd5bf6d249ec"&gt;10090&lt;/key&gt;&lt;/foreign-keys&gt;&lt;ref-type name="Report"&gt;27&lt;/ref-type&gt;&lt;contributors&gt;&lt;authors&gt;&lt;author&gt;Riksrevisjonen&lt;/author&gt;&lt;/authors&gt;&lt;/contributors&gt;&lt;titles&gt;&lt;title&gt;Riksrevisjonens undersøkelse av rovviltforvaltningen. Dokument 3:13 (2018–2019)&lt;/title&gt;&lt;/titles&gt;&lt;keywords&gt;&lt;keyword&gt;Miljø rovvilt urfolksrett samerett&lt;/keyword&gt;&lt;/keywords&gt;&lt;dates&gt;&lt;year&gt;2018&lt;/year&gt;&lt;/dates&gt;&lt;urls&gt;&lt;related-urls&gt;&lt;url&gt;https://www.stortinget.no/globalassets/pdf/dokumentserien/2019-2020/dok-3-13-2018-2019.pdf&lt;/url&gt;&lt;url&gt;https://www.stortinget.no/no/Saker-og-publikasjoner/Saker/Sak/?p=76596&lt;/url&gt;&lt;/related-urls&gt;&lt;/urls&gt;&lt;/record&gt;&lt;/Cite&gt;&lt;/EndNote&gt;</w:instrText>
      </w:r>
      <w:r w:rsidR="00CD439F">
        <w:fldChar w:fldCharType="separate"/>
      </w:r>
      <w:r w:rsidR="00CD439F">
        <w:rPr>
          <w:noProof/>
        </w:rPr>
        <w:t xml:space="preserve">Riksrevisjonen, </w:t>
      </w:r>
      <w:r w:rsidR="00CD439F" w:rsidRPr="00CD439F">
        <w:rPr>
          <w:rStyle w:val="kursiv"/>
        </w:rPr>
        <w:t>Riksrevisjonens undersøkelse av rovviltforvaltningen. Dokument 3:13 (2018–2019)</w:t>
      </w:r>
      <w:r w:rsidR="00CD439F">
        <w:fldChar w:fldCharType="end"/>
      </w:r>
      <w:r w:rsidR="00CD439F">
        <w:t>, s. 10-11.</w:t>
      </w:r>
    </w:p>
  </w:footnote>
  <w:footnote w:id="241">
    <w:p w14:paraId="326354EB" w14:textId="07E59FC3"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&lt;EndNote&gt;&lt;Cite&gt;&lt;Author&gt;Riksrevisjonen&lt;/Author&gt;&lt;Year&gt;2018&lt;/Year&gt;&lt;RecNum&gt;10090&lt;/RecNum&gt;&lt;DisplayText&gt;Ibid&lt;/DisplayText&gt;&lt;record&gt;&lt;rec-number&gt;10090&lt;/rec-number&gt;&lt;foreign-keys&gt;&lt;key app="EN" db-id="5sffrv50pw0vx2esf075e50jafxwafzxe9r0" timestamp="1755918724" guid="64ba2532-8164-401a-9640-bd5bf6d249ec"&gt;10090&lt;/key&gt;&lt;/foreign-keys&gt;&lt;ref-type name="Report"&gt;27&lt;/ref-type&gt;&lt;contributors&gt;&lt;authors&gt;&lt;author&gt;Riksrevisjonen&lt;/author&gt;&lt;/authors&gt;&lt;/contributors&gt;&lt;titles&gt;&lt;title&gt;Riksrevisjonens undersøkelse av rovviltforvaltningen. Dokument 3:13 (2018–2019)&lt;/title&gt;&lt;/titles&gt;&lt;keywords&gt;&lt;keyword&gt;Miljø rovvilt urfolksrett samerett&lt;/keyword&gt;&lt;/keywords&gt;&lt;dates&gt;&lt;year&gt;2018&lt;/year&gt;&lt;/dates&gt;&lt;urls&gt;&lt;related-urls&gt;&lt;url&gt;https://www.stortinget.no/globalassets/pdf/dokumentserien/2019-2020/dok-3-13-2018-2019.pdf&lt;/url&gt;&lt;url&gt;https://www.stortinget.no/no/Saker-og-publikasjoner/Saker/Sak/?p=76596&lt;/url&gt;&lt;/related-urls&gt;&lt;/urls&gt;&lt;/record&gt;&lt;/Cite&gt;&lt;/EndNote&gt;</w:instrText>
      </w:r>
      <w:r w:rsidR="00CD439F">
        <w:fldChar w:fldCharType="separate"/>
      </w:r>
      <w:r w:rsidR="00CD439F">
        <w:rPr>
          <w:noProof/>
        </w:rPr>
        <w:t>Ibid</w:t>
      </w:r>
      <w:r w:rsidR="00CD439F">
        <w:fldChar w:fldCharType="end"/>
      </w:r>
      <w:r w:rsidR="00CD439F">
        <w:t>, 8, se også s. 12.</w:t>
      </w:r>
    </w:p>
  </w:footnote>
  <w:footnote w:id="242">
    <w:p w14:paraId="2FFE63BA" w14:textId="4FA78D6D" w:rsidR="00CD439F" w:rsidRPr="00591E4B" w:rsidRDefault="00404399" w:rsidP="00CD439F">
      <w:pPr>
        <w:pStyle w:val="Fotnotetekst"/>
      </w:pPr>
      <w:r w:rsidRPr="00CD439F">
        <w:rPr>
          <w:rStyle w:val="Fotnotereferanse"/>
        </w:rPr>
        <w:footnoteRef/>
      </w:r>
      <w:r>
        <w:rPr>
          <w:rStyle w:val="Fotnotereferanse"/>
        </w:rPr>
        <w:t xml:space="preserve"> </w:t>
      </w:r>
      <w:r w:rsidR="00CD439F" w:rsidRPr="00591E4B">
        <w:fldChar w:fldCharType="begin"/>
      </w:r>
      <w:r w:rsidR="00CD439F">
        <w:instrText xml:space="preserve"> ADDIN EN.CITE &lt;EndNote&gt;&lt;Cite&gt;&lt;Author&gt;Hansen&lt;/Author&gt;&lt;Year&gt;2021&lt;/Year&gt;&lt;RecNum&gt;10069&lt;/RecNum&gt;&lt;DisplayText&gt;Hansen and others, &lt;style face="italic"&gt;Kartlegging av forskning på reindriftsområdet – kunnskapsgrunnlag og forskningsbehov&lt;/style&gt;&lt;/DisplayText&gt;&lt;record&gt;&lt;rec-number&gt;10069&lt;/rec-number&gt;&lt;foreign-keys&gt;&lt;key app="EN" db-id="5sffrv50pw0vx2esf075e50jafxwafzxe9r0" timestamp="1755918589" guid="36e25ac2-8d21-4112-9e82-966e74e9e770"&gt;10069&lt;/key&gt;&lt;/foreign-keys&gt;&lt;ref-type name="Generic"&gt;13&lt;/ref-type&gt;&lt;contributors&gt;&lt;authors&gt;&lt;author&gt;Hansen, Inger&lt;/author&gt;&lt;author&gt;Eilertsen, Svein Morten&lt;/author&gt;&lt;author&gt;Kapfer, Jutta&lt;/author&gt;&lt;author&gt;Wagner, Gabriela&lt;/author&gt;&lt;author&gt;Bjørn, Tor-Arne&lt;/author&gt;&lt;author&gt;Smuk, Stig Rune&lt;/author&gt;&lt;author&gt;Ystad, Eystein&lt;/author&gt;&lt;author&gt;Tenge, Ingrid&lt;/author&gt;&lt;/authors&gt;&lt;/contributors&gt;&lt;titles&gt;&lt;title&gt;Kartlegging av forskning på reindriftsområdet – kunnskapsgrunnlag og forskningsbehov&lt;/title&gt;&lt;/titles&gt;&lt;keywords&gt;&lt;keyword&gt;Miljø urfolk samerett rovvilt&lt;/keyword&gt;&lt;/keywords&gt;&lt;dates&gt;&lt;year&gt;2021&lt;/year&gt;&lt;/dates&gt;&lt;publisher&gt;NIBIO&lt;/publisher&gt;&lt;isbn&gt;2464-1162&amp;#xD;978-82-17-02960-1&lt;/isbn&gt;&lt;urls&gt;&lt;/urls&gt;&lt;research-notes&gt;https://nibio.brage.unit.no/nibio-xmlui/bitstream/handle/11250/2835162/NIBIO_RAPPORT_2021_7_187.pdf?sequence=3&amp;amp;isAllowed=y&lt;/research-notes&gt;&lt;/record&gt;&lt;/Cite&gt;&lt;/EndNote&gt;</w:instrText>
      </w:r>
      <w:r w:rsidR="00CD439F" w:rsidRPr="00591E4B">
        <w:fldChar w:fldCharType="separate"/>
      </w:r>
      <w:r w:rsidR="00CD439F">
        <w:rPr>
          <w:noProof/>
        </w:rPr>
        <w:t xml:space="preserve">Hansen and others, </w:t>
      </w:r>
      <w:r w:rsidR="00CD439F" w:rsidRPr="00CD439F">
        <w:rPr>
          <w:rStyle w:val="kursiv"/>
        </w:rPr>
        <w:t>Kartlegging av forskning på reindriftsområdet – kunnskapsgrunnlag og forskningsbehov</w:t>
      </w:r>
      <w:r w:rsidR="00CD439F" w:rsidRPr="00591E4B">
        <w:fldChar w:fldCharType="end"/>
      </w:r>
      <w:r w:rsidR="00CD439F" w:rsidRPr="04C45840">
        <w:rPr>
          <w:rFonts w:cs="Times New Roman"/>
        </w:rPr>
        <w:t>., 24-26 (uthevet her).</w:t>
      </w:r>
    </w:p>
  </w:footnote>
  <w:footnote w:id="243">
    <w:p w14:paraId="5B8D0556" w14:textId="6FFF108D"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&lt;EndNote&gt;&lt;Cite&gt;&lt;Author&gt;Prop. S&lt;/Author&gt;&lt;Year&gt;2025&lt;/Year&gt;&lt;RecNum&gt;10246&lt;/RecNum&gt;&lt;DisplayText&gt;Prop. S, &lt;style face="italic"&gt;Prop. 143 S 2024–2025 Endringer i statsbudsjettet 2025 under Landbruks- og matdepartementet. (Reindriftsavtalen 2025/2026)&lt;/style&gt;&lt;/DisplayText&gt;&lt;record&gt;&lt;rec-number&gt;10246&lt;/rec-number&gt;&lt;foreign-keys&gt;&lt;key app="EN" db-id="5sffrv50pw0vx2esf075e50jafxwafzxe9r0" timestamp="1768398735" guid="cd0ddbfb-e954-4d08-b8dc-aa8c7aff6562"&gt;10246&lt;/key&gt;&lt;/foreign-keys&gt;&lt;ref-type name="Generic"&gt;13&lt;/ref-type&gt;&lt;contributors&gt;&lt;authors&gt;&lt;author&gt;Prop. S,&lt;/author&gt;&lt;/authors&gt;&lt;/contributors&gt;&lt;titles&gt;&lt;title&gt;Prop. 143 S 2024–2025 Endringer i statsbudsjettet 2025 under Landbruks- og matdepartementet. (Reindriftsavtalen 2025/2026)&lt;/title&gt;&lt;/titles&gt;&lt;keywords&gt;&lt;keyword&gt;Urfolk reindrift&lt;/keyword&gt;&lt;/keywords&gt;&lt;dates&gt;&lt;year&gt;2025&lt;/year&gt;&lt;/dates&gt;&lt;urls&gt;&lt;related-urls&gt;&lt;url&gt;https://www.stortinget.no/no/Saker-og-publikasjoner/Saker/Sak/?p=103532&amp;amp;target=case-status&lt;/url&gt;&lt;/related-urls&gt;&lt;/urls&gt;&lt;/record&gt;&lt;/Cite&gt;&lt;/EndNote&gt;</w:instrText>
      </w:r>
      <w:r w:rsidR="00CD439F">
        <w:fldChar w:fldCharType="separate"/>
      </w:r>
      <w:r w:rsidR="00CD439F">
        <w:rPr>
          <w:noProof/>
        </w:rPr>
        <w:t xml:space="preserve">Prop. S, </w:t>
      </w:r>
      <w:r w:rsidR="00CD439F" w:rsidRPr="00CD439F">
        <w:rPr>
          <w:rStyle w:val="kursiv"/>
        </w:rPr>
        <w:t>Prop. 143 S 2024–2025 Endringer i statsbudsjettet 2025 under Landbruks- og matdepartementet. (Reindriftsavtalen 2025/2026)</w:t>
      </w:r>
      <w:r w:rsidR="00CD439F">
        <w:fldChar w:fldCharType="end"/>
      </w:r>
      <w:r w:rsidR="00CD439F">
        <w:t>, s. 21-22.</w:t>
      </w:r>
    </w:p>
  </w:footnote>
  <w:footnote w:id="244">
    <w:p w14:paraId="409C562F" w14:textId="790D3957"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&lt;EndNote&gt;&lt;Cite&gt;&lt;Author&gt;Miljødirektoratet og Landbruksdirektoratet&lt;/Author&gt;&lt;Year&gt;2024&lt;/Year&gt;&lt;RecNum&gt;10106&lt;/RecNum&gt;&lt;DisplayText&gt;Miljødirektoratet og Landbruksdirektoratet, &lt;style face="italic"&gt;Oppdrag rovvilt og tamrein 2024&lt;/style&gt;&lt;/DisplayText&gt;&lt;record&gt;&lt;rec-number&gt;10106&lt;/rec-number&gt;&lt;foreign-keys&gt;&lt;key app="EN" db-id="5sffrv50pw0vx2esf075e50jafxwafzxe9r0" timestamp="1755918766" guid="33eacc79-b958-4a96-adfb-851587f61556"&gt;10106&lt;/key&gt;&lt;/foreign-keys&gt;&lt;ref-type name="Generic"&gt;13&lt;/ref-type&gt;&lt;contributors&gt;&lt;authors&gt;&lt;author&gt;Miljødirektoratet og Landbruksdirektoratet,&lt;/author&gt;&lt;/authors&gt;&lt;/contributors&gt;&lt;titles&gt;&lt;title&gt;Oppdrag rovvilt og tamrein 2024&lt;/title&gt;&lt;/titles&gt;&lt;keywords&gt;&lt;keyword&gt;Miljø urfolk samerett rovvilt&lt;/keyword&gt;&lt;/keywords&gt;&lt;dates&gt;&lt;year&gt;2024&lt;/year&gt;&lt;/dates&gt;&lt;urls&gt;&lt;related-urls&gt;&lt;url&gt;https://www.miljodirektoratet.no/sharepoint/downloaditem/?id=01FM3LD2SHSKOH6UHAGFHJTMMMYFVELDLA&lt;/url&gt;&lt;/related-urls&gt;&lt;/urls&gt;&lt;/record&gt;&lt;/Cite&gt;&lt;/EndNote&gt;</w:instrText>
      </w:r>
      <w:r w:rsidR="00CD439F">
        <w:fldChar w:fldCharType="separate"/>
      </w:r>
      <w:r w:rsidR="00CD439F">
        <w:rPr>
          <w:noProof/>
        </w:rPr>
        <w:t xml:space="preserve">Miljødirektoratet og Landbruksdirektoratet, </w:t>
      </w:r>
      <w:r w:rsidR="00CD439F" w:rsidRPr="00CD439F">
        <w:rPr>
          <w:rStyle w:val="kursiv"/>
        </w:rPr>
        <w:t>Oppdrag rovvilt og tamrein 2024</w:t>
      </w:r>
      <w:r w:rsidR="00CD439F">
        <w:fldChar w:fldCharType="end"/>
      </w:r>
      <w:r w:rsidR="00CD439F">
        <w:t>., s. 7 (uthevet her).</w:t>
      </w:r>
    </w:p>
  </w:footnote>
  <w:footnote w:id="245">
    <w:p w14:paraId="67D1C818" w14:textId="3F7DCBA3" w:rsidR="00CD439F" w:rsidRPr="00C6720D"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rsidRPr="00C6720D">
        <w:instrText xml:space="preserve"> ADDIN EN.CITE &lt;EndNote&gt;&lt;Cite&gt;&lt;Author&gt;Miljødirektoratet og Landbruksdirektoratet&lt;/Author&gt;&lt;Year&gt;2024&lt;/Year&gt;&lt;RecNum&gt;10106&lt;/RecNum&gt;&lt;DisplayText&gt;Ibid&lt;/DisplayText&gt;&lt;record&gt;&lt;rec-number&gt;10106&lt;/rec-number&gt;&lt;foreign-keys&gt;&lt;key app="EN" db-id="5sffrv50pw0vx2esf075e50jafxwafzxe9r0" timestamp="1755918766" guid="33eacc79-b958-4a96-adfb-851587f61556"&gt;10106&lt;/key&gt;&lt;/foreign-keys&gt;&lt;ref-type name="Generic"&gt;13&lt;/ref-type&gt;&lt;contributors&gt;&lt;authors&gt;&lt;author&gt;Miljødirektoratet og Landbruksdirektoratet,&lt;/author&gt;&lt;/authors&gt;&lt;/contributors&gt;&lt;titles&gt;&lt;title&gt;Oppdrag rovvilt og tamrein 2024&lt;/title&gt;&lt;/titles&gt;&lt;keywords&gt;&lt;keyword&gt;Miljø urfolk samerett rovvilt&lt;/keyword&gt;&lt;/keywords&gt;&lt;dates&gt;&lt;year&gt;2024&lt;/year&gt;&lt;/dates&gt;&lt;urls&gt;&lt;related-urls&gt;&lt;url&gt;https://www.miljodirektoratet.no/sharepoint/downloaditem/?id=01FM3LD2SHSKOH6UHAGFHJTMMMYFVELDLA&lt;/url&gt;&lt;/related-urls&gt;&lt;/urls&gt;&lt;/record&gt;&lt;/Cite&gt;&lt;/EndNote&gt;</w:instrText>
      </w:r>
      <w:r w:rsidR="00CD439F">
        <w:fldChar w:fldCharType="separate"/>
      </w:r>
      <w:r w:rsidR="00CD439F" w:rsidRPr="00C6720D">
        <w:rPr>
          <w:noProof/>
        </w:rPr>
        <w:t>Ibid</w:t>
      </w:r>
      <w:r w:rsidR="00CD439F">
        <w:fldChar w:fldCharType="end"/>
      </w:r>
      <w:r w:rsidR="00CD439F" w:rsidRPr="00C6720D">
        <w:t>., s. 7.</w:t>
      </w:r>
    </w:p>
  </w:footnote>
  <w:footnote w:id="246">
    <w:p w14:paraId="60556DB3" w14:textId="08CD2273" w:rsidR="00CD439F" w:rsidRPr="00C6720D"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rsidRPr="00C6720D">
        <w:instrText xml:space="preserve"> ADDIN EN.CITE &lt;EndNote&gt;&lt;Cite&gt;&lt;Author&gt;Miljødirektoratet og Landbruksdirektoratet&lt;/Author&gt;&lt;Year&gt;2024&lt;/Year&gt;&lt;RecNum&gt;10106&lt;/RecNum&gt;&lt;DisplayText&gt;Ibid&lt;/DisplayText&gt;&lt;record&gt;&lt;rec-number&gt;10106&lt;/rec-number&gt;&lt;foreign-keys&gt;&lt;key app="EN" db-id="5sffrv50pw0vx2esf075e50jafxwafzxe9r0" timestamp="1755918766" guid="33eacc79-b958-4a96-adfb-851587f61556"&gt;10106&lt;/key&gt;&lt;/foreign-keys&gt;&lt;ref-type name="Generic"&gt;13&lt;/ref-type&gt;&lt;contributors&gt;&lt;authors&gt;&lt;author&gt;Miljødirektoratet og Landbruksdirektoratet,&lt;/author&gt;&lt;/authors&gt;&lt;/contributors&gt;&lt;titles&gt;&lt;title&gt;Oppdrag rovvilt og tamrein 2024&lt;/title&gt;&lt;/titles&gt;&lt;keywords&gt;&lt;keyword&gt;Miljø urfolk samerett rovvilt&lt;/keyword&gt;&lt;/keywords&gt;&lt;dates&gt;&lt;year&gt;2024&lt;/year&gt;&lt;/dates&gt;&lt;urls&gt;&lt;related-urls&gt;&lt;url&gt;https://www.miljodirektoratet.no/sharepoint/downloaditem/?id=01FM3LD2SHSKOH6UHAGFHJTMMMYFVELDLA&lt;/url&gt;&lt;/related-urls&gt;&lt;/urls&gt;&lt;/record&gt;&lt;/Cite&gt;&lt;/EndNote&gt;</w:instrText>
      </w:r>
      <w:r w:rsidR="00CD439F">
        <w:fldChar w:fldCharType="separate"/>
      </w:r>
      <w:r w:rsidR="00CD439F" w:rsidRPr="00C6720D">
        <w:rPr>
          <w:noProof/>
        </w:rPr>
        <w:t>Ibid</w:t>
      </w:r>
      <w:r w:rsidR="00CD439F">
        <w:fldChar w:fldCharType="end"/>
      </w:r>
      <w:r w:rsidR="00CD439F" w:rsidRPr="00C6720D">
        <w:t>., s</w:t>
      </w:r>
      <w:r w:rsidR="00CD439F" w:rsidRPr="00811DB4">
        <w:t>. 8 (uthevet her).</w:t>
      </w:r>
    </w:p>
  </w:footnote>
  <w:footnote w:id="247">
    <w:p w14:paraId="146EB73B" w14:textId="13116CE4"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&lt;EndNote&gt;&lt;Cite&gt;&lt;Author&gt;Riksrevisjonen&lt;/Author&gt;&lt;Year&gt;2018&lt;/Year&gt;&lt;RecNum&gt;10090&lt;/RecNum&gt;&lt;DisplayText&gt;Riksrevisjonen, &lt;style face="italic"&gt;Riksrevisjonens undersøkelse av rovviltforvaltningen. Dokument 3:13 (2018–2019)&lt;/style&gt;&lt;/DisplayText&gt;&lt;record&gt;&lt;rec-number&gt;10090&lt;/rec-number&gt;&lt;foreign-keys&gt;&lt;key app="EN" db-id="5sffrv50pw0vx2esf075e50jafxwafzxe9r0" timestamp="1755918724" guid="64ba2532-8164-401a-9640-bd5bf6d249ec"&gt;10090&lt;/key&gt;&lt;/foreign-keys&gt;&lt;ref-type name="Report"&gt;27&lt;/ref-type&gt;&lt;contributors&gt;&lt;authors&gt;&lt;author&gt;Riksrevisjonen&lt;/author&gt;&lt;/authors&gt;&lt;/contributors&gt;&lt;titles&gt;&lt;title&gt;Riksrevisjonens undersøkelse av rovviltforvaltningen. Dokument 3:13 (2018–2019)&lt;/title&gt;&lt;/titles&gt;&lt;keywords&gt;&lt;keyword&gt;Miljø rovvilt urfolksrett samerett&lt;/keyword&gt;&lt;/keywords&gt;&lt;dates&gt;&lt;year&gt;2018&lt;/year&gt;&lt;/dates&gt;&lt;urls&gt;&lt;related-urls&gt;&lt;url&gt;https://www.stortinget.no/globalassets/pdf/dokumentserien/2019-2020/dok-3-13-2018-2019.pdf&lt;/url&gt;&lt;url&gt;https://www.stortinget.no/no/Saker-og-publikasjoner/Saker/Sak/?p=76596&lt;/url&gt;&lt;/related-urls&gt;&lt;/urls&gt;&lt;/record&gt;&lt;/Cite&gt;&lt;/EndNote&gt;</w:instrText>
      </w:r>
      <w:r w:rsidR="00CD439F">
        <w:fldChar w:fldCharType="separate"/>
      </w:r>
      <w:r w:rsidR="00CD439F">
        <w:rPr>
          <w:noProof/>
        </w:rPr>
        <w:t xml:space="preserve">Riksrevisjonen, </w:t>
      </w:r>
      <w:r w:rsidR="00CD439F" w:rsidRPr="00CD439F">
        <w:rPr>
          <w:rStyle w:val="kursiv"/>
        </w:rPr>
        <w:t>Riksrevisjonens undersøkelse av rovviltforvaltningen. Dokument 3:13 (2018–2019)</w:t>
      </w:r>
      <w:r w:rsidR="00CD439F">
        <w:fldChar w:fldCharType="end"/>
      </w:r>
      <w:r w:rsidR="00CD439F">
        <w:t>, s. 8.</w:t>
      </w:r>
    </w:p>
  </w:footnote>
  <w:footnote w:id="248">
    <w:p w14:paraId="786645F3" w14:textId="691188D7"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&lt;EndNote&gt;&lt;Cite&gt;&lt;Author&gt;Riksrevisjonen&lt;/Author&gt;&lt;Year&gt;2018&lt;/Year&gt;&lt;RecNum&gt;10090&lt;/RecNum&gt;&lt;DisplayText&gt;Ibid&lt;/DisplayText&gt;&lt;record&gt;&lt;rec-number&gt;10090&lt;/rec-number&gt;&lt;foreign-keys&gt;&lt;key app="EN" db-id="5sffrv50pw0vx2esf075e50jafxwafzxe9r0" timestamp="1755918724" guid="64ba2532-8164-401a-9640-bd5bf6d249ec"&gt;10090&lt;/key&gt;&lt;/foreign-keys&gt;&lt;ref-type name="Report"&gt;27&lt;/ref-type&gt;&lt;contributors&gt;&lt;authors&gt;&lt;author&gt;Riksrevisjonen&lt;/author&gt;&lt;/authors&gt;&lt;/contributors&gt;&lt;titles&gt;&lt;title&gt;Riksrevisjonens undersøkelse av rovviltforvaltningen. Dokument 3:13 (2018–2019)&lt;/title&gt;&lt;/titles&gt;&lt;keywords&gt;&lt;keyword&gt;Miljø rovvilt urfolksrett samerett&lt;/keyword&gt;&lt;/keywords&gt;&lt;dates&gt;&lt;year&gt;2018&lt;/year&gt;&lt;/dates&gt;&lt;urls&gt;&lt;related-urls&gt;&lt;url&gt;https://www.stortinget.no/globalassets/pdf/dokumentserien/2019-2020/dok-3-13-2018-2019.pdf&lt;/url&gt;&lt;url&gt;https://www.stortinget.no/no/Saker-og-publikasjoner/Saker/Sak/?p=76596&lt;/url&gt;&lt;/related-urls&gt;&lt;/urls&gt;&lt;/record&gt;&lt;/Cite&gt;&lt;/EndNote&gt;</w:instrText>
      </w:r>
      <w:r w:rsidR="00CD439F">
        <w:fldChar w:fldCharType="separate"/>
      </w:r>
      <w:r w:rsidR="00CD439F">
        <w:rPr>
          <w:noProof/>
        </w:rPr>
        <w:t>Ibid</w:t>
      </w:r>
      <w:r w:rsidR="00CD439F">
        <w:fldChar w:fldCharType="end"/>
      </w:r>
      <w:r w:rsidR="00CD439F">
        <w:t>., s. 159.</w:t>
      </w:r>
    </w:p>
  </w:footnote>
  <w:footnote w:id="249">
    <w:p w14:paraId="5EC7B418" w14:textId="454EF68B"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&lt;EndNote&gt;&lt;Cite&gt;&lt;Author&gt;Miljødirektoratet og Landbruksdirektoratet&lt;/Author&gt;&lt;Year&gt;2024&lt;/Year&gt;&lt;RecNum&gt;10106&lt;/RecNum&gt;&lt;DisplayText&gt;Miljødirektoratet og Landbruksdirektoratet, &lt;style face="italic"&gt;Oppdrag rovvilt og tamrein 2024&lt;/style&gt;&lt;/DisplayText&gt;&lt;record&gt;&lt;rec-number&gt;10106&lt;/rec-number&gt;&lt;foreign-keys&gt;&lt;key app="EN" db-id="5sffrv50pw0vx2esf075e50jafxwafzxe9r0" timestamp="1755918766" guid="33eacc79-b958-4a96-adfb-851587f61556"&gt;10106&lt;/key&gt;&lt;/foreign-keys&gt;&lt;ref-type name="Generic"&gt;13&lt;/ref-type&gt;&lt;contributors&gt;&lt;authors&gt;&lt;author&gt;Miljødirektoratet og Landbruksdirektoratet,&lt;/author&gt;&lt;/authors&gt;&lt;/contributors&gt;&lt;titles&gt;&lt;title&gt;Oppdrag rovvilt og tamrein 2024&lt;/title&gt;&lt;/titles&gt;&lt;keywords&gt;&lt;keyword&gt;Miljø urfolk samerett rovvilt&lt;/keyword&gt;&lt;/keywords&gt;&lt;dates&gt;&lt;year&gt;2024&lt;/year&gt;&lt;/dates&gt;&lt;urls&gt;&lt;related-urls&gt;&lt;url&gt;https://www.miljodirektoratet.no/sharepoint/downloaditem/?id=01FM3LD2SHSKOH6UHAGFHJTMMMYFVELDLA&lt;/url&gt;&lt;/related-urls&gt;&lt;/urls&gt;&lt;/record&gt;&lt;/Cite&gt;&lt;/EndNote&gt;</w:instrText>
      </w:r>
      <w:r w:rsidR="00CD439F">
        <w:fldChar w:fldCharType="separate"/>
      </w:r>
      <w:r w:rsidR="00CD439F">
        <w:rPr>
          <w:noProof/>
        </w:rPr>
        <w:t xml:space="preserve">Miljødirektoratet og Landbruksdirektoratet, </w:t>
      </w:r>
      <w:r w:rsidR="00CD439F" w:rsidRPr="00CD439F">
        <w:rPr>
          <w:rStyle w:val="kursiv"/>
        </w:rPr>
        <w:t>Oppdrag rovvilt og tamrein 2024</w:t>
      </w:r>
      <w:r w:rsidR="00CD439F">
        <w:fldChar w:fldCharType="end"/>
      </w:r>
      <w:r w:rsidR="00CD439F">
        <w:t>, s. 8 og 13.</w:t>
      </w:r>
    </w:p>
  </w:footnote>
  <w:footnote w:id="250">
    <w:p w14:paraId="49AA4CDC" w14:textId="11AC9C05" w:rsidR="00CD439F" w:rsidRDefault="00404399" w:rsidP="00CD439F">
      <w:pPr>
        <w:pStyle w:val="Fotnotetekst"/>
      </w:pPr>
      <w:r w:rsidRPr="00CD439F">
        <w:rPr>
          <w:rStyle w:val="Fotnotereferanse"/>
        </w:rPr>
        <w:footnoteRef/>
      </w:r>
      <w:r>
        <w:rPr>
          <w:rStyle w:val="Fotnotereferanse"/>
        </w:rPr>
        <w:t xml:space="preserve"> </w:t>
      </w:r>
      <w:r w:rsidR="00CD439F" w:rsidRPr="04C45840">
        <w:t>Dokument 8:163 S (2010</w:t>
      </w:r>
      <w:r w:rsidR="00CD439F">
        <w:t>–</w:t>
      </w:r>
      <w:r w:rsidR="00CD439F" w:rsidRPr="04C45840">
        <w:t>2011) Representantforslag om endringer i forvaltningen av rovvilt (rovviltforliket) (uthevet her).</w:t>
      </w:r>
    </w:p>
  </w:footnote>
  <w:footnote w:id="251">
    <w:p w14:paraId="5F462F01" w14:textId="2FAD195E"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&lt;EndNote&gt;&lt;Cite&gt;&lt;Author&gt;Hansen&lt;/Author&gt;&lt;Year&gt;2019&lt;/Year&gt;&lt;RecNum&gt;10088&lt;/RecNum&gt;&lt;DisplayText&gt;Hansen and others, &lt;style face="italic"&gt;Tap av tamrein - et kunnskapsgrunnlag&lt;/style&gt;&lt;/DisplayText&gt;&lt;record&gt;&lt;rec-number&gt;10088&lt;/rec-number&gt;&lt;foreign-keys&gt;&lt;key app="EN" db-id="5sffrv50pw0vx2esf075e50jafxwafzxe9r0" timestamp="1755918717" guid="3f47a105-3622-46a5-9deb-575ee6ee7022"&gt;10088&lt;/key&gt;&lt;/foreign-keys&gt;&lt;ref-type name="Report"&gt;27&lt;/ref-type&gt;&lt;contributors&gt;&lt;authors&gt;&lt;author&gt;Hansen, Inger&lt;/author&gt;&lt;author&gt;Eilertsen, Svein Morten&lt;/author&gt;&lt;author&gt;Sørensen, Ole Jakob&lt;/author&gt;&lt;author&gt;Mørk, Torill&lt;/author&gt;&lt;author&gt;Bråthen, Kari Anne&lt;/author&gt;&lt;author&gt;Johansen, Bernt&lt;/author&gt;&lt;author&gt;Moa, Pål Fossland&lt;/author&gt;&lt;author&gt;Risvoll, Camilla&lt;/author&gt;&lt;author&gt;Sandström, Camilla&lt;/author&gt;&lt;author&gt;Winje, Erlend&lt;/author&gt;&lt;/authors&gt;&lt;/contributors&gt;&lt;titles&gt;&lt;title&gt;Tap av tamrein - et kunnskapsgrunnlag&lt;/title&gt;&lt;/titles&gt;&lt;volume&gt;5&lt;/volume&gt;&lt;number&gt;174&lt;/number&gt;&lt;keywords&gt;&lt;keyword&gt;Urfolksrett rovvilt rein&lt;/keyword&gt;&lt;/keywords&gt;&lt;dates&gt;&lt;year&gt;2019&lt;/year&gt;&lt;/dates&gt;&lt;publisher&gt;NIBIO&lt;/publisher&gt;&lt;isbn&gt;2464-1162&amp;#xD;978-82-17-02478-1&lt;/isbn&gt;&lt;urls&gt;&lt;/urls&gt;&lt;research-notes&gt;https://nibio.brage.unit.no/nibio-xmlui/handle/11250/2644088&lt;/research-notes&gt;&lt;/record&gt;&lt;/Cite&gt;&lt;/EndNote&gt;</w:instrText>
      </w:r>
      <w:r w:rsidR="00CD439F">
        <w:fldChar w:fldCharType="separate"/>
      </w:r>
      <w:r w:rsidR="00CD439F">
        <w:rPr>
          <w:noProof/>
        </w:rPr>
        <w:t xml:space="preserve">Hansen and others, </w:t>
      </w:r>
      <w:r w:rsidR="00CD439F" w:rsidRPr="00CD439F">
        <w:rPr>
          <w:rStyle w:val="kursiv"/>
        </w:rPr>
        <w:t>Tap av tamrein – et kunnskapsgrunnlag</w:t>
      </w:r>
      <w:r w:rsidR="00CD439F">
        <w:fldChar w:fldCharType="end"/>
      </w:r>
      <w:proofErr w:type="spellStart"/>
      <w:r w:rsidR="00CD439F">
        <w:t>.s</w:t>
      </w:r>
      <w:proofErr w:type="spellEnd"/>
      <w:r w:rsidR="00CD439F">
        <w:t>. 13.</w:t>
      </w:r>
    </w:p>
  </w:footnote>
  <w:footnote w:id="252">
    <w:p w14:paraId="58D01D07" w14:textId="04C85BF3"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&lt;EndNote&gt;&lt;Cite&gt;&lt;Author&gt;Miljødirektoratet og Landbruksdirektoratet&lt;/Author&gt;&lt;Year&gt;2024&lt;/Year&gt;&lt;RecNum&gt;10106&lt;/RecNum&gt;&lt;DisplayText&gt;Miljødirektoratet og Landbruksdirektoratet, &lt;style face="italic"&gt;Oppdrag rovvilt og tamrein 2024&lt;/style&gt;&lt;/DisplayText&gt;&lt;record&gt;&lt;rec-number&gt;10106&lt;/rec-number&gt;&lt;foreign-keys&gt;&lt;key app="EN" db-id="5sffrv50pw0vx2esf075e50jafxwafzxe9r0" timestamp="1755918766" guid="33eacc79-b958-4a96-adfb-851587f61556"&gt;10106&lt;/key&gt;&lt;/foreign-keys&gt;&lt;ref-type name="Generic"&gt;13&lt;/ref-type&gt;&lt;contributors&gt;&lt;authors&gt;&lt;author&gt;Miljødirektoratet og Landbruksdirektoratet,&lt;/author&gt;&lt;/authors&gt;&lt;/contributors&gt;&lt;titles&gt;&lt;title&gt;Oppdrag rovvilt og tamrein 2024&lt;/title&gt;&lt;/titles&gt;&lt;keywords&gt;&lt;keyword&gt;Miljø urfolk samerett rovvilt&lt;/keyword&gt;&lt;/keywords&gt;&lt;dates&gt;&lt;year&gt;2024&lt;/year&gt;&lt;/dates&gt;&lt;urls&gt;&lt;related-urls&gt;&lt;url&gt;https://www.miljodirektoratet.no/sharepoint/downloaditem/?id=01FM3LD2SHSKOH6UHAGFHJTMMMYFVELDLA&lt;/url&gt;&lt;/related-urls&gt;&lt;/urls&gt;&lt;/record&gt;&lt;/Cite&gt;&lt;/EndNote&gt;</w:instrText>
      </w:r>
      <w:r w:rsidR="00CD439F">
        <w:fldChar w:fldCharType="separate"/>
      </w:r>
      <w:r w:rsidR="00CD439F">
        <w:rPr>
          <w:noProof/>
        </w:rPr>
        <w:t xml:space="preserve">Miljødirektoratet og Landbruksdirektoratet, </w:t>
      </w:r>
      <w:r w:rsidR="00CD439F" w:rsidRPr="00CD439F">
        <w:rPr>
          <w:rStyle w:val="kursiv"/>
        </w:rPr>
        <w:t>Oppdrag rovvilt og tamrein 2024</w:t>
      </w:r>
      <w:r w:rsidR="00CD439F">
        <w:fldChar w:fldCharType="end"/>
      </w:r>
      <w:r w:rsidR="00CD439F">
        <w:t xml:space="preserve"> (sammendraget).</w:t>
      </w:r>
    </w:p>
  </w:footnote>
  <w:footnote w:id="253">
    <w:p w14:paraId="1F524115" w14:textId="45A9D0C6"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&lt;EndNote&gt;&lt;Cite&gt;&lt;Author&gt;Miljødirektoratet og Landbruksdirektoratet&lt;/Author&gt;&lt;Year&gt;2024&lt;/Year&gt;&lt;RecNum&gt;10106&lt;/RecNum&gt;&lt;DisplayText&gt;Ibid&lt;/DisplayText&gt;&lt;record&gt;&lt;rec-number&gt;10106&lt;/rec-number&gt;&lt;foreign-keys&gt;&lt;key app="EN" db-id="5sffrv50pw0vx2esf075e50jafxwafzxe9r0" timestamp="1755918766" guid="33eacc79-b958-4a96-adfb-851587f61556"&gt;10106&lt;/key&gt;&lt;/foreign-keys&gt;&lt;ref-type name="Generic"&gt;13&lt;/ref-type&gt;&lt;contributors&gt;&lt;authors&gt;&lt;author&gt;Miljødirektoratet og Landbruksdirektoratet,&lt;/author&gt;&lt;/authors&gt;&lt;/contributors&gt;&lt;titles&gt;&lt;title&gt;Oppdrag rovvilt og tamrein 2024&lt;/title&gt;&lt;/titles&gt;&lt;keywords&gt;&lt;keyword&gt;Miljø urfolk samerett rovvilt&lt;/keyword&gt;&lt;/keywords&gt;&lt;dates&gt;&lt;year&gt;2024&lt;/year&gt;&lt;/dates&gt;&lt;urls&gt;&lt;related-urls&gt;&lt;url&gt;https://www.miljodirektoratet.no/sharepoint/downloaditem/?id=01FM3LD2SHSKOH6UHAGFHJTMMMYFVELDLA&lt;/url&gt;&lt;/related-urls&gt;&lt;/urls&gt;&lt;/record&gt;&lt;/Cite&gt;&lt;/EndNote&gt;</w:instrText>
      </w:r>
      <w:r w:rsidR="00CD439F">
        <w:fldChar w:fldCharType="separate"/>
      </w:r>
      <w:r w:rsidR="00CD439F">
        <w:rPr>
          <w:noProof/>
        </w:rPr>
        <w:t>Ibid</w:t>
      </w:r>
      <w:r w:rsidR="00CD439F">
        <w:fldChar w:fldCharType="end"/>
      </w:r>
      <w:r w:rsidR="00CD439F">
        <w:t>., s. 25-27.</w:t>
      </w:r>
    </w:p>
  </w:footnote>
  <w:footnote w:id="254">
    <w:p w14:paraId="289A2E3E" w14:textId="67BD7FE9"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&lt;EndNote&gt;&lt;Cite&gt;&lt;Author&gt;Miljødirektoratet og Landbruksdirektoratet&lt;/Author&gt;&lt;Year&gt;2024&lt;/Year&gt;&lt;RecNum&gt;10106&lt;/RecNum&gt;&lt;DisplayText&gt;Ibid&lt;/DisplayText&gt;&lt;record&gt;&lt;rec-number&gt;10106&lt;/rec-number&gt;&lt;foreign-keys&gt;&lt;key app="EN" db-id="5sffrv50pw0vx2esf075e50jafxwafzxe9r0" timestamp="1755918766" guid="33eacc79-b958-4a96-adfb-851587f61556"&gt;10106&lt;/key&gt;&lt;/foreign-keys&gt;&lt;ref-type name="Generic"&gt;13&lt;/ref-type&gt;&lt;contributors&gt;&lt;authors&gt;&lt;author&gt;Miljødirektoratet og Landbruksdirektoratet,&lt;/author&gt;&lt;/authors&gt;&lt;/contributors&gt;&lt;titles&gt;&lt;title&gt;Oppdrag rovvilt og tamrein 2024&lt;/title&gt;&lt;/titles&gt;&lt;keywords&gt;&lt;keyword&gt;Miljø urfolk samerett rovvilt&lt;/keyword&gt;&lt;/keywords&gt;&lt;dates&gt;&lt;year&gt;2024&lt;/year&gt;&lt;/dates&gt;&lt;urls&gt;&lt;related-urls&gt;&lt;url&gt;https://www.miljodirektoratet.no/sharepoint/downloaditem/?id=01FM3LD2SHSKOH6UHAGFHJTMMMYFVELDLA&lt;/url&gt;&lt;/related-urls&gt;&lt;/urls&gt;&lt;/record&gt;&lt;/Cite&gt;&lt;/EndNote&gt;</w:instrText>
      </w:r>
      <w:r w:rsidR="00CD439F">
        <w:fldChar w:fldCharType="separate"/>
      </w:r>
      <w:r w:rsidR="00CD439F">
        <w:rPr>
          <w:noProof/>
        </w:rPr>
        <w:t>Ibid</w:t>
      </w:r>
      <w:r w:rsidR="00CD439F">
        <w:fldChar w:fldCharType="end"/>
      </w:r>
      <w:r w:rsidR="00CD439F">
        <w:t>., s. 31.</w:t>
      </w:r>
    </w:p>
  </w:footnote>
  <w:footnote w:id="255">
    <w:p w14:paraId="090F7DBE" w14:textId="50D67A97" w:rsidR="00CD439F" w:rsidRDefault="00404399" w:rsidP="00CD439F">
      <w:pPr>
        <w:pStyle w:val="Fotnotetekst"/>
      </w:pPr>
      <w:r w:rsidRPr="00CD439F">
        <w:rPr>
          <w:rStyle w:val="Fotnotereferanse"/>
        </w:rPr>
        <w:footnoteRef/>
      </w:r>
      <w:r>
        <w:rPr>
          <w:rStyle w:val="Fotnotereferanse"/>
        </w:rPr>
        <w:t xml:space="preserve"> </w:t>
      </w:r>
      <w:r w:rsidR="00CD439F" w:rsidRPr="00BB7983">
        <w:t xml:space="preserve">Meld. St. (2016). </w:t>
      </w:r>
      <w:r w:rsidR="00CD439F" w:rsidRPr="007E66B0">
        <w:t xml:space="preserve">Meld. St. 21 (2015–2016) Ulv i norsk natur. </w:t>
      </w:r>
      <w:r w:rsidR="00CD439F" w:rsidRPr="00BB7983">
        <w:t>Bestandsmål for ulv og ulvesone</w:t>
      </w:r>
      <w:r w:rsidR="00CD439F">
        <w:t>, 38.</w:t>
      </w:r>
    </w:p>
  </w:footnote>
  <w:footnote w:id="256">
    <w:p w14:paraId="6A1E828D" w14:textId="02EC84A8" w:rsidR="00CD439F" w:rsidRPr="007E66B0" w:rsidRDefault="00404399" w:rsidP="00CD439F">
      <w:pPr>
        <w:pStyle w:val="Fotnotetekst"/>
      </w:pPr>
      <w:r w:rsidRPr="00CD439F">
        <w:rPr>
          <w:rStyle w:val="Fotnotereferanse"/>
        </w:rPr>
        <w:footnoteRef/>
      </w:r>
      <w:r>
        <w:rPr>
          <w:rStyle w:val="Fotnotereferanse"/>
        </w:rPr>
        <w:t xml:space="preserve"> </w:t>
      </w:r>
      <w:r w:rsidR="00CD439F">
        <w:t xml:space="preserve">Meld. St. </w:t>
      </w:r>
      <w:r w:rsidR="00CD439F" w:rsidRPr="00535750">
        <w:t>8 (2024–2025) Dyrevelferd</w:t>
      </w:r>
      <w:r w:rsidR="00CD439F">
        <w:t>, s.</w:t>
      </w:r>
      <w:r w:rsidR="00CD439F" w:rsidRPr="007E66B0">
        <w:t xml:space="preserve"> 170.</w:t>
      </w:r>
    </w:p>
  </w:footnote>
  <w:footnote w:id="257">
    <w:p w14:paraId="2E3E1F56" w14:textId="6D011B8F" w:rsidR="00CD439F" w:rsidRPr="00834D2D" w:rsidRDefault="00404399" w:rsidP="00CD439F">
      <w:pPr>
        <w:pStyle w:val="Fotnotetekst"/>
        <w:rPr>
          <w:lang w:val="nn-NO"/>
        </w:rPr>
      </w:pPr>
      <w:r w:rsidRPr="00CD439F">
        <w:rPr>
          <w:rStyle w:val="Fotnotereferanse"/>
        </w:rPr>
        <w:footnoteRef/>
      </w:r>
      <w:r w:rsidRPr="00834D2D">
        <w:rPr>
          <w:rStyle w:val="Fotnotereferanse"/>
          <w:lang w:val="nn-NO"/>
        </w:rPr>
        <w:t xml:space="preserve"> </w:t>
      </w:r>
      <w:r w:rsidR="00CD439F" w:rsidRPr="00591E4B">
        <w:fldChar w:fldCharType="begin"/>
      </w:r>
      <w:r w:rsidR="00CD439F" w:rsidRPr="00834D2D">
        <w:rPr>
          <w:lang w:val="nn-NO"/>
        </w:rPr>
        <w:instrText xml:space="preserve"> ADDIN EN.CITE &lt;EndNote&gt;&lt;Cite&gt;&lt;Author&gt;St.meld.&lt;/Author&gt;&lt;Year&gt;2003&lt;/Year&gt;&lt;RecNum&gt;10065&lt;/RecNum&gt;&lt;DisplayText&gt;St.meld., &lt;style face="italic"&gt;St.meld. nr. 15 (2003-2004) Rovvilt i norsk natur&lt;/style&gt;&lt;/DisplayText&gt;&lt;record&gt;&lt;rec-number&gt;10065&lt;/rec-number&gt;&lt;foreign-keys&gt;&lt;key app="EN" db-id="5sffrv50pw0vx2esf075e50jafxwafzxe9r0" timestamp="1755918561" guid="757782b4-7e5f-489e-be60-62665a209e8a"&gt;10065&lt;/key&gt;&lt;/foreign-keys&gt;&lt;ref-type name="Generic"&gt;13&lt;/ref-type&gt;&lt;contributors&gt;&lt;authors&gt;&lt;author&gt;St.meld.&lt;/author&gt;&lt;/authors&gt;&lt;/contributors&gt;&lt;titles&gt;&lt;title&gt;St.meld. nr. 15 (2003-2004) Rovvilt i norsk natur&lt;/title&gt;&lt;/titles&gt;&lt;keywords&gt;&lt;keyword&gt;Miljø rovvilt urfolksrett samerett&lt;/keyword&gt;&lt;/keywords&gt;&lt;dates&gt;&lt;year&gt;2003&lt;/year&gt;&lt;/dates&gt;&lt;urls&gt;&lt;/urls&gt;&lt;research-notes&gt;https://www.regjeringen.no/no/dokumenter/stmeld-nr-15-2003-2004-/id403693/&amp;#xD;https://www.stortinget.no/no/Saker-og-publikasjoner/Saker/Sak/?p=27939&lt;/research-notes&gt;&lt;/record&gt;&lt;/Cite&gt;&lt;/EndNote&gt;</w:instrText>
      </w:r>
      <w:r w:rsidR="00CD439F" w:rsidRPr="00591E4B">
        <w:fldChar w:fldCharType="separate"/>
      </w:r>
      <w:r w:rsidR="00CD439F" w:rsidRPr="00834D2D">
        <w:rPr>
          <w:noProof/>
          <w:lang w:val="nn-NO"/>
        </w:rPr>
        <w:t xml:space="preserve">St.meld., </w:t>
      </w:r>
      <w:r w:rsidR="00CD439F" w:rsidRPr="00834D2D">
        <w:rPr>
          <w:rStyle w:val="kursiv"/>
          <w:lang w:val="nn-NO"/>
        </w:rPr>
        <w:t>St.meld. nr. 15 (2003–2004) Rovvilt i norsk natur</w:t>
      </w:r>
      <w:r w:rsidR="00CD439F" w:rsidRPr="00591E4B">
        <w:fldChar w:fldCharType="end"/>
      </w:r>
      <w:r w:rsidR="00CD439F" w:rsidRPr="00834D2D">
        <w:rPr>
          <w:rFonts w:cs="Times New Roman"/>
          <w:lang w:val="nn-NO"/>
        </w:rPr>
        <w:t xml:space="preserve"> (uthevet her).</w:t>
      </w:r>
    </w:p>
  </w:footnote>
  <w:footnote w:id="258">
    <w:p w14:paraId="416E3A8D" w14:textId="3FC51F17"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&lt;EndNote&gt;&lt;Cite&gt;&lt;Author&gt;Hansen&lt;/Author&gt;&lt;Year&gt;2019&lt;/Year&gt;&lt;RecNum&gt;10088&lt;/RecNum&gt;&lt;DisplayText&gt;Hansen and others, &lt;style face="italic"&gt;Tap av tamrein - et kunnskapsgrunnlag&lt;/style&gt;&lt;/DisplayText&gt;&lt;record&gt;&lt;rec-number&gt;10088&lt;/rec-number&gt;&lt;foreign-keys&gt;&lt;key app="EN" db-id="5sffrv50pw0vx2esf075e50jafxwafzxe9r0" timestamp="1755918717" guid="3f47a105-3622-46a5-9deb-575ee6ee7022"&gt;10088&lt;/key&gt;&lt;/foreign-keys&gt;&lt;ref-type name="Report"&gt;27&lt;/ref-type&gt;&lt;contributors&gt;&lt;authors&gt;&lt;author&gt;Hansen, Inger&lt;/author&gt;&lt;author&gt;Eilertsen, Svein Morten&lt;/author&gt;&lt;author&gt;Sørensen, Ole Jakob&lt;/author&gt;&lt;author&gt;Mørk, Torill&lt;/author&gt;&lt;author&gt;Bråthen, Kari Anne&lt;/author&gt;&lt;author&gt;Johansen, Bernt&lt;/author&gt;&lt;author&gt;Moa, Pål Fossland&lt;/author&gt;&lt;author&gt;Risvoll, Camilla&lt;/author&gt;&lt;author&gt;Sandström, Camilla&lt;/author&gt;&lt;author&gt;Winje, Erlend&lt;/author&gt;&lt;/authors&gt;&lt;/contributors&gt;&lt;titles&gt;&lt;title&gt;Tap av tamrein - et kunnskapsgrunnlag&lt;/title&gt;&lt;/titles&gt;&lt;volume&gt;5&lt;/volume&gt;&lt;number&gt;174&lt;/number&gt;&lt;keywords&gt;&lt;keyword&gt;Urfolksrett rovvilt rein&lt;/keyword&gt;&lt;/keywords&gt;&lt;dates&gt;&lt;year&gt;2019&lt;/year&gt;&lt;/dates&gt;&lt;publisher&gt;NIBIO&lt;/publisher&gt;&lt;isbn&gt;2464-1162&amp;#xD;978-82-17-02478-1&lt;/isbn&gt;&lt;urls&gt;&lt;/urls&gt;&lt;research-notes&gt;https://nibio.brage.unit.no/nibio-xmlui/handle/11250/2644088&lt;/research-notes&gt;&lt;/record&gt;&lt;/Cite&gt;&lt;/EndNote&gt;</w:instrText>
      </w:r>
      <w:r w:rsidR="00CD439F">
        <w:fldChar w:fldCharType="separate"/>
      </w:r>
      <w:r w:rsidR="00CD439F">
        <w:rPr>
          <w:noProof/>
        </w:rPr>
        <w:t xml:space="preserve">Hansen and others, </w:t>
      </w:r>
      <w:r w:rsidR="00CD439F" w:rsidRPr="00CD439F">
        <w:rPr>
          <w:rStyle w:val="kursiv"/>
        </w:rPr>
        <w:t>Tap av tamrein – et kunnskapsgrunnlag</w:t>
      </w:r>
      <w:r w:rsidR="00CD439F">
        <w:fldChar w:fldCharType="end"/>
      </w:r>
      <w:r w:rsidR="00CD439F">
        <w:t>, s. 13.</w:t>
      </w:r>
    </w:p>
  </w:footnote>
  <w:footnote w:id="259">
    <w:p w14:paraId="48614CEF" w14:textId="25423C18"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&lt;EndNote&gt;&lt;Cite&gt;&lt;Author&gt;Meld. St.&lt;/Author&gt;&lt;RecNum&gt;10075&lt;/RecNum&gt;&lt;DisplayText&gt;Meld. St., &lt;style face="italic"&gt;Meld. St. 8 (2024–2025) Dyrevelferd&lt;/style&gt; &lt;/DisplayText&gt;&lt;record&gt;&lt;rec-number&gt;10075&lt;/rec-number&gt;&lt;foreign-keys&gt;&lt;key app="EN" db-id="5sffrv50pw0vx2esf075e50jafxwafzxe9r0" timestamp="1755918630" guid="07272bf2-e127-4256-bcff-c85c0a76a982"&gt;10075&lt;/key&gt;&lt;/foreign-keys&gt;&lt;ref-type name="Generic"&gt;13&lt;/ref-type&gt;&lt;contributors&gt;&lt;authors&gt;&lt;author&gt;Meld. St.,&lt;/author&gt;&lt;/authors&gt;&lt;/contributors&gt;&lt;titles&gt;&lt;title&gt;Meld. St. 8 (2024–2025) Dyrevelferd&lt;/title&gt;&lt;/titles&gt;&lt;keywords&gt;&lt;keyword&gt;Urfolk samerett&lt;/keyword&gt;&lt;/keywords&gt;&lt;dates&gt;&lt;/dates&gt;&lt;urls&gt;&lt;related-urls&gt;&lt;url&gt;https://www.regjeringen.no/no/dokumenter/meld.-st.-8-20242025/id3080297/&lt;/url&gt;&lt;url&gt;https://www.stortinget.no/no/Saker-og-publikasjoner/Saker/Sak/?p=101263&lt;/url&gt;&lt;/related-urls&gt;&lt;/urls&gt;&lt;/record&gt;&lt;/Cite&gt;&lt;/EndNote&gt;</w:instrText>
      </w:r>
      <w:r w:rsidR="00CD439F">
        <w:fldChar w:fldCharType="separate"/>
      </w:r>
      <w:r w:rsidR="00CD439F">
        <w:rPr>
          <w:noProof/>
        </w:rPr>
        <w:t xml:space="preserve">Meld. St., </w:t>
      </w:r>
      <w:r w:rsidR="00CD439F" w:rsidRPr="00CD439F">
        <w:rPr>
          <w:rStyle w:val="kursiv"/>
        </w:rPr>
        <w:t>Meld. St. 8 (2024–2025) Dyrevelferd</w:t>
      </w:r>
      <w:r w:rsidR="00CD439F">
        <w:rPr>
          <w:noProof/>
        </w:rPr>
        <w:t xml:space="preserve"> </w:t>
      </w:r>
      <w:r w:rsidR="00CD439F">
        <w:fldChar w:fldCharType="end"/>
      </w:r>
      <w:r w:rsidR="00CD439F">
        <w:t xml:space="preserve">, s. 97. Se også </w:t>
      </w:r>
      <w:r w:rsidR="00CD439F">
        <w:fldChar w:fldCharType="begin"/>
      </w:r>
      <w:r w:rsidR="00CD439F">
        <w:instrText xml:space="preserve"> ADDIN EN.CITE &lt;EndNote&gt;&lt;Cite&gt;&lt;Author&gt;Mørk&lt;/Author&gt;&lt;Year&gt;2025&lt;/Year&gt;&lt;RecNum&gt;10254&lt;/RecNum&gt;&lt;DisplayText&gt;Mørk and others, &lt;style face="italic"&gt;Obduksjonsfunn og tapsårsaker hos tamrein (Rangifer tarandus tarandus) i Nord-Norge&lt;/style&gt;&lt;/DisplayText&gt;&lt;record&gt;&lt;rec-number&gt;10254&lt;/rec-number&gt;&lt;foreign-keys&gt;&lt;key app="EN" db-id="5sffrv50pw0vx2esf075e50jafxwafzxe9r0" timestamp="1770559757" guid="61c04ecf-e213-4387-b9b0-9a6e62933cad"&gt;10254&lt;/key&gt;&lt;/foreign-keys&gt;&lt;ref-type name="Book"&gt;6&lt;/ref-type&gt;&lt;contributors&gt;&lt;authors&gt;&lt;author&gt;Mørk, T &lt;/author&gt;&lt;author&gt;Eira, HI &lt;/author&gt;&lt;author&gt;Rødven, R &lt;/author&gt;&lt;author&gt;Nymo, IH &lt;/author&gt;&lt;author&gt;Blomstrand, BM &lt;/author&gt;&lt;author&gt;Guttormsen, S &lt;/author&gt;&lt;author&gt;Olsen, L &lt;/author&gt;&lt;author&gt;Davidson. RK&lt;/author&gt;&lt;/authors&gt;&lt;/contributors&gt;&lt;titles&gt;&lt;title&gt;Obduksjonsfunn og tapsårsaker hos tamrein (Rangifer tarandus tarandus) i Nord-Norge&lt;/title&gt;&lt;secondary-title&gt;Rapport 4 / 2025&lt;/secondary-title&gt;&lt;/titles&gt;&lt;keywords&gt;&lt;keyword&gt;Rovvilt samerett&lt;/keyword&gt;&lt;/keywords&gt;&lt;dates&gt;&lt;year&gt;2025&lt;/year&gt;&lt;/dates&gt;&lt;publisher&gt;Veterinærinstituttet&lt;/publisher&gt;&lt;urls&gt;&lt;related-urls&gt;&lt;url&gt;https://www.vetinst.no/rapporter-og-publikasjoner/rapporter/2025/obduksjonsfunn-og-tapsarsaker-hos-tamrein-rangifer-tarandus-tarandus-i-nord-norge/_/attachment/inline/8cb51c0a-a06b-4ba1-8783-a9d09f51eb2a:8457948d8ebb7d2eda0c20e6ae53fb996569b8d1/2025_4_Obduksjonsfunn%20og%20taps%C3%A5rsaker%20hos%20tamrein%20i%20Nord-Norge%20KOMPLETT.pdf&lt;/url&gt;&lt;/related-urls&gt;&lt;/urls&gt;&lt;/record&gt;&lt;/Cite&gt;&lt;/EndNote&gt;</w:instrText>
      </w:r>
      <w:r w:rsidR="00CD439F">
        <w:fldChar w:fldCharType="separate"/>
      </w:r>
      <w:r w:rsidR="00CD439F">
        <w:rPr>
          <w:noProof/>
        </w:rPr>
        <w:t xml:space="preserve">Mørk and others, </w:t>
      </w:r>
      <w:r w:rsidR="00CD439F" w:rsidRPr="00CD439F">
        <w:rPr>
          <w:rStyle w:val="kursiv"/>
        </w:rPr>
        <w:t>Obduksjonsfunn og tapsårsaker hos tamrein (Rangifer tarandus tarandus) i Nord-Norge</w:t>
      </w:r>
      <w:r w:rsidR="00CD439F">
        <w:fldChar w:fldCharType="end"/>
      </w:r>
      <w:r w:rsidR="00CD439F">
        <w:t>, s. 18.</w:t>
      </w:r>
    </w:p>
  </w:footnote>
  <w:footnote w:id="260">
    <w:p w14:paraId="22BBECC8" w14:textId="4B4D6016" w:rsidR="00CD439F" w:rsidRDefault="00404399" w:rsidP="00CD439F">
      <w:pPr>
        <w:pStyle w:val="Fotnotetekst"/>
      </w:pPr>
      <w:r w:rsidRPr="00CD439F">
        <w:rPr>
          <w:rStyle w:val="Fotnotereferanse"/>
        </w:rPr>
        <w:footnoteRef/>
      </w:r>
      <w:r>
        <w:rPr>
          <w:rStyle w:val="Fotnotereferanse"/>
        </w:rPr>
        <w:t xml:space="preserve"> </w:t>
      </w:r>
      <w:r w:rsidR="00CD439F">
        <w:t xml:space="preserve">Erstatningsordningen er nå under evaluering for eventuell revisjon, se </w:t>
      </w:r>
      <w:proofErr w:type="spellStart"/>
      <w:r w:rsidR="00CD439F">
        <w:t>Prop</w:t>
      </w:r>
      <w:proofErr w:type="spellEnd"/>
      <w:r w:rsidR="00CD439F">
        <w:t xml:space="preserve">. </w:t>
      </w:r>
      <w:r w:rsidR="00CD439F" w:rsidRPr="005816B9">
        <w:t>98</w:t>
      </w:r>
      <w:r w:rsidR="00CD439F">
        <w:t xml:space="preserve"> </w:t>
      </w:r>
      <w:r w:rsidR="00CD439F" w:rsidRPr="005816B9">
        <w:t xml:space="preserve">S (2023–2024) </w:t>
      </w:r>
      <w:r w:rsidR="00CD439F" w:rsidRPr="00CD439F">
        <w:rPr>
          <w:rStyle w:val="kursiv"/>
        </w:rPr>
        <w:t>Endringer i statsbudsjettet 2024 under Landbruks- og matdepartementet (Reindriftsavtalen 2024/2025)</w:t>
      </w:r>
      <w:r w:rsidR="00CD439F">
        <w:t>, s.</w:t>
      </w:r>
      <w:r w:rsidR="00AF31B2">
        <w:t> </w:t>
      </w:r>
      <w:r w:rsidR="00CD439F">
        <w:t>25.</w:t>
      </w:r>
    </w:p>
  </w:footnote>
  <w:footnote w:id="261">
    <w:p w14:paraId="056AFFCA" w14:textId="3810DA75" w:rsidR="00CD439F" w:rsidRPr="00612642" w:rsidRDefault="00404399" w:rsidP="00CD439F">
      <w:pPr>
        <w:pStyle w:val="Fotnotetekst"/>
      </w:pPr>
      <w:r w:rsidRPr="00CD439F">
        <w:rPr>
          <w:rStyle w:val="Fotnotereferanse"/>
        </w:rPr>
        <w:footnoteRef/>
      </w:r>
      <w:r>
        <w:rPr>
          <w:rStyle w:val="Fotnotereferanse"/>
        </w:rPr>
        <w:t xml:space="preserve"> </w:t>
      </w:r>
      <w:proofErr w:type="spellStart"/>
      <w:r w:rsidR="00CD439F">
        <w:rPr>
          <w:rFonts w:eastAsia="Aptos"/>
        </w:rPr>
        <w:t>Prop</w:t>
      </w:r>
      <w:proofErr w:type="spellEnd"/>
      <w:r w:rsidR="00CD439F">
        <w:rPr>
          <w:rFonts w:eastAsia="Aptos"/>
        </w:rPr>
        <w:t xml:space="preserve">. </w:t>
      </w:r>
      <w:r w:rsidR="00CD439F" w:rsidRPr="00612642">
        <w:rPr>
          <w:rFonts w:eastAsia="Aptos"/>
        </w:rPr>
        <w:t>86</w:t>
      </w:r>
      <w:r w:rsidR="00CD439F">
        <w:rPr>
          <w:rFonts w:eastAsia="Aptos"/>
        </w:rPr>
        <w:t xml:space="preserve"> </w:t>
      </w:r>
      <w:r w:rsidR="00CD439F" w:rsidRPr="00612642">
        <w:rPr>
          <w:rFonts w:eastAsia="Aptos"/>
        </w:rPr>
        <w:t>L (2020</w:t>
      </w:r>
      <w:r w:rsidR="00CD439F">
        <w:rPr>
          <w:rFonts w:eastAsia="Aptos"/>
        </w:rPr>
        <w:t>–</w:t>
      </w:r>
      <w:r w:rsidR="00CD439F" w:rsidRPr="00612642">
        <w:rPr>
          <w:rFonts w:eastAsia="Aptos"/>
        </w:rPr>
        <w:t>2021) s. 97.</w:t>
      </w:r>
    </w:p>
  </w:footnote>
  <w:footnote w:id="262">
    <w:p w14:paraId="1C158B21" w14:textId="5789580F" w:rsidR="00CD439F" w:rsidRPr="00612642" w:rsidRDefault="00404399" w:rsidP="00CD439F">
      <w:pPr>
        <w:pStyle w:val="Fotnotetekst"/>
      </w:pPr>
      <w:r w:rsidRPr="00CD439F">
        <w:rPr>
          <w:rStyle w:val="Fotnotereferanse"/>
        </w:rPr>
        <w:footnoteRef/>
      </w:r>
      <w:r>
        <w:rPr>
          <w:rStyle w:val="Fotnotereferanse"/>
        </w:rPr>
        <w:t xml:space="preserve"> </w:t>
      </w:r>
      <w:proofErr w:type="spellStart"/>
      <w:r w:rsidR="00CD439F">
        <w:rPr>
          <w:rFonts w:eastAsia="Aptos"/>
        </w:rPr>
        <w:t>Prop</w:t>
      </w:r>
      <w:proofErr w:type="spellEnd"/>
      <w:r w:rsidR="00CD439F">
        <w:rPr>
          <w:rFonts w:eastAsia="Aptos"/>
        </w:rPr>
        <w:t xml:space="preserve">. </w:t>
      </w:r>
      <w:r w:rsidR="00CD439F" w:rsidRPr="00612642">
        <w:rPr>
          <w:rFonts w:eastAsia="Aptos"/>
        </w:rPr>
        <w:t>86</w:t>
      </w:r>
      <w:r w:rsidR="00CD439F">
        <w:rPr>
          <w:rFonts w:eastAsia="Aptos"/>
        </w:rPr>
        <w:t xml:space="preserve"> </w:t>
      </w:r>
      <w:r w:rsidR="00CD439F" w:rsidRPr="00612642">
        <w:rPr>
          <w:rFonts w:eastAsia="Aptos"/>
        </w:rPr>
        <w:t>L (2020</w:t>
      </w:r>
      <w:r w:rsidR="00CD439F">
        <w:rPr>
          <w:rFonts w:eastAsia="Aptos"/>
        </w:rPr>
        <w:t>–</w:t>
      </w:r>
      <w:r w:rsidR="00CD439F" w:rsidRPr="00612642">
        <w:rPr>
          <w:rFonts w:eastAsia="Aptos"/>
        </w:rPr>
        <w:t xml:space="preserve">2021) s. 109. En svensk </w:t>
      </w:r>
      <w:r w:rsidR="00CD439F">
        <w:rPr>
          <w:rFonts w:eastAsia="Aptos"/>
        </w:rPr>
        <w:t>«</w:t>
      </w:r>
      <w:r w:rsidR="00CD439F" w:rsidRPr="00612642">
        <w:rPr>
          <w:rFonts w:eastAsia="Aptos"/>
        </w:rPr>
        <w:t>sameby</w:t>
      </w:r>
      <w:r w:rsidR="00CD439F">
        <w:rPr>
          <w:rFonts w:eastAsia="Aptos"/>
        </w:rPr>
        <w:t>»</w:t>
      </w:r>
      <w:r w:rsidR="00CD439F" w:rsidRPr="00612642">
        <w:rPr>
          <w:rFonts w:eastAsia="Aptos"/>
        </w:rPr>
        <w:t xml:space="preserve"> er til en viss grad sammenfallende med et norsk reinbeitedistrikt (en gruppe reineiere/</w:t>
      </w:r>
      <w:proofErr w:type="spellStart"/>
      <w:r w:rsidR="00CD439F" w:rsidRPr="00612642">
        <w:rPr>
          <w:rFonts w:eastAsia="Aptos"/>
        </w:rPr>
        <w:t>siidaer</w:t>
      </w:r>
      <w:proofErr w:type="spellEnd"/>
      <w:r w:rsidR="00CD439F" w:rsidRPr="00612642">
        <w:rPr>
          <w:rFonts w:eastAsia="Aptos"/>
        </w:rPr>
        <w:t xml:space="preserve"> som har reinbeiterett i et avgrenset geografisk område).</w:t>
      </w:r>
    </w:p>
  </w:footnote>
  <w:footnote w:id="263">
    <w:p w14:paraId="75577588" w14:textId="7B11F91A" w:rsidR="00CD439F" w:rsidRDefault="00404399" w:rsidP="00CD439F">
      <w:pPr>
        <w:pStyle w:val="Fotnotetekst"/>
      </w:pPr>
      <w:r w:rsidRPr="00CD439F">
        <w:rPr>
          <w:rStyle w:val="Fotnotereferanse"/>
        </w:rPr>
        <w:footnoteRef/>
      </w:r>
      <w:r>
        <w:rPr>
          <w:rStyle w:val="Fotnotereferanse"/>
        </w:rPr>
        <w:t xml:space="preserve"> </w:t>
      </w:r>
      <w:r w:rsidR="00CD439F">
        <w:fldChar w:fldCharType="begin"/>
      </w:r>
      <w:r w:rsidR="00CD439F">
        <w:instrText xml:space="preserve"> ADDIN EN.CITE &lt;EndNote&gt;&lt;Cite&gt;&lt;Author&gt;Vangen&lt;/Author&gt;&lt;Year&gt;2025&lt;/Year&gt;&lt;RecNum&gt;10251&lt;/RecNum&gt;&lt;DisplayText&gt;Vangen and others, &lt;style face="italic"&gt;Faggrunnlag for utredning av bestandsmål for gaupe og jerv&lt;/style&gt;&lt;/DisplayText&gt;&lt;record&gt;&lt;rec-number&gt;10251&lt;/rec-number&gt;&lt;foreign-keys&gt;&lt;key app="EN" db-id="5sffrv50pw0vx2esf075e50jafxwafzxe9r0" timestamp="1770273785" guid="fb1ecd94-4448-4f3a-819f-4d42b7b857be"&gt;10251&lt;/key&gt;&lt;/foreign-keys&gt;&lt;ref-type name="Book"&gt;6&lt;/ref-type&gt;&lt;contributors&gt;&lt;authors&gt;&lt;author&gt;Vangen, Knut Morten &lt;/author&gt;&lt;author&gt;Krange, Olve&lt;/author&gt;&lt;author&gt;Mattisson, Jenny&lt;/author&gt;&lt;author&gt;Horntvedt Thorsen, Neri&lt;/author&gt;&lt;author&gt;Tveraa, Torkild &lt;/author&gt;&lt;author&gt;Linnell, John D.C.&lt;/author&gt;&lt;author&gt;Odden, John&lt;/author&gt;&lt;/authors&gt;&lt;/contributors&gt;&lt;titles&gt;&lt;title&gt;Faggrunnlag for utredning av bestandsmål for gaupe og jerv&lt;/title&gt;&lt;secondary-title&gt;NINA-rapport 2693&lt;/secondary-title&gt;&lt;/titles&gt;&lt;keywords&gt;&lt;keyword&gt;Rovvilt samerett&lt;/keyword&gt;&lt;/keywords&gt;&lt;dates&gt;&lt;year&gt;2025&lt;/year&gt;&lt;/dates&gt;&lt;urls&gt;&lt;related-urls&gt;&lt;url&gt;https://nva.sikt.no/registration/019b07dcd4ac-6446dd66-85fc-40cb-a8a7-c3a3717fe95f&lt;/url&gt;&lt;url&gt;https://www.nina.no/Om-NINA/Aktuelt/Nyheter/article/foreslar-flytting-av-rovdyrmal-fra-nord-til-sor&lt;/url&gt;&lt;/related-urls&gt;&lt;/urls&gt;&lt;/record&gt;&lt;/Cite&gt;&lt;/EndNote&gt;</w:instrText>
      </w:r>
      <w:r w:rsidR="00CD439F">
        <w:fldChar w:fldCharType="separate"/>
      </w:r>
      <w:r w:rsidR="00CD439F">
        <w:rPr>
          <w:noProof/>
        </w:rPr>
        <w:t xml:space="preserve">Vangen and others, </w:t>
      </w:r>
      <w:r w:rsidR="00CD439F" w:rsidRPr="00CD439F">
        <w:rPr>
          <w:rStyle w:val="kursiv"/>
        </w:rPr>
        <w:t>Faggrunnlag for utredning av bestandsmål for gaupe og jerv</w:t>
      </w:r>
      <w:r w:rsidR="00CD439F">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2A787498"/>
    <w:multiLevelType w:val="hybridMultilevel"/>
    <w:tmpl w:val="EAEAD004"/>
    <w:lvl w:ilvl="0" w:tplc="27A8E69E">
      <w:start w:val="4"/>
      <w:numFmt w:val="bullet"/>
      <w:lvlText w:val="-"/>
      <w:lvlJc w:val="left"/>
      <w:pPr>
        <w:ind w:left="720" w:hanging="36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5C91E50"/>
    <w:multiLevelType w:val="multilevel"/>
    <w:tmpl w:val="96E67026"/>
    <w:numStyleLink w:val="RomListeStil"/>
  </w:abstractNum>
  <w:abstractNum w:abstractNumId="15"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9"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0"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3"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5"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27"/>
  </w:num>
  <w:num w:numId="2" w16cid:durableId="1691493727">
    <w:abstractNumId w:val="21"/>
  </w:num>
  <w:num w:numId="3" w16cid:durableId="701784177">
    <w:abstractNumId w:val="26"/>
  </w:num>
  <w:num w:numId="4" w16cid:durableId="212666145">
    <w:abstractNumId w:val="8"/>
  </w:num>
  <w:num w:numId="5" w16cid:durableId="239825732">
    <w:abstractNumId w:val="11"/>
  </w:num>
  <w:num w:numId="6" w16cid:durableId="1929076049">
    <w:abstractNumId w:val="2"/>
  </w:num>
  <w:num w:numId="7" w16cid:durableId="1302341828">
    <w:abstractNumId w:val="16"/>
  </w:num>
  <w:num w:numId="8" w16cid:durableId="695350705">
    <w:abstractNumId w:val="1"/>
  </w:num>
  <w:num w:numId="9" w16cid:durableId="2074424752">
    <w:abstractNumId w:val="6"/>
  </w:num>
  <w:num w:numId="10" w16cid:durableId="1093283793">
    <w:abstractNumId w:val="7"/>
  </w:num>
  <w:num w:numId="11" w16cid:durableId="1549367804">
    <w:abstractNumId w:val="20"/>
  </w:num>
  <w:num w:numId="12" w16cid:durableId="1789155614">
    <w:abstractNumId w:val="3"/>
  </w:num>
  <w:num w:numId="13" w16cid:durableId="1281376518">
    <w:abstractNumId w:val="10"/>
  </w:num>
  <w:num w:numId="14" w16cid:durableId="1377050693">
    <w:abstractNumId w:val="19"/>
  </w:num>
  <w:num w:numId="15" w16cid:durableId="1122991450">
    <w:abstractNumId w:val="24"/>
  </w:num>
  <w:num w:numId="16" w16cid:durableId="443623288">
    <w:abstractNumId w:val="15"/>
  </w:num>
  <w:num w:numId="17" w16cid:durableId="1958560054">
    <w:abstractNumId w:val="0"/>
  </w:num>
  <w:num w:numId="18" w16cid:durableId="1826507644">
    <w:abstractNumId w:val="14"/>
  </w:num>
  <w:num w:numId="19" w16cid:durableId="1000084717">
    <w:abstractNumId w:val="17"/>
  </w:num>
  <w:num w:numId="20" w16cid:durableId="1881743657">
    <w:abstractNumId w:val="22"/>
  </w:num>
  <w:num w:numId="21" w16cid:durableId="1086027685">
    <w:abstractNumId w:val="25"/>
  </w:num>
  <w:num w:numId="22" w16cid:durableId="1495024277">
    <w:abstractNumId w:val="4"/>
  </w:num>
  <w:num w:numId="23" w16cid:durableId="1004893802">
    <w:abstractNumId w:val="9"/>
  </w:num>
  <w:num w:numId="24" w16cid:durableId="1461878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86828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6062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7188414">
    <w:abstractNumId w:val="12"/>
  </w:num>
  <w:num w:numId="29" w16cid:durableId="590434890">
    <w:abstractNumId w:val="13"/>
  </w:num>
  <w:num w:numId="30" w16cid:durableId="533807861">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40"/>
    <w:rsid w:val="0000321D"/>
    <w:rsid w:val="00011F71"/>
    <w:rsid w:val="0002534A"/>
    <w:rsid w:val="0004687F"/>
    <w:rsid w:val="00047CC5"/>
    <w:rsid w:val="00053258"/>
    <w:rsid w:val="000758B3"/>
    <w:rsid w:val="00080BFD"/>
    <w:rsid w:val="0008667A"/>
    <w:rsid w:val="000C25EB"/>
    <w:rsid w:val="000D1B9E"/>
    <w:rsid w:val="000D47DC"/>
    <w:rsid w:val="000E46C2"/>
    <w:rsid w:val="000E4F78"/>
    <w:rsid w:val="000E6514"/>
    <w:rsid w:val="000F3258"/>
    <w:rsid w:val="00156158"/>
    <w:rsid w:val="00157E64"/>
    <w:rsid w:val="0018412E"/>
    <w:rsid w:val="0019299F"/>
    <w:rsid w:val="00196278"/>
    <w:rsid w:val="001A757A"/>
    <w:rsid w:val="001D6512"/>
    <w:rsid w:val="001F4351"/>
    <w:rsid w:val="00201533"/>
    <w:rsid w:val="002018DB"/>
    <w:rsid w:val="00246CA3"/>
    <w:rsid w:val="00247C16"/>
    <w:rsid w:val="0028070C"/>
    <w:rsid w:val="00280C64"/>
    <w:rsid w:val="00284771"/>
    <w:rsid w:val="002C4E50"/>
    <w:rsid w:val="002C7757"/>
    <w:rsid w:val="002D0F89"/>
    <w:rsid w:val="002F130A"/>
    <w:rsid w:val="003024D4"/>
    <w:rsid w:val="00303661"/>
    <w:rsid w:val="003060D7"/>
    <w:rsid w:val="00307AC4"/>
    <w:rsid w:val="003467CC"/>
    <w:rsid w:val="00351584"/>
    <w:rsid w:val="00355BB8"/>
    <w:rsid w:val="00364117"/>
    <w:rsid w:val="00370F87"/>
    <w:rsid w:val="00371BA5"/>
    <w:rsid w:val="00380A94"/>
    <w:rsid w:val="00391819"/>
    <w:rsid w:val="00393223"/>
    <w:rsid w:val="003B7691"/>
    <w:rsid w:val="003D28CD"/>
    <w:rsid w:val="003F17A3"/>
    <w:rsid w:val="00400FEE"/>
    <w:rsid w:val="00404399"/>
    <w:rsid w:val="004504A1"/>
    <w:rsid w:val="00463B19"/>
    <w:rsid w:val="004679EC"/>
    <w:rsid w:val="0049621A"/>
    <w:rsid w:val="004D6807"/>
    <w:rsid w:val="004E36AE"/>
    <w:rsid w:val="004E5409"/>
    <w:rsid w:val="004F206F"/>
    <w:rsid w:val="0053637D"/>
    <w:rsid w:val="00536857"/>
    <w:rsid w:val="00536D52"/>
    <w:rsid w:val="0056175A"/>
    <w:rsid w:val="005664CE"/>
    <w:rsid w:val="005719D3"/>
    <w:rsid w:val="005F442D"/>
    <w:rsid w:val="005F4EEC"/>
    <w:rsid w:val="00604331"/>
    <w:rsid w:val="00607588"/>
    <w:rsid w:val="00612642"/>
    <w:rsid w:val="00617CA9"/>
    <w:rsid w:val="006478E7"/>
    <w:rsid w:val="00666167"/>
    <w:rsid w:val="0068773B"/>
    <w:rsid w:val="00693A45"/>
    <w:rsid w:val="00697604"/>
    <w:rsid w:val="006E283E"/>
    <w:rsid w:val="006E2D4C"/>
    <w:rsid w:val="006F45AC"/>
    <w:rsid w:val="006F630F"/>
    <w:rsid w:val="00702288"/>
    <w:rsid w:val="007058D5"/>
    <w:rsid w:val="00711083"/>
    <w:rsid w:val="00755B8D"/>
    <w:rsid w:val="00756718"/>
    <w:rsid w:val="00794835"/>
    <w:rsid w:val="007A4982"/>
    <w:rsid w:val="007A5E6E"/>
    <w:rsid w:val="007B7151"/>
    <w:rsid w:val="007C0B27"/>
    <w:rsid w:val="007D5846"/>
    <w:rsid w:val="007E66B0"/>
    <w:rsid w:val="00801B30"/>
    <w:rsid w:val="008067B9"/>
    <w:rsid w:val="00807B1F"/>
    <w:rsid w:val="00811A5C"/>
    <w:rsid w:val="00816402"/>
    <w:rsid w:val="00834D2D"/>
    <w:rsid w:val="0085334D"/>
    <w:rsid w:val="00855253"/>
    <w:rsid w:val="008607E9"/>
    <w:rsid w:val="008641BF"/>
    <w:rsid w:val="008814FC"/>
    <w:rsid w:val="008922D8"/>
    <w:rsid w:val="008A2E6E"/>
    <w:rsid w:val="008D16DC"/>
    <w:rsid w:val="008E6119"/>
    <w:rsid w:val="008F045D"/>
    <w:rsid w:val="009177EC"/>
    <w:rsid w:val="009264D9"/>
    <w:rsid w:val="0094403C"/>
    <w:rsid w:val="009549A2"/>
    <w:rsid w:val="0095696B"/>
    <w:rsid w:val="00980732"/>
    <w:rsid w:val="00992FA4"/>
    <w:rsid w:val="009A0FC6"/>
    <w:rsid w:val="009A1462"/>
    <w:rsid w:val="009B113F"/>
    <w:rsid w:val="009B34C4"/>
    <w:rsid w:val="009D0CC1"/>
    <w:rsid w:val="009E1C89"/>
    <w:rsid w:val="009E6E01"/>
    <w:rsid w:val="009F34E5"/>
    <w:rsid w:val="00A1305F"/>
    <w:rsid w:val="00A53B54"/>
    <w:rsid w:val="00A6016F"/>
    <w:rsid w:val="00A62A1B"/>
    <w:rsid w:val="00A62E80"/>
    <w:rsid w:val="00A67E7A"/>
    <w:rsid w:val="00A91875"/>
    <w:rsid w:val="00A935AA"/>
    <w:rsid w:val="00AA1531"/>
    <w:rsid w:val="00AA653C"/>
    <w:rsid w:val="00AB49F9"/>
    <w:rsid w:val="00AD6753"/>
    <w:rsid w:val="00AE2DF8"/>
    <w:rsid w:val="00AF31B2"/>
    <w:rsid w:val="00B24048"/>
    <w:rsid w:val="00B55882"/>
    <w:rsid w:val="00B60103"/>
    <w:rsid w:val="00B611BB"/>
    <w:rsid w:val="00B6406F"/>
    <w:rsid w:val="00B719D1"/>
    <w:rsid w:val="00B73A0F"/>
    <w:rsid w:val="00B85E83"/>
    <w:rsid w:val="00B937D5"/>
    <w:rsid w:val="00BD1D36"/>
    <w:rsid w:val="00BE00B1"/>
    <w:rsid w:val="00BE227D"/>
    <w:rsid w:val="00BE5AFA"/>
    <w:rsid w:val="00C0192B"/>
    <w:rsid w:val="00C51E55"/>
    <w:rsid w:val="00C62B73"/>
    <w:rsid w:val="00C804A6"/>
    <w:rsid w:val="00C91C70"/>
    <w:rsid w:val="00CB38E1"/>
    <w:rsid w:val="00CC1AE8"/>
    <w:rsid w:val="00CC7870"/>
    <w:rsid w:val="00CD439F"/>
    <w:rsid w:val="00CD62D0"/>
    <w:rsid w:val="00CF43EE"/>
    <w:rsid w:val="00D22527"/>
    <w:rsid w:val="00D26AE1"/>
    <w:rsid w:val="00D35A38"/>
    <w:rsid w:val="00D45278"/>
    <w:rsid w:val="00D52BD6"/>
    <w:rsid w:val="00D54E59"/>
    <w:rsid w:val="00D875E8"/>
    <w:rsid w:val="00D91176"/>
    <w:rsid w:val="00D96CC5"/>
    <w:rsid w:val="00DB61DC"/>
    <w:rsid w:val="00DD2433"/>
    <w:rsid w:val="00DF2BA4"/>
    <w:rsid w:val="00E23855"/>
    <w:rsid w:val="00E310CF"/>
    <w:rsid w:val="00E55340"/>
    <w:rsid w:val="00E61AB9"/>
    <w:rsid w:val="00E63E0D"/>
    <w:rsid w:val="00E86DE6"/>
    <w:rsid w:val="00EA716D"/>
    <w:rsid w:val="00EC01F1"/>
    <w:rsid w:val="00EC5971"/>
    <w:rsid w:val="00EC730B"/>
    <w:rsid w:val="00EE12D9"/>
    <w:rsid w:val="00EE19C7"/>
    <w:rsid w:val="00EE44CB"/>
    <w:rsid w:val="00F23BF7"/>
    <w:rsid w:val="00F25F89"/>
    <w:rsid w:val="00F33E13"/>
    <w:rsid w:val="00F70938"/>
    <w:rsid w:val="00F719F2"/>
    <w:rsid w:val="00F8433A"/>
    <w:rsid w:val="00F946E9"/>
    <w:rsid w:val="00FE41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8CBDD"/>
  <w15:chartTrackingRefBased/>
  <w15:docId w15:val="{43FBCD98-BFD0-4053-B25C-AFD60D08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399"/>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404399"/>
    <w:pPr>
      <w:keepNext/>
      <w:keepLines/>
      <w:numPr>
        <w:numId w:val="18"/>
      </w:numPr>
      <w:spacing w:before="300" w:after="100"/>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404399"/>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404399"/>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40439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404399"/>
    <w:pPr>
      <w:numPr>
        <w:ilvl w:val="4"/>
      </w:numPr>
      <w:spacing w:before="200"/>
      <w:outlineLvl w:val="4"/>
    </w:pPr>
    <w:rPr>
      <w:b w:val="0"/>
      <w:sz w:val="22"/>
    </w:rPr>
  </w:style>
  <w:style w:type="paragraph" w:styleId="Overskrift6">
    <w:name w:val="heading 6"/>
    <w:basedOn w:val="Normal"/>
    <w:next w:val="Normal"/>
    <w:link w:val="Overskrift6Tegn"/>
    <w:qFormat/>
    <w:rsid w:val="00404399"/>
    <w:pPr>
      <w:numPr>
        <w:ilvl w:val="5"/>
        <w:numId w:val="1"/>
      </w:numPr>
      <w:spacing w:before="240" w:after="60"/>
      <w:outlineLvl w:val="5"/>
    </w:pPr>
    <w:rPr>
      <w:i/>
    </w:rPr>
  </w:style>
  <w:style w:type="paragraph" w:styleId="Overskrift7">
    <w:name w:val="heading 7"/>
    <w:basedOn w:val="Normal"/>
    <w:next w:val="Normal"/>
    <w:link w:val="Overskrift7Tegn"/>
    <w:qFormat/>
    <w:rsid w:val="00404399"/>
    <w:pPr>
      <w:numPr>
        <w:ilvl w:val="6"/>
        <w:numId w:val="1"/>
      </w:numPr>
      <w:spacing w:before="240" w:after="60"/>
      <w:outlineLvl w:val="6"/>
    </w:pPr>
  </w:style>
  <w:style w:type="paragraph" w:styleId="Overskrift8">
    <w:name w:val="heading 8"/>
    <w:basedOn w:val="Normal"/>
    <w:next w:val="Normal"/>
    <w:link w:val="Overskrift8Tegn"/>
    <w:qFormat/>
    <w:rsid w:val="00404399"/>
    <w:pPr>
      <w:numPr>
        <w:ilvl w:val="7"/>
        <w:numId w:val="1"/>
      </w:numPr>
      <w:spacing w:before="240" w:after="60"/>
      <w:outlineLvl w:val="7"/>
    </w:pPr>
    <w:rPr>
      <w:i/>
    </w:rPr>
  </w:style>
  <w:style w:type="paragraph" w:styleId="Overskrift9">
    <w:name w:val="heading 9"/>
    <w:basedOn w:val="Normal"/>
    <w:next w:val="Normal"/>
    <w:link w:val="Overskrift9Tegn"/>
    <w:qFormat/>
    <w:rsid w:val="00404399"/>
    <w:pPr>
      <w:numPr>
        <w:ilvl w:val="8"/>
        <w:numId w:val="1"/>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04399"/>
    <w:pPr>
      <w:spacing w:after="0" w:line="240" w:lineRule="auto"/>
    </w:pPr>
    <w:rPr>
      <w:rFonts w:ascii="Calibri" w:eastAsia="Times New Roman" w:hAnsi="Calibri"/>
      <w:kern w:val="0"/>
      <w:sz w:val="24"/>
      <w:lang w:eastAsia="nb-NO"/>
      <w14:ligatures w14:val="none"/>
    </w:rPr>
  </w:style>
  <w:style w:type="character" w:customStyle="1" w:styleId="Overskrift1Tegn">
    <w:name w:val="Overskrift 1 Tegn"/>
    <w:basedOn w:val="Standardskriftforavsnitt"/>
    <w:link w:val="Overskrift1"/>
    <w:rsid w:val="00404399"/>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404399"/>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404399"/>
    <w:rPr>
      <w:rFonts w:ascii="Open Sans" w:eastAsia="Times New Roman" w:hAnsi="Open Sans"/>
      <w:b/>
      <w:kern w:val="0"/>
      <w:lang w:eastAsia="nb-NO"/>
      <w14:ligatures w14:val="none"/>
    </w:rPr>
  </w:style>
  <w:style w:type="character" w:customStyle="1" w:styleId="Overskrift4Tegn">
    <w:name w:val="Overskrift 4 Tegn"/>
    <w:basedOn w:val="Standardskriftforavsnitt"/>
    <w:link w:val="Overskrift4"/>
    <w:rsid w:val="00404399"/>
    <w:rPr>
      <w:rFonts w:ascii="Open Sans" w:eastAsia="Times New Roman" w:hAnsi="Open Sans"/>
      <w:i/>
      <w:spacing w:val="4"/>
      <w:kern w:val="28"/>
      <w:lang w:eastAsia="nb-NO"/>
      <w14:ligatures w14:val="none"/>
    </w:rPr>
  </w:style>
  <w:style w:type="character" w:customStyle="1" w:styleId="Overskrift5Tegn">
    <w:name w:val="Overskrift 5 Tegn"/>
    <w:basedOn w:val="Standardskriftforavsnitt"/>
    <w:link w:val="Overskrift5"/>
    <w:rsid w:val="00404399"/>
    <w:rPr>
      <w:rFonts w:ascii="Open Sans" w:eastAsia="Times New Roman" w:hAnsi="Open Sans"/>
      <w:kern w:val="28"/>
      <w:lang w:eastAsia="nb-NO"/>
      <w14:ligatures w14:val="none"/>
    </w:rPr>
  </w:style>
  <w:style w:type="character" w:customStyle="1" w:styleId="Overskrift6Tegn">
    <w:name w:val="Overskrift 6 Tegn"/>
    <w:basedOn w:val="Standardskriftforavsnitt"/>
    <w:link w:val="Overskrift6"/>
    <w:rsid w:val="00404399"/>
    <w:rPr>
      <w:rFonts w:ascii="Open Sans" w:eastAsia="Times New Roman" w:hAnsi="Open Sans"/>
      <w:i/>
      <w:kern w:val="0"/>
      <w:lang w:eastAsia="nb-NO"/>
      <w14:ligatures w14:val="none"/>
    </w:rPr>
  </w:style>
  <w:style w:type="character" w:styleId="Utheving">
    <w:name w:val="Emphasis"/>
    <w:basedOn w:val="Standardskriftforavsnitt"/>
    <w:uiPriority w:val="20"/>
    <w:qFormat/>
    <w:rsid w:val="00404399"/>
    <w:rPr>
      <w:i/>
      <w:iCs/>
    </w:rPr>
  </w:style>
  <w:style w:type="character" w:styleId="Sterkutheving">
    <w:name w:val="Intense Emphasis"/>
    <w:basedOn w:val="Standardskriftforavsnitt"/>
    <w:uiPriority w:val="21"/>
    <w:qFormat/>
    <w:rsid w:val="00404399"/>
    <w:rPr>
      <w:b/>
      <w:bCs/>
      <w:i/>
      <w:iCs/>
      <w:color w:val="5B9BD5" w:themeColor="accent1"/>
    </w:rPr>
  </w:style>
  <w:style w:type="character" w:styleId="Sterk">
    <w:name w:val="Strong"/>
    <w:basedOn w:val="Standardskriftforavsnitt"/>
    <w:uiPriority w:val="22"/>
    <w:qFormat/>
    <w:rsid w:val="00404399"/>
    <w:rPr>
      <w:b/>
      <w:bCs/>
    </w:rPr>
  </w:style>
  <w:style w:type="paragraph" w:styleId="Sterktsitat">
    <w:name w:val="Intense Quote"/>
    <w:basedOn w:val="Normal"/>
    <w:next w:val="Normal"/>
    <w:link w:val="SterktsitatTegn"/>
    <w:uiPriority w:val="30"/>
    <w:qFormat/>
    <w:rsid w:val="00404399"/>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404399"/>
    <w:rPr>
      <w:rFonts w:ascii="Open Sans" w:eastAsia="Times New Roman" w:hAnsi="Open Sans"/>
      <w:b/>
      <w:bCs/>
      <w:i/>
      <w:iCs/>
      <w:color w:val="5B9BD5" w:themeColor="accent1"/>
      <w:kern w:val="0"/>
      <w:lang w:eastAsia="nb-NO"/>
      <w14:ligatures w14:val="none"/>
    </w:rPr>
  </w:style>
  <w:style w:type="character" w:styleId="Svakreferanse">
    <w:name w:val="Subtle Reference"/>
    <w:basedOn w:val="Standardskriftforavsnitt"/>
    <w:uiPriority w:val="31"/>
    <w:qFormat/>
    <w:rsid w:val="00404399"/>
    <w:rPr>
      <w:smallCaps/>
      <w:color w:val="ED7D31" w:themeColor="accent2"/>
      <w:u w:val="single"/>
    </w:rPr>
  </w:style>
  <w:style w:type="character" w:styleId="Sterkreferanse">
    <w:name w:val="Intense Reference"/>
    <w:basedOn w:val="Standardskriftforavsnitt"/>
    <w:uiPriority w:val="32"/>
    <w:qFormat/>
    <w:rsid w:val="00404399"/>
    <w:rPr>
      <w:b/>
      <w:bCs/>
      <w:smallCaps/>
      <w:color w:val="ED7D31" w:themeColor="accent2"/>
      <w:spacing w:val="5"/>
      <w:u w:val="single"/>
    </w:rPr>
  </w:style>
  <w:style w:type="paragraph" w:styleId="Topptekst">
    <w:name w:val="header"/>
    <w:basedOn w:val="Normal"/>
    <w:link w:val="TopptekstTegn"/>
    <w:rsid w:val="00404399"/>
    <w:pPr>
      <w:tabs>
        <w:tab w:val="center" w:pos="4536"/>
        <w:tab w:val="right" w:pos="9072"/>
      </w:tabs>
    </w:pPr>
  </w:style>
  <w:style w:type="character" w:customStyle="1" w:styleId="TopptekstTegn">
    <w:name w:val="Topptekst Tegn"/>
    <w:basedOn w:val="Standardskriftforavsnitt"/>
    <w:link w:val="Topptekst"/>
    <w:rsid w:val="00404399"/>
    <w:rPr>
      <w:rFonts w:ascii="Open Sans" w:eastAsia="Times New Roman" w:hAnsi="Open Sans"/>
      <w:kern w:val="0"/>
      <w:lang w:eastAsia="nb-NO"/>
      <w14:ligatures w14:val="none"/>
    </w:rPr>
  </w:style>
  <w:style w:type="paragraph" w:styleId="Bunntekst">
    <w:name w:val="footer"/>
    <w:basedOn w:val="Normal"/>
    <w:link w:val="BunntekstTegn"/>
    <w:uiPriority w:val="99"/>
    <w:rsid w:val="00404399"/>
    <w:pPr>
      <w:tabs>
        <w:tab w:val="center" w:pos="4153"/>
        <w:tab w:val="right" w:pos="8306"/>
      </w:tabs>
    </w:pPr>
    <w:rPr>
      <w:spacing w:val="4"/>
    </w:rPr>
  </w:style>
  <w:style w:type="character" w:customStyle="1" w:styleId="BunntekstTegn">
    <w:name w:val="Bunntekst Tegn"/>
    <w:basedOn w:val="Standardskriftforavsnitt"/>
    <w:link w:val="Bunntekst"/>
    <w:uiPriority w:val="99"/>
    <w:rsid w:val="00404399"/>
    <w:rPr>
      <w:rFonts w:ascii="Open Sans" w:eastAsia="Times New Roman" w:hAnsi="Open Sans"/>
      <w:spacing w:val="4"/>
      <w:kern w:val="0"/>
      <w:lang w:eastAsia="nb-NO"/>
      <w14:ligatures w14:val="none"/>
    </w:rPr>
  </w:style>
  <w:style w:type="character" w:customStyle="1" w:styleId="Overskrift7Tegn">
    <w:name w:val="Overskrift 7 Tegn"/>
    <w:basedOn w:val="Standardskriftforavsnitt"/>
    <w:link w:val="Overskrift7"/>
    <w:rsid w:val="00404399"/>
    <w:rPr>
      <w:rFonts w:ascii="Open Sans" w:eastAsia="Times New Roman" w:hAnsi="Open Sans"/>
      <w:kern w:val="0"/>
      <w:lang w:eastAsia="nb-NO"/>
      <w14:ligatures w14:val="none"/>
    </w:rPr>
  </w:style>
  <w:style w:type="character" w:customStyle="1" w:styleId="Overskrift8Tegn">
    <w:name w:val="Overskrift 8 Tegn"/>
    <w:basedOn w:val="Standardskriftforavsnitt"/>
    <w:link w:val="Overskrift8"/>
    <w:rsid w:val="00404399"/>
    <w:rPr>
      <w:rFonts w:ascii="Open Sans" w:eastAsia="Times New Roman" w:hAnsi="Open Sans"/>
      <w:i/>
      <w:kern w:val="0"/>
      <w:lang w:eastAsia="nb-NO"/>
      <w14:ligatures w14:val="none"/>
    </w:rPr>
  </w:style>
  <w:style w:type="character" w:customStyle="1" w:styleId="Overskrift9Tegn">
    <w:name w:val="Overskrift 9 Tegn"/>
    <w:basedOn w:val="Standardskriftforavsnitt"/>
    <w:link w:val="Overskrift9"/>
    <w:rsid w:val="00404399"/>
    <w:rPr>
      <w:rFonts w:ascii="Open Sans" w:eastAsia="Times New Roman" w:hAnsi="Open Sans"/>
      <w:b/>
      <w:i/>
      <w:kern w:val="0"/>
      <w:sz w:val="18"/>
      <w:lang w:eastAsia="nb-NO"/>
      <w14:ligatures w14:val="none"/>
    </w:rPr>
  </w:style>
  <w:style w:type="paragraph" w:styleId="Tittel">
    <w:name w:val="Title"/>
    <w:basedOn w:val="Normal"/>
    <w:next w:val="Normal"/>
    <w:link w:val="TittelTegn"/>
    <w:uiPriority w:val="10"/>
    <w:qFormat/>
    <w:rsid w:val="004043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04399"/>
    <w:rPr>
      <w:rFonts w:asciiTheme="majorHAnsi" w:eastAsiaTheme="majorEastAsia" w:hAnsiTheme="majorHAnsi" w:cstheme="majorBidi"/>
      <w:color w:val="323E4F" w:themeColor="text2" w:themeShade="BF"/>
      <w:spacing w:val="5"/>
      <w:kern w:val="28"/>
      <w:sz w:val="52"/>
      <w:szCs w:val="52"/>
      <w:lang w:eastAsia="nb-NO"/>
      <w14:ligatures w14:val="none"/>
    </w:rPr>
  </w:style>
  <w:style w:type="paragraph" w:styleId="Undertittel">
    <w:name w:val="Subtitle"/>
    <w:basedOn w:val="Overskrift1"/>
    <w:next w:val="Normal"/>
    <w:link w:val="UndertittelTegn"/>
    <w:qFormat/>
    <w:rsid w:val="00404399"/>
    <w:pPr>
      <w:numPr>
        <w:numId w:val="0"/>
      </w:numPr>
      <w:spacing w:before="240"/>
      <w:outlineLvl w:val="9"/>
    </w:pPr>
    <w:rPr>
      <w:spacing w:val="4"/>
      <w:sz w:val="28"/>
    </w:rPr>
  </w:style>
  <w:style w:type="character" w:customStyle="1" w:styleId="UndertittelTegn">
    <w:name w:val="Undertittel Tegn"/>
    <w:basedOn w:val="Standardskriftforavsnitt"/>
    <w:link w:val="Undertittel"/>
    <w:rsid w:val="00404399"/>
    <w:rPr>
      <w:rFonts w:ascii="Open Sans" w:eastAsia="Times New Roman" w:hAnsi="Open Sans"/>
      <w:b/>
      <w:spacing w:val="4"/>
      <w:kern w:val="28"/>
      <w:sz w:val="28"/>
      <w:lang w:eastAsia="nb-NO"/>
      <w14:ligatures w14:val="none"/>
    </w:rPr>
  </w:style>
  <w:style w:type="paragraph" w:styleId="Sitat">
    <w:name w:val="Quote"/>
    <w:basedOn w:val="Normal"/>
    <w:next w:val="Normal"/>
    <w:link w:val="SitatTegn"/>
    <w:uiPriority w:val="29"/>
    <w:qFormat/>
    <w:rsid w:val="0040439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404399"/>
    <w:rPr>
      <w:rFonts w:ascii="Open Sans" w:eastAsia="Times New Roman" w:hAnsi="Open Sans"/>
      <w:i/>
      <w:iCs/>
      <w:color w:val="404040" w:themeColor="text1" w:themeTint="BF"/>
      <w:kern w:val="0"/>
      <w:lang w:eastAsia="nb-NO"/>
      <w14:ligatures w14:val="none"/>
    </w:rPr>
  </w:style>
  <w:style w:type="paragraph" w:styleId="Listeavsnitt">
    <w:name w:val="List Paragraph"/>
    <w:basedOn w:val="friliste"/>
    <w:uiPriority w:val="34"/>
    <w:qFormat/>
    <w:rsid w:val="00404399"/>
    <w:pPr>
      <w:spacing w:before="0"/>
      <w:ind w:firstLine="0"/>
    </w:pPr>
  </w:style>
  <w:style w:type="paragraph" w:customStyle="1" w:styleId="alfaliste">
    <w:name w:val="alfaliste"/>
    <w:basedOn w:val="Nummerertliste"/>
    <w:rsid w:val="00404399"/>
    <w:pPr>
      <w:numPr>
        <w:numId w:val="26"/>
      </w:numPr>
    </w:pPr>
    <w:rPr>
      <w:spacing w:val="4"/>
    </w:rPr>
  </w:style>
  <w:style w:type="paragraph" w:customStyle="1" w:styleId="alfaliste2">
    <w:name w:val="alfaliste 2"/>
    <w:basedOn w:val="alfaliste"/>
    <w:rsid w:val="00404399"/>
    <w:pPr>
      <w:numPr>
        <w:ilvl w:val="1"/>
      </w:numPr>
    </w:pPr>
  </w:style>
  <w:style w:type="paragraph" w:customStyle="1" w:styleId="alfaliste3">
    <w:name w:val="alfaliste 3"/>
    <w:basedOn w:val="alfaliste"/>
    <w:autoRedefine/>
    <w:qFormat/>
    <w:rsid w:val="00404399"/>
    <w:pPr>
      <w:numPr>
        <w:ilvl w:val="2"/>
      </w:numPr>
    </w:pPr>
  </w:style>
  <w:style w:type="paragraph" w:customStyle="1" w:styleId="alfaliste4">
    <w:name w:val="alfaliste 4"/>
    <w:basedOn w:val="alfaliste"/>
    <w:qFormat/>
    <w:rsid w:val="00404399"/>
    <w:pPr>
      <w:numPr>
        <w:ilvl w:val="3"/>
      </w:numPr>
    </w:pPr>
  </w:style>
  <w:style w:type="paragraph" w:customStyle="1" w:styleId="alfaliste5">
    <w:name w:val="alfaliste 5"/>
    <w:basedOn w:val="alfaliste"/>
    <w:qFormat/>
    <w:rsid w:val="00404399"/>
    <w:pPr>
      <w:numPr>
        <w:ilvl w:val="4"/>
      </w:numPr>
    </w:pPr>
  </w:style>
  <w:style w:type="paragraph" w:customStyle="1" w:styleId="avsnitt-tittel">
    <w:name w:val="avsnitt-tittel"/>
    <w:basedOn w:val="Undertittel"/>
    <w:next w:val="Normal"/>
    <w:rsid w:val="00404399"/>
    <w:rPr>
      <w:b w:val="0"/>
    </w:rPr>
  </w:style>
  <w:style w:type="paragraph" w:customStyle="1" w:styleId="avsnitt-undertittel">
    <w:name w:val="avsnitt-undertittel"/>
    <w:basedOn w:val="Undertittel"/>
    <w:next w:val="Normal"/>
    <w:rsid w:val="00404399"/>
    <w:pPr>
      <w:spacing w:line="240" w:lineRule="auto"/>
    </w:pPr>
    <w:rPr>
      <w:rFonts w:eastAsia="Batang"/>
      <w:b w:val="0"/>
      <w:i/>
      <w:sz w:val="24"/>
      <w:szCs w:val="20"/>
    </w:rPr>
  </w:style>
  <w:style w:type="paragraph" w:customStyle="1" w:styleId="avsnitt-under-undertittel">
    <w:name w:val="avsnitt-under-undertittel"/>
    <w:basedOn w:val="Undertittel"/>
    <w:next w:val="Normal"/>
    <w:rsid w:val="00404399"/>
    <w:pPr>
      <w:spacing w:line="240" w:lineRule="auto"/>
    </w:pPr>
    <w:rPr>
      <w:rFonts w:eastAsia="Batang"/>
      <w:b w:val="0"/>
      <w:i/>
      <w:sz w:val="22"/>
      <w:szCs w:val="20"/>
    </w:rPr>
  </w:style>
  <w:style w:type="paragraph" w:customStyle="1" w:styleId="Def">
    <w:name w:val="Def"/>
    <w:basedOn w:val="Normal"/>
    <w:qFormat/>
    <w:rsid w:val="00404399"/>
  </w:style>
  <w:style w:type="paragraph" w:customStyle="1" w:styleId="figur-beskr">
    <w:name w:val="figur-beskr"/>
    <w:basedOn w:val="Normal"/>
    <w:next w:val="Normal"/>
    <w:rsid w:val="00404399"/>
    <w:rPr>
      <w:spacing w:val="4"/>
    </w:rPr>
  </w:style>
  <w:style w:type="paragraph" w:customStyle="1" w:styleId="figur-tittel">
    <w:name w:val="figur-tittel"/>
    <w:basedOn w:val="Normal"/>
    <w:next w:val="Normal"/>
    <w:rsid w:val="00404399"/>
    <w:pPr>
      <w:numPr>
        <w:ilvl w:val="5"/>
        <w:numId w:val="18"/>
      </w:numPr>
    </w:pPr>
    <w:rPr>
      <w:spacing w:val="4"/>
      <w:sz w:val="28"/>
    </w:rPr>
  </w:style>
  <w:style w:type="character" w:customStyle="1" w:styleId="halvfet">
    <w:name w:val="halvfet"/>
    <w:basedOn w:val="Standardskriftforavsnitt"/>
    <w:rsid w:val="00404399"/>
    <w:rPr>
      <w:b/>
    </w:rPr>
  </w:style>
  <w:style w:type="paragraph" w:customStyle="1" w:styleId="hengende-innrykk">
    <w:name w:val="hengende-innrykk"/>
    <w:basedOn w:val="Normal"/>
    <w:next w:val="Normal"/>
    <w:rsid w:val="00404399"/>
    <w:pPr>
      <w:ind w:left="1418" w:hanging="1418"/>
    </w:pPr>
    <w:rPr>
      <w:spacing w:val="4"/>
    </w:rPr>
  </w:style>
  <w:style w:type="paragraph" w:customStyle="1" w:styleId="Kilde">
    <w:name w:val="Kilde"/>
    <w:basedOn w:val="Normal"/>
    <w:next w:val="Normal"/>
    <w:rsid w:val="00404399"/>
    <w:pPr>
      <w:spacing w:after="240"/>
    </w:pPr>
    <w:rPr>
      <w:spacing w:val="4"/>
      <w:sz w:val="18"/>
    </w:rPr>
  </w:style>
  <w:style w:type="character" w:customStyle="1" w:styleId="kursiv">
    <w:name w:val="kursiv"/>
    <w:basedOn w:val="Standardskriftforavsnitt"/>
    <w:rsid w:val="00404399"/>
    <w:rPr>
      <w:i/>
    </w:rPr>
  </w:style>
  <w:style w:type="character" w:customStyle="1" w:styleId="l-endring">
    <w:name w:val="l-endring"/>
    <w:basedOn w:val="Standardskriftforavsnitt"/>
    <w:rsid w:val="00404399"/>
    <w:rPr>
      <w:i/>
    </w:rPr>
  </w:style>
  <w:style w:type="paragraph" w:customStyle="1" w:styleId="l-lovdeltit">
    <w:name w:val="l-lovdeltit"/>
    <w:basedOn w:val="Normal"/>
    <w:next w:val="Normal"/>
    <w:rsid w:val="00404399"/>
    <w:pPr>
      <w:keepNext/>
      <w:spacing w:before="120" w:after="60"/>
    </w:pPr>
    <w:rPr>
      <w:b/>
    </w:rPr>
  </w:style>
  <w:style w:type="paragraph" w:customStyle="1" w:styleId="l-lovkap">
    <w:name w:val="l-lovkap"/>
    <w:basedOn w:val="Normal"/>
    <w:next w:val="Normal"/>
    <w:rsid w:val="00404399"/>
    <w:pPr>
      <w:keepNext/>
      <w:spacing w:before="240" w:after="40"/>
    </w:pPr>
    <w:rPr>
      <w:b/>
      <w:spacing w:val="4"/>
    </w:rPr>
  </w:style>
  <w:style w:type="paragraph" w:customStyle="1" w:styleId="l-lovtit">
    <w:name w:val="l-lovtit"/>
    <w:basedOn w:val="Normal"/>
    <w:next w:val="Normal"/>
    <w:rsid w:val="00404399"/>
    <w:pPr>
      <w:keepNext/>
      <w:spacing w:before="120" w:after="60"/>
    </w:pPr>
    <w:rPr>
      <w:b/>
      <w:spacing w:val="4"/>
    </w:rPr>
  </w:style>
  <w:style w:type="paragraph" w:customStyle="1" w:styleId="l-paragraf">
    <w:name w:val="l-paragraf"/>
    <w:basedOn w:val="Normal"/>
    <w:next w:val="Normal"/>
    <w:rsid w:val="00404399"/>
    <w:pPr>
      <w:spacing w:before="180" w:after="0"/>
    </w:pPr>
    <w:rPr>
      <w:rFonts w:ascii="Times New Roman" w:hAnsi="Times New Roman"/>
      <w:i/>
      <w:spacing w:val="4"/>
    </w:rPr>
  </w:style>
  <w:style w:type="paragraph" w:customStyle="1" w:styleId="opplisting">
    <w:name w:val="opplisting"/>
    <w:basedOn w:val="Liste"/>
    <w:qFormat/>
    <w:rsid w:val="00404399"/>
    <w:pPr>
      <w:numPr>
        <w:numId w:val="0"/>
      </w:numPr>
      <w:tabs>
        <w:tab w:val="left" w:pos="397"/>
      </w:tabs>
    </w:pPr>
    <w:rPr>
      <w:rFonts w:cs="Times New Roman"/>
    </w:rPr>
  </w:style>
  <w:style w:type="paragraph" w:customStyle="1" w:styleId="Ramme-slutt">
    <w:name w:val="Ramme-slutt"/>
    <w:basedOn w:val="Normal"/>
    <w:qFormat/>
    <w:rsid w:val="00404399"/>
    <w:rPr>
      <w:b/>
      <w:color w:val="C00000"/>
    </w:rPr>
  </w:style>
  <w:style w:type="paragraph" w:customStyle="1" w:styleId="romertallliste">
    <w:name w:val="romertall liste"/>
    <w:basedOn w:val="Normal"/>
    <w:qFormat/>
    <w:rsid w:val="00404399"/>
    <w:pPr>
      <w:numPr>
        <w:numId w:val="25"/>
      </w:numPr>
      <w:spacing w:before="0" w:after="0"/>
    </w:pPr>
    <w:rPr>
      <w:rFonts w:eastAsia="Batang"/>
      <w:spacing w:val="4"/>
      <w:szCs w:val="20"/>
    </w:rPr>
  </w:style>
  <w:style w:type="paragraph" w:customStyle="1" w:styleId="romertallliste2">
    <w:name w:val="romertall liste 2"/>
    <w:basedOn w:val="romertallliste"/>
    <w:qFormat/>
    <w:rsid w:val="00404399"/>
    <w:pPr>
      <w:numPr>
        <w:ilvl w:val="1"/>
      </w:numPr>
    </w:pPr>
  </w:style>
  <w:style w:type="paragraph" w:customStyle="1" w:styleId="romertallliste3">
    <w:name w:val="romertall liste 3"/>
    <w:basedOn w:val="romertallliste"/>
    <w:qFormat/>
    <w:rsid w:val="00404399"/>
    <w:pPr>
      <w:numPr>
        <w:ilvl w:val="2"/>
      </w:numPr>
    </w:pPr>
  </w:style>
  <w:style w:type="paragraph" w:customStyle="1" w:styleId="romertallliste4">
    <w:name w:val="romertall liste 4"/>
    <w:basedOn w:val="romertallliste"/>
    <w:qFormat/>
    <w:rsid w:val="00404399"/>
    <w:pPr>
      <w:numPr>
        <w:ilvl w:val="3"/>
      </w:numPr>
    </w:pPr>
  </w:style>
  <w:style w:type="character" w:customStyle="1" w:styleId="skrift-hevet">
    <w:name w:val="skrift-hevet"/>
    <w:basedOn w:val="Standardskriftforavsnitt"/>
    <w:rsid w:val="00404399"/>
    <w:rPr>
      <w:sz w:val="20"/>
      <w:vertAlign w:val="superscript"/>
    </w:rPr>
  </w:style>
  <w:style w:type="character" w:customStyle="1" w:styleId="skrift-senket">
    <w:name w:val="skrift-senket"/>
    <w:basedOn w:val="Standardskriftforavsnitt"/>
    <w:rsid w:val="00404399"/>
    <w:rPr>
      <w:sz w:val="20"/>
      <w:vertAlign w:val="subscript"/>
    </w:rPr>
  </w:style>
  <w:style w:type="character" w:customStyle="1" w:styleId="sperret">
    <w:name w:val="sperret"/>
    <w:basedOn w:val="Standardskriftforavsnitt"/>
    <w:rsid w:val="00404399"/>
    <w:rPr>
      <w:spacing w:val="30"/>
    </w:rPr>
  </w:style>
  <w:style w:type="character" w:customStyle="1" w:styleId="Stikkord">
    <w:name w:val="Stikkord"/>
    <w:basedOn w:val="Standardskriftforavsnitt"/>
    <w:rsid w:val="00404399"/>
  </w:style>
  <w:style w:type="paragraph" w:customStyle="1" w:styleId="Tabellnavn">
    <w:name w:val="Tabellnavn"/>
    <w:basedOn w:val="Normal"/>
    <w:qFormat/>
    <w:rsid w:val="00404399"/>
    <w:rPr>
      <w:rFonts w:ascii="Times New Roman" w:hAnsi="Times New Roman"/>
      <w:vanish/>
      <w:color w:val="00B050"/>
    </w:rPr>
  </w:style>
  <w:style w:type="paragraph" w:customStyle="1" w:styleId="tabell-tittel">
    <w:name w:val="tabell-tittel"/>
    <w:basedOn w:val="Normal"/>
    <w:next w:val="Normal"/>
    <w:rsid w:val="00404399"/>
    <w:pPr>
      <w:keepNext/>
      <w:keepLines/>
      <w:numPr>
        <w:ilvl w:val="6"/>
        <w:numId w:val="18"/>
      </w:numPr>
      <w:spacing w:before="240"/>
    </w:pPr>
    <w:rPr>
      <w:spacing w:val="4"/>
      <w:sz w:val="28"/>
    </w:rPr>
  </w:style>
  <w:style w:type="paragraph" w:customStyle="1" w:styleId="Term">
    <w:name w:val="Term"/>
    <w:basedOn w:val="Normal"/>
    <w:qFormat/>
    <w:rsid w:val="00404399"/>
  </w:style>
  <w:style w:type="paragraph" w:customStyle="1" w:styleId="tittel-ramme">
    <w:name w:val="tittel-ramme"/>
    <w:basedOn w:val="Normal"/>
    <w:next w:val="Normal"/>
    <w:rsid w:val="00404399"/>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404399"/>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404399"/>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04399"/>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4043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04399"/>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404399"/>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04399"/>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404399"/>
    <w:pPr>
      <w:numPr>
        <w:numId w:val="17"/>
      </w:numPr>
    </w:pPr>
  </w:style>
  <w:style w:type="paragraph" w:customStyle="1" w:styleId="Figur">
    <w:name w:val="Figur"/>
    <w:basedOn w:val="Normal"/>
    <w:rsid w:val="00404399"/>
    <w:pPr>
      <w:suppressAutoHyphens/>
      <w:spacing w:before="400" w:line="240" w:lineRule="auto"/>
      <w:jc w:val="center"/>
    </w:pPr>
    <w:rPr>
      <w:b/>
      <w:color w:val="FF0000"/>
    </w:rPr>
  </w:style>
  <w:style w:type="paragraph" w:customStyle="1" w:styleId="l-ledd">
    <w:name w:val="l-ledd"/>
    <w:basedOn w:val="Normal"/>
    <w:qFormat/>
    <w:rsid w:val="00404399"/>
    <w:pPr>
      <w:spacing w:after="0"/>
      <w:ind w:firstLine="397"/>
    </w:pPr>
    <w:rPr>
      <w:rFonts w:ascii="Times New Roman" w:hAnsi="Times New Roman"/>
      <w:spacing w:val="4"/>
    </w:rPr>
  </w:style>
  <w:style w:type="paragraph" w:customStyle="1" w:styleId="l-punktum">
    <w:name w:val="l-punktum"/>
    <w:basedOn w:val="Normal"/>
    <w:qFormat/>
    <w:rsid w:val="00404399"/>
    <w:pPr>
      <w:spacing w:after="0"/>
    </w:pPr>
    <w:rPr>
      <w:spacing w:val="4"/>
    </w:rPr>
  </w:style>
  <w:style w:type="paragraph" w:customStyle="1" w:styleId="l-tit-endr-lovkap">
    <w:name w:val="l-tit-endr-lovkap"/>
    <w:basedOn w:val="Normal"/>
    <w:qFormat/>
    <w:rsid w:val="00404399"/>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404399"/>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404399"/>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404399"/>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404399"/>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404399"/>
  </w:style>
  <w:style w:type="paragraph" w:customStyle="1" w:styleId="l-alfaliste">
    <w:name w:val="l-alfaliste"/>
    <w:basedOn w:val="alfaliste"/>
    <w:qFormat/>
    <w:rsid w:val="00404399"/>
    <w:pPr>
      <w:numPr>
        <w:numId w:val="0"/>
      </w:numPr>
    </w:pPr>
    <w:rPr>
      <w:rFonts w:eastAsiaTheme="minorEastAsia"/>
    </w:rPr>
  </w:style>
  <w:style w:type="numbering" w:customStyle="1" w:styleId="AlfaListeStil">
    <w:name w:val="AlfaListeStil"/>
    <w:uiPriority w:val="99"/>
    <w:rsid w:val="00404399"/>
    <w:pPr>
      <w:numPr>
        <w:numId w:val="30"/>
      </w:numPr>
    </w:pPr>
  </w:style>
  <w:style w:type="paragraph" w:customStyle="1" w:styleId="l-alfaliste2">
    <w:name w:val="l-alfaliste 2"/>
    <w:basedOn w:val="alfaliste2"/>
    <w:qFormat/>
    <w:rsid w:val="00404399"/>
    <w:pPr>
      <w:numPr>
        <w:numId w:val="0"/>
      </w:numPr>
    </w:pPr>
  </w:style>
  <w:style w:type="paragraph" w:customStyle="1" w:styleId="l-alfaliste3">
    <w:name w:val="l-alfaliste 3"/>
    <w:basedOn w:val="alfaliste3"/>
    <w:qFormat/>
    <w:rsid w:val="00404399"/>
    <w:pPr>
      <w:numPr>
        <w:numId w:val="0"/>
      </w:numPr>
    </w:pPr>
  </w:style>
  <w:style w:type="paragraph" w:customStyle="1" w:styleId="l-alfaliste4">
    <w:name w:val="l-alfaliste 4"/>
    <w:basedOn w:val="alfaliste4"/>
    <w:qFormat/>
    <w:rsid w:val="00404399"/>
    <w:pPr>
      <w:numPr>
        <w:numId w:val="0"/>
      </w:numPr>
    </w:pPr>
  </w:style>
  <w:style w:type="paragraph" w:customStyle="1" w:styleId="l-alfaliste5">
    <w:name w:val="l-alfaliste 5"/>
    <w:basedOn w:val="alfaliste5"/>
    <w:qFormat/>
    <w:rsid w:val="00404399"/>
    <w:pPr>
      <w:numPr>
        <w:numId w:val="0"/>
      </w:numPr>
    </w:pPr>
  </w:style>
  <w:style w:type="numbering" w:customStyle="1" w:styleId="l-AlfaListeStil">
    <w:name w:val="l-AlfaListeStil"/>
    <w:uiPriority w:val="99"/>
    <w:rsid w:val="00404399"/>
  </w:style>
  <w:style w:type="numbering" w:customStyle="1" w:styleId="l-NummerertListeStil">
    <w:name w:val="l-NummerertListeStil"/>
    <w:uiPriority w:val="99"/>
    <w:rsid w:val="00404399"/>
    <w:pPr>
      <w:numPr>
        <w:numId w:val="7"/>
      </w:numPr>
    </w:pPr>
  </w:style>
  <w:style w:type="numbering" w:customStyle="1" w:styleId="NrListeStil">
    <w:name w:val="NrListeStil"/>
    <w:uiPriority w:val="99"/>
    <w:rsid w:val="00404399"/>
    <w:pPr>
      <w:numPr>
        <w:numId w:val="8"/>
      </w:numPr>
    </w:pPr>
  </w:style>
  <w:style w:type="numbering" w:customStyle="1" w:styleId="OpplistingListeStil">
    <w:name w:val="OpplistingListeStil"/>
    <w:uiPriority w:val="99"/>
    <w:rsid w:val="00404399"/>
    <w:pPr>
      <w:numPr>
        <w:numId w:val="29"/>
      </w:numPr>
    </w:pPr>
  </w:style>
  <w:style w:type="numbering" w:customStyle="1" w:styleId="OverskrifterListeStil">
    <w:name w:val="OverskrifterListeStil"/>
    <w:uiPriority w:val="99"/>
    <w:rsid w:val="00404399"/>
    <w:pPr>
      <w:numPr>
        <w:numId w:val="9"/>
      </w:numPr>
    </w:pPr>
  </w:style>
  <w:style w:type="numbering" w:customStyle="1" w:styleId="RomListeStil">
    <w:name w:val="RomListeStil"/>
    <w:uiPriority w:val="99"/>
    <w:rsid w:val="00404399"/>
    <w:pPr>
      <w:numPr>
        <w:numId w:val="10"/>
      </w:numPr>
    </w:pPr>
  </w:style>
  <w:style w:type="numbering" w:customStyle="1" w:styleId="StrekListeStil">
    <w:name w:val="StrekListeStil"/>
    <w:uiPriority w:val="99"/>
    <w:rsid w:val="00404399"/>
    <w:pPr>
      <w:numPr>
        <w:numId w:val="11"/>
      </w:numPr>
    </w:pPr>
  </w:style>
  <w:style w:type="paragraph" w:customStyle="1" w:styleId="romertallliste5">
    <w:name w:val="romertall liste 5"/>
    <w:basedOn w:val="romertallliste"/>
    <w:qFormat/>
    <w:rsid w:val="00404399"/>
    <w:pPr>
      <w:numPr>
        <w:ilvl w:val="4"/>
      </w:numPr>
    </w:pPr>
  </w:style>
  <w:style w:type="paragraph" w:customStyle="1" w:styleId="opplisting2">
    <w:name w:val="opplisting 2"/>
    <w:basedOn w:val="opplisting"/>
    <w:qFormat/>
    <w:rsid w:val="00404399"/>
    <w:pPr>
      <w:ind w:left="397"/>
    </w:pPr>
    <w:rPr>
      <w:lang w:val="en-US"/>
    </w:rPr>
  </w:style>
  <w:style w:type="paragraph" w:customStyle="1" w:styleId="opplisting3">
    <w:name w:val="opplisting 3"/>
    <w:basedOn w:val="opplisting"/>
    <w:qFormat/>
    <w:rsid w:val="00404399"/>
    <w:pPr>
      <w:ind w:left="794"/>
    </w:pPr>
  </w:style>
  <w:style w:type="paragraph" w:customStyle="1" w:styleId="opplisting4">
    <w:name w:val="opplisting 4"/>
    <w:basedOn w:val="opplisting"/>
    <w:qFormat/>
    <w:rsid w:val="00404399"/>
    <w:pPr>
      <w:ind w:left="1191"/>
    </w:pPr>
  </w:style>
  <w:style w:type="paragraph" w:customStyle="1" w:styleId="opplisting5">
    <w:name w:val="opplisting 5"/>
    <w:basedOn w:val="opplisting"/>
    <w:qFormat/>
    <w:rsid w:val="00404399"/>
    <w:pPr>
      <w:ind w:left="1588"/>
    </w:pPr>
  </w:style>
  <w:style w:type="paragraph" w:customStyle="1" w:styleId="friliste">
    <w:name w:val="friliste"/>
    <w:basedOn w:val="Normal"/>
    <w:qFormat/>
    <w:rsid w:val="00404399"/>
    <w:pPr>
      <w:tabs>
        <w:tab w:val="left" w:pos="397"/>
      </w:tabs>
      <w:spacing w:after="0"/>
      <w:ind w:left="397" w:hanging="397"/>
    </w:pPr>
  </w:style>
  <w:style w:type="paragraph" w:customStyle="1" w:styleId="friliste2">
    <w:name w:val="friliste 2"/>
    <w:basedOn w:val="friliste"/>
    <w:qFormat/>
    <w:rsid w:val="00404399"/>
    <w:pPr>
      <w:tabs>
        <w:tab w:val="left" w:pos="794"/>
      </w:tabs>
      <w:spacing w:before="0"/>
      <w:ind w:left="794"/>
    </w:pPr>
  </w:style>
  <w:style w:type="paragraph" w:customStyle="1" w:styleId="friliste3">
    <w:name w:val="friliste 3"/>
    <w:basedOn w:val="friliste"/>
    <w:qFormat/>
    <w:rsid w:val="00404399"/>
    <w:pPr>
      <w:tabs>
        <w:tab w:val="left" w:pos="1191"/>
      </w:tabs>
      <w:spacing w:before="0"/>
      <w:ind w:left="1191"/>
    </w:pPr>
  </w:style>
  <w:style w:type="paragraph" w:customStyle="1" w:styleId="friliste4">
    <w:name w:val="friliste 4"/>
    <w:basedOn w:val="friliste"/>
    <w:qFormat/>
    <w:rsid w:val="00404399"/>
    <w:pPr>
      <w:tabs>
        <w:tab w:val="left" w:pos="1588"/>
      </w:tabs>
      <w:spacing w:before="0"/>
      <w:ind w:left="1588"/>
    </w:pPr>
  </w:style>
  <w:style w:type="paragraph" w:customStyle="1" w:styleId="friliste5">
    <w:name w:val="friliste 5"/>
    <w:basedOn w:val="friliste"/>
    <w:qFormat/>
    <w:rsid w:val="00404399"/>
    <w:pPr>
      <w:tabs>
        <w:tab w:val="left" w:pos="1985"/>
      </w:tabs>
      <w:spacing w:before="0"/>
      <w:ind w:left="1985"/>
    </w:pPr>
  </w:style>
  <w:style w:type="paragraph" w:customStyle="1" w:styleId="blokksit">
    <w:name w:val="blokksit"/>
    <w:basedOn w:val="Normal"/>
    <w:autoRedefine/>
    <w:qFormat/>
    <w:rsid w:val="00404399"/>
    <w:pPr>
      <w:spacing w:line="240" w:lineRule="auto"/>
      <w:ind w:left="397"/>
    </w:pPr>
    <w:rPr>
      <w:spacing w:val="-2"/>
    </w:rPr>
  </w:style>
  <w:style w:type="character" w:customStyle="1" w:styleId="regular">
    <w:name w:val="regular"/>
    <w:basedOn w:val="Standardskriftforavsnitt"/>
    <w:uiPriority w:val="1"/>
    <w:qFormat/>
    <w:rsid w:val="00404399"/>
    <w:rPr>
      <w:i/>
    </w:rPr>
  </w:style>
  <w:style w:type="character" w:customStyle="1" w:styleId="gjennomstreket">
    <w:name w:val="gjennomstreket"/>
    <w:uiPriority w:val="1"/>
    <w:rsid w:val="00404399"/>
    <w:rPr>
      <w:strike/>
      <w:dstrike w:val="0"/>
    </w:rPr>
  </w:style>
  <w:style w:type="paragraph" w:customStyle="1" w:styleId="l-avsnitt">
    <w:name w:val="l-avsnitt"/>
    <w:basedOn w:val="l-lovkap"/>
    <w:qFormat/>
    <w:rsid w:val="00404399"/>
    <w:rPr>
      <w:lang w:val="nn-NO"/>
    </w:rPr>
  </w:style>
  <w:style w:type="paragraph" w:customStyle="1" w:styleId="l-tit-endr-avsnitt">
    <w:name w:val="l-tit-endr-avsnitt"/>
    <w:basedOn w:val="l-tit-endr-lovkap"/>
    <w:qFormat/>
    <w:rsid w:val="00404399"/>
  </w:style>
  <w:style w:type="paragraph" w:customStyle="1" w:styleId="Listebombe">
    <w:name w:val="Liste bombe"/>
    <w:basedOn w:val="Liste"/>
    <w:qFormat/>
    <w:rsid w:val="00404399"/>
    <w:pPr>
      <w:numPr>
        <w:numId w:val="12"/>
      </w:numPr>
      <w:ind w:left="397" w:hanging="397"/>
    </w:pPr>
  </w:style>
  <w:style w:type="paragraph" w:styleId="Liste">
    <w:name w:val="List"/>
    <w:basedOn w:val="Nummerertliste"/>
    <w:qFormat/>
    <w:rsid w:val="00404399"/>
    <w:pPr>
      <w:numPr>
        <w:numId w:val="19"/>
      </w:numPr>
      <w:ind w:left="397" w:hanging="397"/>
      <w:contextualSpacing/>
    </w:pPr>
    <w:rPr>
      <w:spacing w:val="4"/>
    </w:rPr>
  </w:style>
  <w:style w:type="paragraph" w:customStyle="1" w:styleId="Listebombe2">
    <w:name w:val="Liste bombe 2"/>
    <w:basedOn w:val="Liste2"/>
    <w:qFormat/>
    <w:rsid w:val="00404399"/>
    <w:pPr>
      <w:numPr>
        <w:numId w:val="13"/>
      </w:numPr>
      <w:ind w:left="794" w:hanging="397"/>
    </w:pPr>
  </w:style>
  <w:style w:type="paragraph" w:styleId="Liste2">
    <w:name w:val="List 2"/>
    <w:basedOn w:val="Liste"/>
    <w:qFormat/>
    <w:rsid w:val="00404399"/>
    <w:pPr>
      <w:numPr>
        <w:numId w:val="20"/>
      </w:numPr>
      <w:ind w:left="794" w:hanging="397"/>
    </w:pPr>
  </w:style>
  <w:style w:type="paragraph" w:customStyle="1" w:styleId="Listebombe3">
    <w:name w:val="Liste bombe 3"/>
    <w:basedOn w:val="Liste3"/>
    <w:qFormat/>
    <w:rsid w:val="00404399"/>
    <w:pPr>
      <w:numPr>
        <w:numId w:val="14"/>
      </w:numPr>
      <w:ind w:left="1191" w:hanging="397"/>
    </w:pPr>
  </w:style>
  <w:style w:type="paragraph" w:styleId="Liste3">
    <w:name w:val="List 3"/>
    <w:basedOn w:val="Liste"/>
    <w:qFormat/>
    <w:rsid w:val="00404399"/>
    <w:pPr>
      <w:numPr>
        <w:numId w:val="21"/>
      </w:numPr>
      <w:ind w:left="1191" w:hanging="397"/>
    </w:pPr>
  </w:style>
  <w:style w:type="paragraph" w:customStyle="1" w:styleId="Listebombe4">
    <w:name w:val="Liste bombe 4"/>
    <w:basedOn w:val="Liste4"/>
    <w:qFormat/>
    <w:rsid w:val="00404399"/>
    <w:pPr>
      <w:numPr>
        <w:numId w:val="15"/>
      </w:numPr>
      <w:ind w:left="1588" w:hanging="397"/>
    </w:pPr>
  </w:style>
  <w:style w:type="paragraph" w:styleId="Liste4">
    <w:name w:val="List 4"/>
    <w:basedOn w:val="Liste"/>
    <w:qFormat/>
    <w:rsid w:val="00404399"/>
    <w:pPr>
      <w:numPr>
        <w:numId w:val="22"/>
      </w:numPr>
      <w:ind w:left="1588" w:hanging="397"/>
    </w:pPr>
  </w:style>
  <w:style w:type="paragraph" w:customStyle="1" w:styleId="Listebombe5">
    <w:name w:val="Liste bombe 5"/>
    <w:basedOn w:val="Liste5"/>
    <w:qFormat/>
    <w:rsid w:val="00404399"/>
    <w:pPr>
      <w:numPr>
        <w:numId w:val="16"/>
      </w:numPr>
      <w:ind w:left="1985" w:hanging="397"/>
    </w:pPr>
  </w:style>
  <w:style w:type="paragraph" w:styleId="Liste5">
    <w:name w:val="List 5"/>
    <w:basedOn w:val="Liste"/>
    <w:qFormat/>
    <w:rsid w:val="00404399"/>
    <w:pPr>
      <w:numPr>
        <w:numId w:val="23"/>
      </w:numPr>
      <w:ind w:left="1985" w:hanging="397"/>
    </w:pPr>
  </w:style>
  <w:style w:type="paragraph" w:customStyle="1" w:styleId="Listeavsnitt2">
    <w:name w:val="Listeavsnitt 2"/>
    <w:basedOn w:val="Listeavsnitt"/>
    <w:qFormat/>
    <w:rsid w:val="00404399"/>
    <w:pPr>
      <w:ind w:left="794"/>
    </w:pPr>
  </w:style>
  <w:style w:type="paragraph" w:customStyle="1" w:styleId="Listeavsnitt3">
    <w:name w:val="Listeavsnitt 3"/>
    <w:basedOn w:val="Listeavsnitt"/>
    <w:qFormat/>
    <w:rsid w:val="00404399"/>
    <w:pPr>
      <w:ind w:left="1191"/>
    </w:pPr>
  </w:style>
  <w:style w:type="paragraph" w:customStyle="1" w:styleId="Listeavsnitt4">
    <w:name w:val="Listeavsnitt 4"/>
    <w:basedOn w:val="Listeavsnitt"/>
    <w:qFormat/>
    <w:rsid w:val="00404399"/>
    <w:pPr>
      <w:ind w:left="1588"/>
    </w:pPr>
  </w:style>
  <w:style w:type="paragraph" w:customStyle="1" w:styleId="Listeavsnitt5">
    <w:name w:val="Listeavsnitt 5"/>
    <w:basedOn w:val="Listeavsnitt"/>
    <w:qFormat/>
    <w:rsid w:val="00404399"/>
    <w:pPr>
      <w:ind w:left="1985"/>
    </w:pPr>
  </w:style>
  <w:style w:type="paragraph" w:customStyle="1" w:styleId="Petit">
    <w:name w:val="Petit"/>
    <w:basedOn w:val="Normal"/>
    <w:next w:val="Normal"/>
    <w:qFormat/>
    <w:rsid w:val="00404399"/>
    <w:rPr>
      <w:spacing w:val="6"/>
      <w:sz w:val="19"/>
    </w:rPr>
  </w:style>
  <w:style w:type="paragraph" w:customStyle="1" w:styleId="TrykkeriMerknad">
    <w:name w:val="TrykkeriMerknad"/>
    <w:basedOn w:val="Normal"/>
    <w:qFormat/>
    <w:rsid w:val="00404399"/>
    <w:pPr>
      <w:spacing w:before="60"/>
    </w:pPr>
    <w:rPr>
      <w:color w:val="C45911" w:themeColor="accent2" w:themeShade="BF"/>
      <w:spacing w:val="4"/>
      <w:sz w:val="26"/>
    </w:rPr>
  </w:style>
  <w:style w:type="paragraph" w:customStyle="1" w:styleId="ForfatterMerknad">
    <w:name w:val="ForfatterMerknad"/>
    <w:basedOn w:val="TrykkeriMerknad"/>
    <w:qFormat/>
    <w:rsid w:val="00404399"/>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404399"/>
    <w:pPr>
      <w:numPr>
        <w:numId w:val="0"/>
      </w:numPr>
    </w:pPr>
  </w:style>
  <w:style w:type="paragraph" w:customStyle="1" w:styleId="UnOverskrift2">
    <w:name w:val="UnOverskrift 2"/>
    <w:basedOn w:val="Overskrift2"/>
    <w:next w:val="Normal"/>
    <w:qFormat/>
    <w:rsid w:val="00404399"/>
    <w:pPr>
      <w:numPr>
        <w:ilvl w:val="0"/>
        <w:numId w:val="0"/>
      </w:numPr>
    </w:pPr>
  </w:style>
  <w:style w:type="paragraph" w:customStyle="1" w:styleId="UnOverskrift3">
    <w:name w:val="UnOverskrift 3"/>
    <w:basedOn w:val="Overskrift3"/>
    <w:next w:val="Normal"/>
    <w:qFormat/>
    <w:rsid w:val="00404399"/>
    <w:pPr>
      <w:numPr>
        <w:ilvl w:val="0"/>
        <w:numId w:val="0"/>
      </w:numPr>
    </w:pPr>
  </w:style>
  <w:style w:type="paragraph" w:customStyle="1" w:styleId="UnOverskrift4">
    <w:name w:val="UnOverskrift 4"/>
    <w:basedOn w:val="Overskrift4"/>
    <w:next w:val="Normal"/>
    <w:qFormat/>
    <w:rsid w:val="00404399"/>
    <w:pPr>
      <w:numPr>
        <w:ilvl w:val="0"/>
        <w:numId w:val="0"/>
      </w:numPr>
    </w:pPr>
  </w:style>
  <w:style w:type="paragraph" w:customStyle="1" w:styleId="UnOverskrift5">
    <w:name w:val="UnOverskrift 5"/>
    <w:basedOn w:val="Overskrift5"/>
    <w:next w:val="Normal"/>
    <w:qFormat/>
    <w:rsid w:val="00404399"/>
    <w:pPr>
      <w:numPr>
        <w:ilvl w:val="0"/>
        <w:numId w:val="0"/>
      </w:numPr>
    </w:pPr>
  </w:style>
  <w:style w:type="paragraph" w:customStyle="1" w:styleId="PublTittel">
    <w:name w:val="PublTittel"/>
    <w:basedOn w:val="Normal"/>
    <w:qFormat/>
    <w:rsid w:val="00404399"/>
    <w:pPr>
      <w:spacing w:before="80"/>
    </w:pPr>
    <w:rPr>
      <w:sz w:val="48"/>
      <w:szCs w:val="48"/>
    </w:rPr>
  </w:style>
  <w:style w:type="paragraph" w:customStyle="1" w:styleId="Ingress">
    <w:name w:val="Ingress"/>
    <w:basedOn w:val="Normal"/>
    <w:qFormat/>
    <w:rsid w:val="00404399"/>
    <w:rPr>
      <w:i/>
    </w:rPr>
  </w:style>
  <w:style w:type="paragraph" w:customStyle="1" w:styleId="Note">
    <w:name w:val="Note"/>
    <w:basedOn w:val="Normal"/>
    <w:qFormat/>
    <w:rsid w:val="00404399"/>
    <w:rPr>
      <w:sz w:val="18"/>
    </w:rPr>
  </w:style>
  <w:style w:type="paragraph" w:customStyle="1" w:styleId="FigurAltTekst">
    <w:name w:val="FigurAltTekst"/>
    <w:basedOn w:val="Note"/>
    <w:qFormat/>
    <w:rsid w:val="00404399"/>
    <w:rPr>
      <w:color w:val="7030A0"/>
    </w:rPr>
  </w:style>
  <w:style w:type="paragraph" w:customStyle="1" w:styleId="meta-dep">
    <w:name w:val="meta-dep"/>
    <w:basedOn w:val="Normal"/>
    <w:next w:val="Normal"/>
    <w:qFormat/>
    <w:rsid w:val="00404399"/>
    <w:rPr>
      <w:rFonts w:ascii="Courier New" w:hAnsi="Courier New"/>
      <w:vanish/>
      <w:color w:val="C00000"/>
      <w:sz w:val="28"/>
    </w:rPr>
  </w:style>
  <w:style w:type="paragraph" w:customStyle="1" w:styleId="meta-depavd">
    <w:name w:val="meta-depavd"/>
    <w:basedOn w:val="meta-dep"/>
    <w:next w:val="Normal"/>
    <w:qFormat/>
    <w:rsid w:val="00404399"/>
  </w:style>
  <w:style w:type="paragraph" w:customStyle="1" w:styleId="meta-forf">
    <w:name w:val="meta-forf"/>
    <w:basedOn w:val="meta-dep"/>
    <w:next w:val="Normal"/>
    <w:qFormat/>
    <w:rsid w:val="00404399"/>
  </w:style>
  <w:style w:type="paragraph" w:customStyle="1" w:styleId="meta-spr">
    <w:name w:val="meta-spr"/>
    <w:basedOn w:val="meta-dep"/>
    <w:next w:val="Normal"/>
    <w:qFormat/>
    <w:rsid w:val="00404399"/>
  </w:style>
  <w:style w:type="paragraph" w:customStyle="1" w:styleId="meta-ingress">
    <w:name w:val="meta-ingress"/>
    <w:basedOn w:val="meta-dep"/>
    <w:next w:val="Normal"/>
    <w:qFormat/>
    <w:rsid w:val="00404399"/>
    <w:rPr>
      <w:color w:val="1F4E79" w:themeColor="accent1" w:themeShade="80"/>
      <w:sz w:val="24"/>
    </w:rPr>
  </w:style>
  <w:style w:type="paragraph" w:customStyle="1" w:styleId="meta-sperrefrist">
    <w:name w:val="meta-sperrefrist"/>
    <w:basedOn w:val="meta-dep"/>
    <w:next w:val="Normal"/>
    <w:qFormat/>
    <w:rsid w:val="00404399"/>
  </w:style>
  <w:style w:type="paragraph" w:customStyle="1" w:styleId="meta-objUrl">
    <w:name w:val="meta-objUrl"/>
    <w:basedOn w:val="meta-dep"/>
    <w:next w:val="Normal"/>
    <w:qFormat/>
    <w:rsid w:val="00404399"/>
    <w:rPr>
      <w:color w:val="7030A0"/>
    </w:rPr>
  </w:style>
  <w:style w:type="paragraph" w:customStyle="1" w:styleId="meta-dokFormat">
    <w:name w:val="meta-dokFormat"/>
    <w:basedOn w:val="meta-dep"/>
    <w:next w:val="Normal"/>
    <w:qFormat/>
    <w:rsid w:val="00404399"/>
    <w:rPr>
      <w:color w:val="7030A0"/>
    </w:rPr>
  </w:style>
  <w:style w:type="paragraph" w:customStyle="1" w:styleId="TabellHode-rad">
    <w:name w:val="TabellHode-rad"/>
    <w:basedOn w:val="Normal"/>
    <w:qFormat/>
    <w:rsid w:val="00404399"/>
    <w:pPr>
      <w:shd w:val="clear" w:color="auto" w:fill="E2EFD9" w:themeFill="accent6" w:themeFillTint="33"/>
    </w:pPr>
  </w:style>
  <w:style w:type="paragraph" w:customStyle="1" w:styleId="TabellHode-kolonne">
    <w:name w:val="TabellHode-kolonne"/>
    <w:basedOn w:val="TabellHode-rad"/>
    <w:qFormat/>
    <w:rsid w:val="00404399"/>
    <w:pPr>
      <w:shd w:val="clear" w:color="auto" w:fill="DEEAF6" w:themeFill="accent1" w:themeFillTint="33"/>
    </w:pPr>
  </w:style>
  <w:style w:type="paragraph" w:styleId="Indeks1">
    <w:name w:val="index 1"/>
    <w:basedOn w:val="Normal"/>
    <w:next w:val="Normal"/>
    <w:autoRedefine/>
    <w:uiPriority w:val="99"/>
    <w:semiHidden/>
    <w:unhideWhenUsed/>
    <w:rsid w:val="00404399"/>
    <w:pPr>
      <w:spacing w:after="0" w:line="240" w:lineRule="auto"/>
      <w:ind w:left="240" w:hanging="240"/>
    </w:pPr>
  </w:style>
  <w:style w:type="paragraph" w:styleId="Indeks2">
    <w:name w:val="index 2"/>
    <w:basedOn w:val="Normal"/>
    <w:next w:val="Normal"/>
    <w:autoRedefine/>
    <w:uiPriority w:val="99"/>
    <w:semiHidden/>
    <w:unhideWhenUsed/>
    <w:rsid w:val="00404399"/>
    <w:pPr>
      <w:spacing w:after="0" w:line="240" w:lineRule="auto"/>
      <w:ind w:left="480" w:hanging="240"/>
    </w:pPr>
  </w:style>
  <w:style w:type="paragraph" w:styleId="Indeks3">
    <w:name w:val="index 3"/>
    <w:basedOn w:val="Normal"/>
    <w:next w:val="Normal"/>
    <w:autoRedefine/>
    <w:uiPriority w:val="99"/>
    <w:semiHidden/>
    <w:unhideWhenUsed/>
    <w:rsid w:val="00404399"/>
    <w:pPr>
      <w:spacing w:after="0" w:line="240" w:lineRule="auto"/>
      <w:ind w:left="720" w:hanging="240"/>
    </w:pPr>
  </w:style>
  <w:style w:type="paragraph" w:styleId="Indeks4">
    <w:name w:val="index 4"/>
    <w:basedOn w:val="Normal"/>
    <w:next w:val="Normal"/>
    <w:autoRedefine/>
    <w:uiPriority w:val="99"/>
    <w:semiHidden/>
    <w:unhideWhenUsed/>
    <w:rsid w:val="00404399"/>
    <w:pPr>
      <w:spacing w:after="0" w:line="240" w:lineRule="auto"/>
      <w:ind w:left="960" w:hanging="240"/>
    </w:pPr>
  </w:style>
  <w:style w:type="paragraph" w:styleId="Indeks5">
    <w:name w:val="index 5"/>
    <w:basedOn w:val="Normal"/>
    <w:next w:val="Normal"/>
    <w:autoRedefine/>
    <w:uiPriority w:val="99"/>
    <w:semiHidden/>
    <w:unhideWhenUsed/>
    <w:rsid w:val="00404399"/>
    <w:pPr>
      <w:spacing w:after="0" w:line="240" w:lineRule="auto"/>
      <w:ind w:left="1200" w:hanging="240"/>
    </w:pPr>
  </w:style>
  <w:style w:type="paragraph" w:styleId="Indeks6">
    <w:name w:val="index 6"/>
    <w:basedOn w:val="Normal"/>
    <w:next w:val="Normal"/>
    <w:autoRedefine/>
    <w:uiPriority w:val="99"/>
    <w:semiHidden/>
    <w:unhideWhenUsed/>
    <w:rsid w:val="00404399"/>
    <w:pPr>
      <w:spacing w:after="0" w:line="240" w:lineRule="auto"/>
      <w:ind w:left="1440" w:hanging="240"/>
    </w:pPr>
  </w:style>
  <w:style w:type="paragraph" w:styleId="Indeks7">
    <w:name w:val="index 7"/>
    <w:basedOn w:val="Normal"/>
    <w:next w:val="Normal"/>
    <w:autoRedefine/>
    <w:uiPriority w:val="99"/>
    <w:semiHidden/>
    <w:unhideWhenUsed/>
    <w:rsid w:val="00404399"/>
    <w:pPr>
      <w:spacing w:after="0" w:line="240" w:lineRule="auto"/>
      <w:ind w:left="1680" w:hanging="240"/>
    </w:pPr>
  </w:style>
  <w:style w:type="paragraph" w:styleId="Indeks8">
    <w:name w:val="index 8"/>
    <w:basedOn w:val="Normal"/>
    <w:next w:val="Normal"/>
    <w:autoRedefine/>
    <w:uiPriority w:val="99"/>
    <w:semiHidden/>
    <w:unhideWhenUsed/>
    <w:rsid w:val="00404399"/>
    <w:pPr>
      <w:spacing w:after="0" w:line="240" w:lineRule="auto"/>
      <w:ind w:left="1920" w:hanging="240"/>
    </w:pPr>
  </w:style>
  <w:style w:type="paragraph" w:styleId="Indeks9">
    <w:name w:val="index 9"/>
    <w:basedOn w:val="Normal"/>
    <w:next w:val="Normal"/>
    <w:autoRedefine/>
    <w:uiPriority w:val="99"/>
    <w:semiHidden/>
    <w:unhideWhenUsed/>
    <w:rsid w:val="00404399"/>
    <w:pPr>
      <w:spacing w:after="0" w:line="240" w:lineRule="auto"/>
      <w:ind w:left="2160" w:hanging="240"/>
    </w:pPr>
  </w:style>
  <w:style w:type="paragraph" w:styleId="INNH1">
    <w:name w:val="toc 1"/>
    <w:basedOn w:val="Normal"/>
    <w:next w:val="Normal"/>
    <w:uiPriority w:val="39"/>
    <w:rsid w:val="00404399"/>
    <w:pPr>
      <w:tabs>
        <w:tab w:val="right" w:leader="dot" w:pos="8306"/>
      </w:tabs>
      <w:ind w:right="1134"/>
    </w:pPr>
  </w:style>
  <w:style w:type="paragraph" w:styleId="INNH2">
    <w:name w:val="toc 2"/>
    <w:basedOn w:val="Normal"/>
    <w:next w:val="Normal"/>
    <w:uiPriority w:val="39"/>
    <w:rsid w:val="00404399"/>
    <w:pPr>
      <w:tabs>
        <w:tab w:val="right" w:leader="dot" w:pos="8306"/>
      </w:tabs>
      <w:ind w:left="199" w:right="1134"/>
    </w:pPr>
  </w:style>
  <w:style w:type="paragraph" w:styleId="INNH3">
    <w:name w:val="toc 3"/>
    <w:basedOn w:val="Normal"/>
    <w:next w:val="Normal"/>
    <w:uiPriority w:val="39"/>
    <w:rsid w:val="00404399"/>
    <w:pPr>
      <w:tabs>
        <w:tab w:val="right" w:leader="dot" w:pos="8306"/>
      </w:tabs>
      <w:ind w:left="403" w:right="1134"/>
    </w:pPr>
  </w:style>
  <w:style w:type="paragraph" w:styleId="INNH4">
    <w:name w:val="toc 4"/>
    <w:basedOn w:val="Normal"/>
    <w:next w:val="Normal"/>
    <w:semiHidden/>
    <w:rsid w:val="00404399"/>
    <w:pPr>
      <w:tabs>
        <w:tab w:val="right" w:leader="dot" w:pos="8306"/>
      </w:tabs>
      <w:ind w:left="600"/>
    </w:pPr>
  </w:style>
  <w:style w:type="paragraph" w:styleId="INNH5">
    <w:name w:val="toc 5"/>
    <w:basedOn w:val="Normal"/>
    <w:next w:val="Normal"/>
    <w:semiHidden/>
    <w:rsid w:val="00404399"/>
    <w:pPr>
      <w:tabs>
        <w:tab w:val="right" w:leader="dot" w:pos="8306"/>
      </w:tabs>
      <w:ind w:left="800"/>
    </w:pPr>
  </w:style>
  <w:style w:type="paragraph" w:styleId="INNH6">
    <w:name w:val="toc 6"/>
    <w:basedOn w:val="Normal"/>
    <w:next w:val="Normal"/>
    <w:autoRedefine/>
    <w:uiPriority w:val="39"/>
    <w:semiHidden/>
    <w:unhideWhenUsed/>
    <w:rsid w:val="00404399"/>
    <w:pPr>
      <w:spacing w:after="100"/>
      <w:ind w:left="1200"/>
    </w:pPr>
  </w:style>
  <w:style w:type="paragraph" w:styleId="INNH7">
    <w:name w:val="toc 7"/>
    <w:basedOn w:val="Normal"/>
    <w:next w:val="Normal"/>
    <w:autoRedefine/>
    <w:uiPriority w:val="39"/>
    <w:semiHidden/>
    <w:unhideWhenUsed/>
    <w:rsid w:val="00404399"/>
    <w:pPr>
      <w:spacing w:after="100"/>
      <w:ind w:left="1440"/>
    </w:pPr>
  </w:style>
  <w:style w:type="paragraph" w:styleId="INNH8">
    <w:name w:val="toc 8"/>
    <w:basedOn w:val="Normal"/>
    <w:next w:val="Normal"/>
    <w:autoRedefine/>
    <w:uiPriority w:val="39"/>
    <w:semiHidden/>
    <w:unhideWhenUsed/>
    <w:rsid w:val="00404399"/>
    <w:pPr>
      <w:spacing w:after="100"/>
      <w:ind w:left="1680"/>
    </w:pPr>
  </w:style>
  <w:style w:type="paragraph" w:styleId="INNH9">
    <w:name w:val="toc 9"/>
    <w:basedOn w:val="Normal"/>
    <w:next w:val="Normal"/>
    <w:autoRedefine/>
    <w:uiPriority w:val="39"/>
    <w:semiHidden/>
    <w:unhideWhenUsed/>
    <w:rsid w:val="00404399"/>
    <w:pPr>
      <w:spacing w:after="100"/>
      <w:ind w:left="1920"/>
    </w:pPr>
  </w:style>
  <w:style w:type="paragraph" w:styleId="Vanliginnrykk">
    <w:name w:val="Normal Indent"/>
    <w:basedOn w:val="Normal"/>
    <w:uiPriority w:val="99"/>
    <w:semiHidden/>
    <w:unhideWhenUsed/>
    <w:rsid w:val="00404399"/>
    <w:pPr>
      <w:ind w:left="708"/>
    </w:pPr>
  </w:style>
  <w:style w:type="paragraph" w:styleId="Fotnotetekst">
    <w:name w:val="footnote text"/>
    <w:basedOn w:val="Normal"/>
    <w:link w:val="FotnotetekstTegn"/>
    <w:rsid w:val="00404399"/>
    <w:pPr>
      <w:spacing w:before="0" w:after="40"/>
    </w:pPr>
    <w:rPr>
      <w:spacing w:val="4"/>
      <w:sz w:val="18"/>
    </w:rPr>
  </w:style>
  <w:style w:type="character" w:customStyle="1" w:styleId="FotnotetekstTegn">
    <w:name w:val="Fotnotetekst Tegn"/>
    <w:basedOn w:val="Standardskriftforavsnitt"/>
    <w:link w:val="Fotnotetekst"/>
    <w:rsid w:val="00404399"/>
    <w:rPr>
      <w:rFonts w:ascii="Open Sans" w:eastAsia="Times New Roman" w:hAnsi="Open Sans"/>
      <w:spacing w:val="4"/>
      <w:kern w:val="0"/>
      <w:sz w:val="18"/>
      <w:lang w:eastAsia="nb-NO"/>
      <w14:ligatures w14:val="none"/>
    </w:rPr>
  </w:style>
  <w:style w:type="paragraph" w:styleId="Merknadstekst">
    <w:name w:val="annotation text"/>
    <w:basedOn w:val="Normal"/>
    <w:link w:val="MerknadstekstTegn"/>
    <w:rsid w:val="00404399"/>
  </w:style>
  <w:style w:type="character" w:customStyle="1" w:styleId="MerknadstekstTegn">
    <w:name w:val="Merknadstekst Tegn"/>
    <w:basedOn w:val="Standardskriftforavsnitt"/>
    <w:link w:val="Merknadstekst"/>
    <w:rsid w:val="00404399"/>
    <w:rPr>
      <w:rFonts w:ascii="Open Sans" w:eastAsia="Times New Roman" w:hAnsi="Open Sans"/>
      <w:kern w:val="0"/>
      <w:lang w:eastAsia="nb-NO"/>
      <w14:ligatures w14:val="none"/>
    </w:rPr>
  </w:style>
  <w:style w:type="paragraph" w:styleId="Stikkordregisteroverskrift">
    <w:name w:val="index heading"/>
    <w:basedOn w:val="Normal"/>
    <w:next w:val="Indeks1"/>
    <w:uiPriority w:val="99"/>
    <w:semiHidden/>
    <w:unhideWhenUsed/>
    <w:rsid w:val="00404399"/>
    <w:rPr>
      <w:rFonts w:asciiTheme="majorHAnsi" w:eastAsiaTheme="majorEastAsia" w:hAnsiTheme="majorHAnsi" w:cstheme="majorBidi"/>
      <w:b/>
      <w:bCs/>
    </w:rPr>
  </w:style>
  <w:style w:type="paragraph" w:styleId="Bildetekst">
    <w:name w:val="caption"/>
    <w:basedOn w:val="Normal"/>
    <w:next w:val="Normal"/>
    <w:uiPriority w:val="35"/>
    <w:unhideWhenUsed/>
    <w:qFormat/>
    <w:rsid w:val="00404399"/>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404399"/>
    <w:pPr>
      <w:spacing w:after="0"/>
    </w:pPr>
  </w:style>
  <w:style w:type="paragraph" w:styleId="Konvoluttadresse">
    <w:name w:val="envelope address"/>
    <w:basedOn w:val="Normal"/>
    <w:uiPriority w:val="99"/>
    <w:semiHidden/>
    <w:unhideWhenUsed/>
    <w:rsid w:val="0040439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04399"/>
    <w:pPr>
      <w:spacing w:after="0" w:line="240" w:lineRule="auto"/>
    </w:pPr>
    <w:rPr>
      <w:rFonts w:asciiTheme="majorHAnsi" w:eastAsiaTheme="majorEastAsia" w:hAnsiTheme="majorHAnsi" w:cstheme="majorBidi"/>
      <w:szCs w:val="20"/>
    </w:rPr>
  </w:style>
  <w:style w:type="character" w:styleId="Fotnotereferanse">
    <w:name w:val="footnote reference"/>
    <w:aliases w:val="4_G"/>
    <w:basedOn w:val="Standardskriftforavsnitt"/>
    <w:rsid w:val="00404399"/>
    <w:rPr>
      <w:vertAlign w:val="superscript"/>
    </w:rPr>
  </w:style>
  <w:style w:type="character" w:styleId="Merknadsreferanse">
    <w:name w:val="annotation reference"/>
    <w:basedOn w:val="Standardskriftforavsnitt"/>
    <w:semiHidden/>
    <w:rsid w:val="00404399"/>
    <w:rPr>
      <w:sz w:val="16"/>
    </w:rPr>
  </w:style>
  <w:style w:type="character" w:styleId="Linjenummer">
    <w:name w:val="line number"/>
    <w:basedOn w:val="Standardskriftforavsnitt"/>
    <w:uiPriority w:val="99"/>
    <w:semiHidden/>
    <w:unhideWhenUsed/>
    <w:rsid w:val="00404399"/>
  </w:style>
  <w:style w:type="character" w:styleId="Sidetall">
    <w:name w:val="page number"/>
    <w:basedOn w:val="Standardskriftforavsnitt"/>
    <w:rsid w:val="00404399"/>
  </w:style>
  <w:style w:type="character" w:styleId="Sluttnotereferanse">
    <w:name w:val="endnote reference"/>
    <w:basedOn w:val="Standardskriftforavsnitt"/>
    <w:uiPriority w:val="99"/>
    <w:semiHidden/>
    <w:unhideWhenUsed/>
    <w:rsid w:val="00404399"/>
    <w:rPr>
      <w:vertAlign w:val="superscript"/>
    </w:rPr>
  </w:style>
  <w:style w:type="paragraph" w:styleId="Sluttnotetekst">
    <w:name w:val="endnote text"/>
    <w:basedOn w:val="Normal"/>
    <w:link w:val="SluttnotetekstTegn"/>
    <w:uiPriority w:val="99"/>
    <w:semiHidden/>
    <w:unhideWhenUsed/>
    <w:rsid w:val="0040439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404399"/>
    <w:rPr>
      <w:rFonts w:ascii="Open Sans" w:eastAsia="Times New Roman" w:hAnsi="Open Sans"/>
      <w:kern w:val="0"/>
      <w:szCs w:val="20"/>
      <w:lang w:eastAsia="nb-NO"/>
      <w14:ligatures w14:val="none"/>
    </w:rPr>
  </w:style>
  <w:style w:type="paragraph" w:styleId="Kildeliste">
    <w:name w:val="table of authorities"/>
    <w:basedOn w:val="Normal"/>
    <w:next w:val="Normal"/>
    <w:uiPriority w:val="99"/>
    <w:semiHidden/>
    <w:unhideWhenUsed/>
    <w:rsid w:val="00404399"/>
    <w:pPr>
      <w:spacing w:after="0"/>
      <w:ind w:left="240" w:hanging="240"/>
    </w:pPr>
  </w:style>
  <w:style w:type="paragraph" w:styleId="Makrotekst">
    <w:name w:val="macro"/>
    <w:link w:val="MakrotekstTegn"/>
    <w:uiPriority w:val="99"/>
    <w:semiHidden/>
    <w:unhideWhenUsed/>
    <w:rsid w:val="0040439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404399"/>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404399"/>
    <w:pPr>
      <w:spacing w:before="120"/>
    </w:pPr>
    <w:rPr>
      <w:rFonts w:asciiTheme="majorHAnsi" w:eastAsiaTheme="majorEastAsia" w:hAnsiTheme="majorHAnsi" w:cstheme="majorBidi"/>
      <w:b/>
      <w:bCs/>
      <w:szCs w:val="24"/>
    </w:rPr>
  </w:style>
  <w:style w:type="paragraph" w:styleId="Punktliste">
    <w:name w:val="List Bullet"/>
    <w:basedOn w:val="Normal"/>
    <w:rsid w:val="00404399"/>
    <w:pPr>
      <w:numPr>
        <w:numId w:val="2"/>
      </w:numPr>
      <w:spacing w:after="0"/>
    </w:pPr>
    <w:rPr>
      <w:spacing w:val="4"/>
    </w:rPr>
  </w:style>
  <w:style w:type="paragraph" w:styleId="Nummerertliste">
    <w:name w:val="List Number"/>
    <w:qFormat/>
    <w:rsid w:val="00404399"/>
    <w:pPr>
      <w:keepLines/>
      <w:numPr>
        <w:numId w:val="27"/>
      </w:numPr>
      <w:spacing w:after="0" w:line="288" w:lineRule="auto"/>
    </w:pPr>
    <w:rPr>
      <w:rFonts w:ascii="Open Sans" w:eastAsia="Batang" w:hAnsi="Open Sans"/>
      <w:kern w:val="0"/>
      <w:szCs w:val="20"/>
      <w:lang w:eastAsia="nb-NO"/>
      <w14:ligatures w14:val="none"/>
    </w:rPr>
  </w:style>
  <w:style w:type="paragraph" w:styleId="Punktliste2">
    <w:name w:val="List Bullet 2"/>
    <w:basedOn w:val="Normal"/>
    <w:rsid w:val="00404399"/>
    <w:pPr>
      <w:numPr>
        <w:numId w:val="3"/>
      </w:numPr>
      <w:spacing w:after="0"/>
    </w:pPr>
    <w:rPr>
      <w:spacing w:val="4"/>
    </w:rPr>
  </w:style>
  <w:style w:type="paragraph" w:styleId="Punktliste3">
    <w:name w:val="List Bullet 3"/>
    <w:basedOn w:val="Normal"/>
    <w:rsid w:val="00404399"/>
    <w:pPr>
      <w:numPr>
        <w:numId w:val="4"/>
      </w:numPr>
      <w:spacing w:after="0"/>
    </w:pPr>
    <w:rPr>
      <w:spacing w:val="4"/>
    </w:rPr>
  </w:style>
  <w:style w:type="paragraph" w:styleId="Punktliste4">
    <w:name w:val="List Bullet 4"/>
    <w:basedOn w:val="Normal"/>
    <w:rsid w:val="00404399"/>
    <w:pPr>
      <w:numPr>
        <w:numId w:val="5"/>
      </w:numPr>
      <w:spacing w:after="0"/>
    </w:pPr>
  </w:style>
  <w:style w:type="paragraph" w:styleId="Punktliste5">
    <w:name w:val="List Bullet 5"/>
    <w:basedOn w:val="Normal"/>
    <w:rsid w:val="00404399"/>
    <w:pPr>
      <w:numPr>
        <w:numId w:val="6"/>
      </w:numPr>
      <w:spacing w:after="0"/>
    </w:pPr>
  </w:style>
  <w:style w:type="paragraph" w:styleId="Nummerertliste2">
    <w:name w:val="List Number 2"/>
    <w:basedOn w:val="Nummerertliste"/>
    <w:qFormat/>
    <w:rsid w:val="00404399"/>
    <w:pPr>
      <w:numPr>
        <w:ilvl w:val="1"/>
      </w:numPr>
    </w:pPr>
  </w:style>
  <w:style w:type="paragraph" w:styleId="Nummerertliste3">
    <w:name w:val="List Number 3"/>
    <w:basedOn w:val="Nummerertliste"/>
    <w:qFormat/>
    <w:rsid w:val="00404399"/>
    <w:pPr>
      <w:numPr>
        <w:ilvl w:val="2"/>
      </w:numPr>
    </w:pPr>
  </w:style>
  <w:style w:type="paragraph" w:styleId="Nummerertliste4">
    <w:name w:val="List Number 4"/>
    <w:basedOn w:val="Nummerertliste"/>
    <w:rsid w:val="00404399"/>
    <w:pPr>
      <w:numPr>
        <w:ilvl w:val="3"/>
      </w:numPr>
    </w:pPr>
  </w:style>
  <w:style w:type="paragraph" w:styleId="Nummerertliste5">
    <w:name w:val="List Number 5"/>
    <w:basedOn w:val="Nummerertliste"/>
    <w:qFormat/>
    <w:rsid w:val="00404399"/>
    <w:pPr>
      <w:numPr>
        <w:ilvl w:val="4"/>
      </w:numPr>
    </w:pPr>
  </w:style>
  <w:style w:type="paragraph" w:styleId="Hilsen">
    <w:name w:val="Closing"/>
    <w:basedOn w:val="Normal"/>
    <w:link w:val="HilsenTegn"/>
    <w:uiPriority w:val="99"/>
    <w:semiHidden/>
    <w:unhideWhenUsed/>
    <w:rsid w:val="00404399"/>
    <w:pPr>
      <w:spacing w:after="0" w:line="240" w:lineRule="auto"/>
      <w:ind w:left="4252"/>
    </w:pPr>
  </w:style>
  <w:style w:type="character" w:customStyle="1" w:styleId="HilsenTegn">
    <w:name w:val="Hilsen Tegn"/>
    <w:basedOn w:val="Standardskriftforavsnitt"/>
    <w:link w:val="Hilsen"/>
    <w:uiPriority w:val="99"/>
    <w:semiHidden/>
    <w:rsid w:val="00404399"/>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404399"/>
    <w:pPr>
      <w:spacing w:after="0" w:line="240" w:lineRule="auto"/>
      <w:ind w:left="4252"/>
    </w:pPr>
  </w:style>
  <w:style w:type="character" w:customStyle="1" w:styleId="UnderskriftTegn">
    <w:name w:val="Underskrift Tegn"/>
    <w:basedOn w:val="Standardskriftforavsnitt"/>
    <w:link w:val="Underskrift"/>
    <w:uiPriority w:val="99"/>
    <w:semiHidden/>
    <w:rsid w:val="00404399"/>
    <w:rPr>
      <w:rFonts w:ascii="Open Sans" w:eastAsia="Times New Roman" w:hAnsi="Open Sans"/>
      <w:kern w:val="0"/>
      <w:lang w:eastAsia="nb-NO"/>
      <w14:ligatures w14:val="none"/>
    </w:rPr>
  </w:style>
  <w:style w:type="paragraph" w:styleId="Brdtekst">
    <w:name w:val="Body Text"/>
    <w:basedOn w:val="Normal"/>
    <w:link w:val="BrdtekstTegn"/>
    <w:uiPriority w:val="99"/>
    <w:semiHidden/>
    <w:unhideWhenUsed/>
    <w:rsid w:val="00404399"/>
  </w:style>
  <w:style w:type="character" w:customStyle="1" w:styleId="BrdtekstTegn">
    <w:name w:val="Brødtekst Tegn"/>
    <w:basedOn w:val="Standardskriftforavsnitt"/>
    <w:link w:val="Brdtekst"/>
    <w:uiPriority w:val="99"/>
    <w:semiHidden/>
    <w:rsid w:val="00404399"/>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404399"/>
    <w:pPr>
      <w:ind w:left="283"/>
    </w:pPr>
  </w:style>
  <w:style w:type="character" w:customStyle="1" w:styleId="BrdtekstinnrykkTegn">
    <w:name w:val="Brødtekstinnrykk Tegn"/>
    <w:basedOn w:val="Standardskriftforavsnitt"/>
    <w:link w:val="Brdtekstinnrykk"/>
    <w:uiPriority w:val="99"/>
    <w:semiHidden/>
    <w:rsid w:val="00404399"/>
    <w:rPr>
      <w:rFonts w:ascii="Open Sans" w:eastAsia="Times New Roman" w:hAnsi="Open Sans"/>
      <w:kern w:val="0"/>
      <w:lang w:eastAsia="nb-NO"/>
      <w14:ligatures w14:val="none"/>
    </w:rPr>
  </w:style>
  <w:style w:type="paragraph" w:styleId="Liste-forts">
    <w:name w:val="List Continue"/>
    <w:basedOn w:val="Normal"/>
    <w:uiPriority w:val="99"/>
    <w:semiHidden/>
    <w:unhideWhenUsed/>
    <w:rsid w:val="00404399"/>
    <w:pPr>
      <w:ind w:left="283"/>
      <w:contextualSpacing/>
    </w:pPr>
  </w:style>
  <w:style w:type="paragraph" w:styleId="Liste-forts2">
    <w:name w:val="List Continue 2"/>
    <w:basedOn w:val="Normal"/>
    <w:uiPriority w:val="99"/>
    <w:semiHidden/>
    <w:unhideWhenUsed/>
    <w:rsid w:val="00404399"/>
    <w:pPr>
      <w:ind w:left="566"/>
      <w:contextualSpacing/>
    </w:pPr>
  </w:style>
  <w:style w:type="paragraph" w:styleId="Liste-forts3">
    <w:name w:val="List Continue 3"/>
    <w:basedOn w:val="Normal"/>
    <w:uiPriority w:val="99"/>
    <w:semiHidden/>
    <w:unhideWhenUsed/>
    <w:rsid w:val="00404399"/>
    <w:pPr>
      <w:ind w:left="849"/>
      <w:contextualSpacing/>
    </w:pPr>
  </w:style>
  <w:style w:type="paragraph" w:styleId="Liste-forts4">
    <w:name w:val="List Continue 4"/>
    <w:basedOn w:val="Normal"/>
    <w:uiPriority w:val="99"/>
    <w:semiHidden/>
    <w:unhideWhenUsed/>
    <w:rsid w:val="00404399"/>
    <w:pPr>
      <w:ind w:left="1132"/>
      <w:contextualSpacing/>
    </w:pPr>
  </w:style>
  <w:style w:type="paragraph" w:styleId="Liste-forts5">
    <w:name w:val="List Continue 5"/>
    <w:basedOn w:val="Normal"/>
    <w:uiPriority w:val="99"/>
    <w:semiHidden/>
    <w:unhideWhenUsed/>
    <w:rsid w:val="00404399"/>
    <w:pPr>
      <w:ind w:left="1415"/>
      <w:contextualSpacing/>
    </w:pPr>
  </w:style>
  <w:style w:type="paragraph" w:styleId="Meldingshode">
    <w:name w:val="Message Header"/>
    <w:basedOn w:val="Normal"/>
    <w:link w:val="MeldingshodeTegn"/>
    <w:uiPriority w:val="99"/>
    <w:semiHidden/>
    <w:unhideWhenUsed/>
    <w:rsid w:val="004043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04399"/>
    <w:rPr>
      <w:rFonts w:asciiTheme="majorHAnsi" w:eastAsiaTheme="majorEastAsia" w:hAnsiTheme="majorHAnsi" w:cstheme="majorBidi"/>
      <w:kern w:val="0"/>
      <w:szCs w:val="24"/>
      <w:shd w:val="pct20" w:color="auto" w:fill="auto"/>
      <w:lang w:eastAsia="nb-NO"/>
      <w14:ligatures w14:val="none"/>
    </w:rPr>
  </w:style>
  <w:style w:type="paragraph" w:styleId="Innledendehilsen">
    <w:name w:val="Salutation"/>
    <w:basedOn w:val="Normal"/>
    <w:next w:val="Normal"/>
    <w:link w:val="InnledendehilsenTegn"/>
    <w:uiPriority w:val="99"/>
    <w:semiHidden/>
    <w:unhideWhenUsed/>
    <w:rsid w:val="00404399"/>
  </w:style>
  <w:style w:type="character" w:customStyle="1" w:styleId="InnledendehilsenTegn">
    <w:name w:val="Innledende hilsen Tegn"/>
    <w:basedOn w:val="Standardskriftforavsnitt"/>
    <w:link w:val="Innledendehilsen"/>
    <w:uiPriority w:val="99"/>
    <w:semiHidden/>
    <w:rsid w:val="00404399"/>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404399"/>
    <w:pPr>
      <w:ind w:firstLine="360"/>
    </w:pPr>
  </w:style>
  <w:style w:type="character" w:customStyle="1" w:styleId="Brdtekst-frsteinnrykkTegn">
    <w:name w:val="Brødtekst - første innrykk Tegn"/>
    <w:basedOn w:val="BrdtekstTegn"/>
    <w:link w:val="Brdtekst-frsteinnrykk"/>
    <w:uiPriority w:val="99"/>
    <w:semiHidden/>
    <w:rsid w:val="00404399"/>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404399"/>
    <w:pPr>
      <w:ind w:left="360" w:firstLine="360"/>
    </w:pPr>
  </w:style>
  <w:style w:type="character" w:customStyle="1" w:styleId="Brdtekst-frsteinnrykk2Tegn">
    <w:name w:val="Brødtekst - første innrykk 2 Tegn"/>
    <w:basedOn w:val="BrdtekstinnrykkTegn"/>
    <w:link w:val="Brdtekst-frsteinnrykk2"/>
    <w:uiPriority w:val="99"/>
    <w:semiHidden/>
    <w:rsid w:val="00404399"/>
    <w:rPr>
      <w:rFonts w:ascii="Open Sans" w:eastAsia="Times New Roman" w:hAnsi="Open Sans"/>
      <w:kern w:val="0"/>
      <w:lang w:eastAsia="nb-NO"/>
      <w14:ligatures w14:val="none"/>
    </w:rPr>
  </w:style>
  <w:style w:type="paragraph" w:styleId="Notatoverskrift">
    <w:name w:val="Note Heading"/>
    <w:basedOn w:val="Normal"/>
    <w:next w:val="Normal"/>
    <w:link w:val="NotatoverskriftTegn"/>
    <w:uiPriority w:val="99"/>
    <w:semiHidden/>
    <w:unhideWhenUsed/>
    <w:rsid w:val="00404399"/>
    <w:pPr>
      <w:spacing w:after="0" w:line="240" w:lineRule="auto"/>
    </w:pPr>
  </w:style>
  <w:style w:type="character" w:customStyle="1" w:styleId="NotatoverskriftTegn">
    <w:name w:val="Notatoverskrift Tegn"/>
    <w:basedOn w:val="Standardskriftforavsnitt"/>
    <w:link w:val="Notatoverskrift"/>
    <w:uiPriority w:val="99"/>
    <w:semiHidden/>
    <w:rsid w:val="00404399"/>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404399"/>
    <w:pPr>
      <w:spacing w:line="480" w:lineRule="auto"/>
    </w:pPr>
  </w:style>
  <w:style w:type="character" w:customStyle="1" w:styleId="Brdtekst2Tegn">
    <w:name w:val="Brødtekst 2 Tegn"/>
    <w:basedOn w:val="Standardskriftforavsnitt"/>
    <w:link w:val="Brdtekst2"/>
    <w:uiPriority w:val="99"/>
    <w:semiHidden/>
    <w:rsid w:val="00404399"/>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404399"/>
    <w:rPr>
      <w:sz w:val="16"/>
      <w:szCs w:val="16"/>
    </w:rPr>
  </w:style>
  <w:style w:type="character" w:customStyle="1" w:styleId="Brdtekst3Tegn">
    <w:name w:val="Brødtekst 3 Tegn"/>
    <w:basedOn w:val="Standardskriftforavsnitt"/>
    <w:link w:val="Brdtekst3"/>
    <w:uiPriority w:val="99"/>
    <w:semiHidden/>
    <w:rsid w:val="00404399"/>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404399"/>
    <w:pPr>
      <w:spacing w:line="480" w:lineRule="auto"/>
      <w:ind w:left="283"/>
    </w:pPr>
  </w:style>
  <w:style w:type="character" w:customStyle="1" w:styleId="Brdtekstinnrykk2Tegn">
    <w:name w:val="Brødtekstinnrykk 2 Tegn"/>
    <w:basedOn w:val="Standardskriftforavsnitt"/>
    <w:link w:val="Brdtekstinnrykk2"/>
    <w:uiPriority w:val="99"/>
    <w:semiHidden/>
    <w:rsid w:val="00404399"/>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404399"/>
    <w:pPr>
      <w:ind w:left="283"/>
    </w:pPr>
    <w:rPr>
      <w:sz w:val="16"/>
      <w:szCs w:val="16"/>
    </w:rPr>
  </w:style>
  <w:style w:type="character" w:customStyle="1" w:styleId="Brdtekstinnrykk3Tegn">
    <w:name w:val="Brødtekstinnrykk 3 Tegn"/>
    <w:basedOn w:val="Standardskriftforavsnitt"/>
    <w:link w:val="Brdtekstinnrykk3"/>
    <w:uiPriority w:val="99"/>
    <w:semiHidden/>
    <w:rsid w:val="00404399"/>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40439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404399"/>
    <w:rPr>
      <w:color w:val="0563C1" w:themeColor="hyperlink"/>
      <w:u w:val="single"/>
    </w:rPr>
  </w:style>
  <w:style w:type="character" w:styleId="Fulgthyperkobling">
    <w:name w:val="FollowedHyperlink"/>
    <w:basedOn w:val="Standardskriftforavsnitt"/>
    <w:uiPriority w:val="99"/>
    <w:semiHidden/>
    <w:unhideWhenUsed/>
    <w:rsid w:val="00404399"/>
    <w:rPr>
      <w:color w:val="954F72" w:themeColor="followedHyperlink"/>
      <w:u w:val="single"/>
    </w:rPr>
  </w:style>
  <w:style w:type="paragraph" w:styleId="Dokumentkart">
    <w:name w:val="Document Map"/>
    <w:basedOn w:val="Normal"/>
    <w:link w:val="DokumentkartTegn"/>
    <w:uiPriority w:val="99"/>
    <w:semiHidden/>
    <w:unhideWhenUsed/>
    <w:rsid w:val="0040439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04399"/>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40439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04399"/>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404399"/>
    <w:pPr>
      <w:spacing w:after="0" w:line="240" w:lineRule="auto"/>
    </w:pPr>
  </w:style>
  <w:style w:type="character" w:customStyle="1" w:styleId="E-postsignaturTegn">
    <w:name w:val="E-postsignatur Tegn"/>
    <w:basedOn w:val="Standardskriftforavsnitt"/>
    <w:link w:val="E-postsignatur"/>
    <w:uiPriority w:val="99"/>
    <w:semiHidden/>
    <w:rsid w:val="00404399"/>
    <w:rPr>
      <w:rFonts w:ascii="Open Sans" w:eastAsia="Times New Roman" w:hAnsi="Open Sans"/>
      <w:kern w:val="0"/>
      <w:lang w:eastAsia="nb-NO"/>
      <w14:ligatures w14:val="none"/>
    </w:rPr>
  </w:style>
  <w:style w:type="paragraph" w:styleId="NormalWeb">
    <w:name w:val="Normal (Web)"/>
    <w:basedOn w:val="Normal"/>
    <w:uiPriority w:val="99"/>
    <w:semiHidden/>
    <w:unhideWhenUsed/>
    <w:rsid w:val="00404399"/>
    <w:rPr>
      <w:rFonts w:cs="Times New Roman"/>
      <w:szCs w:val="24"/>
    </w:rPr>
  </w:style>
  <w:style w:type="character" w:styleId="HTML-akronym">
    <w:name w:val="HTML Acronym"/>
    <w:basedOn w:val="Standardskriftforavsnitt"/>
    <w:uiPriority w:val="99"/>
    <w:semiHidden/>
    <w:unhideWhenUsed/>
    <w:rsid w:val="00404399"/>
  </w:style>
  <w:style w:type="paragraph" w:styleId="HTML-adresse">
    <w:name w:val="HTML Address"/>
    <w:basedOn w:val="Normal"/>
    <w:link w:val="HTML-adresseTegn"/>
    <w:uiPriority w:val="99"/>
    <w:semiHidden/>
    <w:unhideWhenUsed/>
    <w:rsid w:val="00404399"/>
    <w:pPr>
      <w:spacing w:after="0" w:line="240" w:lineRule="auto"/>
    </w:pPr>
    <w:rPr>
      <w:i/>
      <w:iCs/>
    </w:rPr>
  </w:style>
  <w:style w:type="character" w:customStyle="1" w:styleId="HTML-adresseTegn">
    <w:name w:val="HTML-adresse Tegn"/>
    <w:basedOn w:val="Standardskriftforavsnitt"/>
    <w:link w:val="HTML-adresse"/>
    <w:uiPriority w:val="99"/>
    <w:semiHidden/>
    <w:rsid w:val="00404399"/>
    <w:rPr>
      <w:rFonts w:ascii="Open Sans" w:eastAsia="Times New Roman" w:hAnsi="Open Sans"/>
      <w:i/>
      <w:iCs/>
      <w:kern w:val="0"/>
      <w:lang w:eastAsia="nb-NO"/>
      <w14:ligatures w14:val="none"/>
    </w:rPr>
  </w:style>
  <w:style w:type="character" w:styleId="HTML-sitat">
    <w:name w:val="HTML Cite"/>
    <w:basedOn w:val="Standardskriftforavsnitt"/>
    <w:uiPriority w:val="99"/>
    <w:semiHidden/>
    <w:unhideWhenUsed/>
    <w:rsid w:val="00404399"/>
    <w:rPr>
      <w:i/>
      <w:iCs/>
    </w:rPr>
  </w:style>
  <w:style w:type="character" w:styleId="HTML-kode">
    <w:name w:val="HTML Code"/>
    <w:basedOn w:val="Standardskriftforavsnitt"/>
    <w:uiPriority w:val="99"/>
    <w:semiHidden/>
    <w:unhideWhenUsed/>
    <w:rsid w:val="00404399"/>
    <w:rPr>
      <w:rFonts w:ascii="Consolas" w:hAnsi="Consolas"/>
      <w:sz w:val="20"/>
      <w:szCs w:val="20"/>
    </w:rPr>
  </w:style>
  <w:style w:type="character" w:styleId="HTML-definisjon">
    <w:name w:val="HTML Definition"/>
    <w:basedOn w:val="Standardskriftforavsnitt"/>
    <w:uiPriority w:val="99"/>
    <w:semiHidden/>
    <w:unhideWhenUsed/>
    <w:rsid w:val="00404399"/>
    <w:rPr>
      <w:i/>
      <w:iCs/>
    </w:rPr>
  </w:style>
  <w:style w:type="character" w:styleId="HTML-tastatur">
    <w:name w:val="HTML Keyboard"/>
    <w:basedOn w:val="Standardskriftforavsnitt"/>
    <w:uiPriority w:val="99"/>
    <w:semiHidden/>
    <w:unhideWhenUsed/>
    <w:rsid w:val="00404399"/>
    <w:rPr>
      <w:rFonts w:ascii="Consolas" w:hAnsi="Consolas"/>
      <w:sz w:val="20"/>
      <w:szCs w:val="20"/>
    </w:rPr>
  </w:style>
  <w:style w:type="paragraph" w:styleId="HTML-forhndsformatert">
    <w:name w:val="HTML Preformatted"/>
    <w:basedOn w:val="Normal"/>
    <w:link w:val="HTML-forhndsformatertTegn"/>
    <w:uiPriority w:val="99"/>
    <w:semiHidden/>
    <w:unhideWhenUsed/>
    <w:rsid w:val="0040439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404399"/>
    <w:rPr>
      <w:rFonts w:ascii="Consolas" w:eastAsia="Times New Roman" w:hAnsi="Consolas"/>
      <w:kern w:val="0"/>
      <w:szCs w:val="20"/>
      <w:lang w:eastAsia="nb-NO"/>
      <w14:ligatures w14:val="none"/>
    </w:rPr>
  </w:style>
  <w:style w:type="character" w:styleId="HTML-eksempel">
    <w:name w:val="HTML Sample"/>
    <w:basedOn w:val="Standardskriftforavsnitt"/>
    <w:uiPriority w:val="99"/>
    <w:semiHidden/>
    <w:unhideWhenUsed/>
    <w:rsid w:val="00404399"/>
    <w:rPr>
      <w:rFonts w:ascii="Consolas" w:hAnsi="Consolas"/>
      <w:sz w:val="24"/>
      <w:szCs w:val="24"/>
    </w:rPr>
  </w:style>
  <w:style w:type="character" w:styleId="HTML-skrivemaskin">
    <w:name w:val="HTML Typewriter"/>
    <w:basedOn w:val="Standardskriftforavsnitt"/>
    <w:uiPriority w:val="99"/>
    <w:semiHidden/>
    <w:unhideWhenUsed/>
    <w:rsid w:val="00404399"/>
    <w:rPr>
      <w:rFonts w:ascii="Consolas" w:hAnsi="Consolas"/>
      <w:sz w:val="20"/>
      <w:szCs w:val="20"/>
    </w:rPr>
  </w:style>
  <w:style w:type="character" w:styleId="HTML-variabel">
    <w:name w:val="HTML Variable"/>
    <w:basedOn w:val="Standardskriftforavsnitt"/>
    <w:uiPriority w:val="99"/>
    <w:semiHidden/>
    <w:unhideWhenUsed/>
    <w:rsid w:val="00404399"/>
    <w:rPr>
      <w:i/>
      <w:iCs/>
    </w:rPr>
  </w:style>
  <w:style w:type="paragraph" w:styleId="Kommentaremne">
    <w:name w:val="annotation subject"/>
    <w:basedOn w:val="Merknadstekst"/>
    <w:next w:val="Merknadstekst"/>
    <w:link w:val="KommentaremneTegn"/>
    <w:uiPriority w:val="99"/>
    <w:semiHidden/>
    <w:unhideWhenUsed/>
    <w:rsid w:val="00404399"/>
    <w:pPr>
      <w:spacing w:line="240" w:lineRule="auto"/>
    </w:pPr>
    <w:rPr>
      <w:b/>
      <w:bCs/>
      <w:szCs w:val="20"/>
    </w:rPr>
  </w:style>
  <w:style w:type="character" w:customStyle="1" w:styleId="KommentaremneTegn">
    <w:name w:val="Kommentaremne Tegn"/>
    <w:basedOn w:val="MerknadstekstTegn"/>
    <w:link w:val="Kommentaremne"/>
    <w:uiPriority w:val="99"/>
    <w:semiHidden/>
    <w:rsid w:val="00404399"/>
    <w:rPr>
      <w:rFonts w:ascii="Open Sans" w:eastAsia="Times New Roman" w:hAnsi="Open Sans"/>
      <w:b/>
      <w:bCs/>
      <w:kern w:val="0"/>
      <w:szCs w:val="20"/>
      <w:lang w:eastAsia="nb-NO"/>
      <w14:ligatures w14:val="none"/>
    </w:rPr>
  </w:style>
  <w:style w:type="paragraph" w:styleId="Bobletekst">
    <w:name w:val="Balloon Text"/>
    <w:basedOn w:val="Normal"/>
    <w:link w:val="BobletekstTegn"/>
    <w:uiPriority w:val="99"/>
    <w:semiHidden/>
    <w:unhideWhenUsed/>
    <w:rsid w:val="004043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04399"/>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40439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404399"/>
    <w:rPr>
      <w:color w:val="808080"/>
    </w:rPr>
  </w:style>
  <w:style w:type="character" w:styleId="Svakutheving">
    <w:name w:val="Subtle Emphasis"/>
    <w:basedOn w:val="Standardskriftforavsnitt"/>
    <w:uiPriority w:val="19"/>
    <w:qFormat/>
    <w:rsid w:val="00404399"/>
    <w:rPr>
      <w:i/>
      <w:iCs/>
      <w:color w:val="808080" w:themeColor="text1" w:themeTint="7F"/>
    </w:rPr>
  </w:style>
  <w:style w:type="character" w:styleId="Boktittel">
    <w:name w:val="Book Title"/>
    <w:basedOn w:val="Standardskriftforavsnitt"/>
    <w:uiPriority w:val="33"/>
    <w:qFormat/>
    <w:rsid w:val="00404399"/>
    <w:rPr>
      <w:b/>
      <w:bCs/>
      <w:smallCaps/>
      <w:spacing w:val="5"/>
    </w:rPr>
  </w:style>
  <w:style w:type="paragraph" w:styleId="Bibliografi">
    <w:name w:val="Bibliography"/>
    <w:basedOn w:val="Normal"/>
    <w:next w:val="Normal"/>
    <w:uiPriority w:val="37"/>
    <w:semiHidden/>
    <w:unhideWhenUsed/>
    <w:rsid w:val="00404399"/>
  </w:style>
  <w:style w:type="paragraph" w:styleId="Overskriftforinnholdsfortegnelse">
    <w:name w:val="TOC Heading"/>
    <w:basedOn w:val="Overskrift1"/>
    <w:next w:val="Normal"/>
    <w:uiPriority w:val="39"/>
    <w:unhideWhenUsed/>
    <w:qFormat/>
    <w:rsid w:val="00404399"/>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404399"/>
    <w:pPr>
      <w:spacing w:after="0" w:line="240" w:lineRule="auto"/>
    </w:pPr>
    <w:rPr>
      <w:color w:val="FFFFFF" w:themeColor="background1"/>
      <w:kern w:val="0"/>
      <w14:ligatures w14:val="none"/>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404399"/>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404399"/>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404399"/>
    <w:tblPr/>
    <w:tcPr>
      <w:shd w:val="clear" w:color="auto" w:fill="BDD6EE" w:themeFill="accent1" w:themeFillTint="66"/>
    </w:tcPr>
  </w:style>
  <w:style w:type="table" w:customStyle="1" w:styleId="GronnBoks">
    <w:name w:val="GronnBoks"/>
    <w:basedOn w:val="StandardBoks"/>
    <w:uiPriority w:val="99"/>
    <w:rsid w:val="00404399"/>
    <w:tblPr/>
    <w:tcPr>
      <w:shd w:val="clear" w:color="auto" w:fill="C5E0B3" w:themeFill="accent6" w:themeFillTint="66"/>
    </w:tcPr>
  </w:style>
  <w:style w:type="table" w:customStyle="1" w:styleId="RodBoks">
    <w:name w:val="RodBoks"/>
    <w:basedOn w:val="StandardBoks"/>
    <w:uiPriority w:val="99"/>
    <w:rsid w:val="00404399"/>
    <w:tblPr/>
    <w:tcPr>
      <w:shd w:val="clear" w:color="auto" w:fill="FFB3B3"/>
    </w:tcPr>
  </w:style>
  <w:style w:type="paragraph" w:customStyle="1" w:styleId="BoksGraaTittel">
    <w:name w:val="BoksGraaTittel"/>
    <w:basedOn w:val="Normal"/>
    <w:next w:val="Normal"/>
    <w:qFormat/>
    <w:rsid w:val="00404399"/>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404399"/>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40439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04399"/>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404399"/>
    <w:rPr>
      <w:u w:val="single"/>
    </w:rPr>
  </w:style>
  <w:style w:type="paragraph" w:customStyle="1" w:styleId="del-nr">
    <w:name w:val="del-nr"/>
    <w:basedOn w:val="Normal"/>
    <w:qFormat/>
    <w:rsid w:val="0040439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404399"/>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40439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404399"/>
  </w:style>
  <w:style w:type="paragraph" w:customStyle="1" w:styleId="tbl2LinjeSumBold">
    <w:name w:val="tbl2LinjeSumBold"/>
    <w:basedOn w:val="tblRad"/>
    <w:rsid w:val="00404399"/>
    <w:rPr>
      <w:b/>
    </w:rPr>
  </w:style>
  <w:style w:type="paragraph" w:customStyle="1" w:styleId="tblDelsum1">
    <w:name w:val="tblDelsum1"/>
    <w:basedOn w:val="tblRad"/>
    <w:rsid w:val="00404399"/>
    <w:rPr>
      <w:i/>
    </w:rPr>
  </w:style>
  <w:style w:type="paragraph" w:customStyle="1" w:styleId="tblDelsum1-Kapittel">
    <w:name w:val="tblDelsum1 - Kapittel"/>
    <w:basedOn w:val="tblDelsum1"/>
    <w:rsid w:val="00404399"/>
    <w:pPr>
      <w:keepNext w:val="0"/>
    </w:pPr>
  </w:style>
  <w:style w:type="paragraph" w:customStyle="1" w:styleId="tblDelsum2">
    <w:name w:val="tblDelsum2"/>
    <w:basedOn w:val="tblRad"/>
    <w:rsid w:val="00404399"/>
    <w:rPr>
      <w:b/>
      <w:i/>
    </w:rPr>
  </w:style>
  <w:style w:type="paragraph" w:customStyle="1" w:styleId="tblDelsum2-Kapittel">
    <w:name w:val="tblDelsum2 - Kapittel"/>
    <w:basedOn w:val="tblDelsum2"/>
    <w:rsid w:val="00404399"/>
    <w:pPr>
      <w:keepNext w:val="0"/>
    </w:pPr>
  </w:style>
  <w:style w:type="paragraph" w:customStyle="1" w:styleId="tblTabelloverskrift">
    <w:name w:val="tblTabelloverskrift"/>
    <w:rsid w:val="0040439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404399"/>
    <w:pPr>
      <w:spacing w:after="0"/>
      <w:jc w:val="right"/>
    </w:pPr>
    <w:rPr>
      <w:b w:val="0"/>
      <w:caps w:val="0"/>
      <w:sz w:val="16"/>
    </w:rPr>
  </w:style>
  <w:style w:type="paragraph" w:customStyle="1" w:styleId="tblKategoriOverskrift">
    <w:name w:val="tblKategoriOverskrift"/>
    <w:basedOn w:val="tblRad"/>
    <w:rsid w:val="00404399"/>
    <w:pPr>
      <w:spacing w:before="120"/>
    </w:pPr>
    <w:rPr>
      <w:b/>
    </w:rPr>
  </w:style>
  <w:style w:type="paragraph" w:customStyle="1" w:styleId="tblKolonneoverskrift">
    <w:name w:val="tblKolonneoverskrift"/>
    <w:basedOn w:val="Normal"/>
    <w:rsid w:val="0040439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04399"/>
    <w:pPr>
      <w:spacing w:after="360"/>
      <w:jc w:val="center"/>
    </w:pPr>
    <w:rPr>
      <w:b w:val="0"/>
      <w:caps w:val="0"/>
    </w:rPr>
  </w:style>
  <w:style w:type="paragraph" w:customStyle="1" w:styleId="tblKolonneoverskrift-Vedtak">
    <w:name w:val="tblKolonneoverskrift - Vedtak"/>
    <w:basedOn w:val="tblTabelloverskrift-Vedtak"/>
    <w:rsid w:val="00404399"/>
    <w:pPr>
      <w:spacing w:after="0"/>
    </w:pPr>
  </w:style>
  <w:style w:type="paragraph" w:customStyle="1" w:styleId="tblOverskrift-Vedtak">
    <w:name w:val="tblOverskrift - Vedtak"/>
    <w:basedOn w:val="tblRad"/>
    <w:rsid w:val="00404399"/>
    <w:pPr>
      <w:spacing w:before="360"/>
      <w:jc w:val="center"/>
    </w:pPr>
  </w:style>
  <w:style w:type="paragraph" w:customStyle="1" w:styleId="tblRadBold">
    <w:name w:val="tblRadBold"/>
    <w:basedOn w:val="tblRad"/>
    <w:rsid w:val="00404399"/>
    <w:rPr>
      <w:b/>
    </w:rPr>
  </w:style>
  <w:style w:type="paragraph" w:customStyle="1" w:styleId="tblRadItalic">
    <w:name w:val="tblRadItalic"/>
    <w:basedOn w:val="tblRad"/>
    <w:rsid w:val="00404399"/>
    <w:rPr>
      <w:i/>
    </w:rPr>
  </w:style>
  <w:style w:type="paragraph" w:customStyle="1" w:styleId="tblRadItalicSiste">
    <w:name w:val="tblRadItalicSiste"/>
    <w:basedOn w:val="tblRadItalic"/>
    <w:rsid w:val="00404399"/>
  </w:style>
  <w:style w:type="paragraph" w:customStyle="1" w:styleId="tblRadMedLuft">
    <w:name w:val="tblRadMedLuft"/>
    <w:basedOn w:val="tblRad"/>
    <w:rsid w:val="00404399"/>
    <w:pPr>
      <w:spacing w:before="120"/>
    </w:pPr>
  </w:style>
  <w:style w:type="paragraph" w:customStyle="1" w:styleId="tblRadMedLuftSiste">
    <w:name w:val="tblRadMedLuftSiste"/>
    <w:basedOn w:val="tblRadMedLuft"/>
    <w:rsid w:val="00404399"/>
    <w:pPr>
      <w:spacing w:after="120"/>
    </w:pPr>
  </w:style>
  <w:style w:type="paragraph" w:customStyle="1" w:styleId="tblRadMedLuftSiste-Vedtak">
    <w:name w:val="tblRadMedLuftSiste - Vedtak"/>
    <w:basedOn w:val="tblRadMedLuftSiste"/>
    <w:rsid w:val="00404399"/>
    <w:pPr>
      <w:keepNext w:val="0"/>
    </w:pPr>
  </w:style>
  <w:style w:type="paragraph" w:customStyle="1" w:styleId="tblRadSiste">
    <w:name w:val="tblRadSiste"/>
    <w:basedOn w:val="tblRad"/>
    <w:rsid w:val="00404399"/>
  </w:style>
  <w:style w:type="paragraph" w:customStyle="1" w:styleId="tblSluttsum">
    <w:name w:val="tblSluttsum"/>
    <w:basedOn w:val="tblRad"/>
    <w:rsid w:val="00404399"/>
    <w:pPr>
      <w:spacing w:before="120"/>
    </w:pPr>
    <w:rPr>
      <w:b/>
      <w:i/>
    </w:rPr>
  </w:style>
  <w:style w:type="paragraph" w:customStyle="1" w:styleId="Stil1">
    <w:name w:val="Stil1"/>
    <w:basedOn w:val="Normal"/>
    <w:qFormat/>
    <w:rsid w:val="00404399"/>
    <w:pPr>
      <w:spacing w:after="100"/>
    </w:pPr>
  </w:style>
  <w:style w:type="paragraph" w:customStyle="1" w:styleId="Stil2">
    <w:name w:val="Stil2"/>
    <w:basedOn w:val="Normal"/>
    <w:autoRedefine/>
    <w:qFormat/>
    <w:rsid w:val="00404399"/>
    <w:pPr>
      <w:spacing w:after="100"/>
    </w:pPr>
  </w:style>
  <w:style w:type="paragraph" w:customStyle="1" w:styleId="Forside-departement">
    <w:name w:val="Forside-departement"/>
    <w:qFormat/>
    <w:rsid w:val="00404399"/>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404399"/>
    <w:pPr>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404399"/>
    <w:pPr>
      <w:spacing w:after="0" w:line="240" w:lineRule="auto"/>
    </w:pPr>
    <w:rPr>
      <w:rFonts w:ascii="Open Sans" w:eastAsia="Times New Roman" w:hAnsi="Open Sans" w:cs="Open Sans"/>
      <w:color w:val="000000"/>
      <w:kern w:val="0"/>
      <w:sz w:val="66"/>
      <w:szCs w:val="66"/>
      <w14:ligatures w14:val="none"/>
    </w:rPr>
  </w:style>
  <w:style w:type="paragraph" w:customStyle="1" w:styleId="SingleTxtG">
    <w:name w:val="_ Single Txt_G"/>
    <w:basedOn w:val="Normal"/>
    <w:uiPriority w:val="99"/>
    <w:rsid w:val="0085334D"/>
    <w:pPr>
      <w:spacing w:before="0" w:after="120" w:line="240" w:lineRule="auto"/>
      <w:ind w:left="1134" w:right="1134"/>
      <w:jc w:val="both"/>
    </w:pPr>
    <w:rPr>
      <w:rFonts w:ascii="Times New Roman" w:eastAsia="SimSun" w:hAnsi="Times New Roman" w:cs="Times New Roman"/>
      <w:sz w:val="20"/>
      <w:szCs w:val="20"/>
      <w:lang w:eastAsia="zh-CN"/>
    </w:rPr>
  </w:style>
  <w:style w:type="paragraph" w:customStyle="1" w:styleId="Default">
    <w:name w:val="Default"/>
    <w:uiPriority w:val="99"/>
    <w:rsid w:val="008922D8"/>
    <w:pPr>
      <w:autoSpaceDE w:val="0"/>
      <w:autoSpaceDN w:val="0"/>
      <w:adjustRightInd w:val="0"/>
      <w:spacing w:after="0" w:line="240" w:lineRule="auto"/>
    </w:pPr>
    <w:rPr>
      <w:rFonts w:ascii="Arial" w:hAnsi="Arial" w:cs="Arial"/>
      <w:color w:val="000000"/>
      <w:kern w:val="0"/>
      <w:sz w:val="24"/>
      <w:szCs w:val="24"/>
      <w:lang w:val="en-GB"/>
    </w:rPr>
  </w:style>
  <w:style w:type="character" w:customStyle="1" w:styleId="apple-converted-space">
    <w:name w:val="apple-converted-space"/>
    <w:basedOn w:val="Standardskriftforavsnitt"/>
    <w:rsid w:val="002C7757"/>
  </w:style>
  <w:style w:type="character" w:styleId="Emneknagg">
    <w:name w:val="Hashtag"/>
    <w:basedOn w:val="Standardskriftforavsnitt"/>
    <w:uiPriority w:val="99"/>
    <w:semiHidden/>
    <w:unhideWhenUsed/>
    <w:rsid w:val="00DF2BA4"/>
    <w:rPr>
      <w:color w:val="2B579A"/>
      <w:shd w:val="clear" w:color="auto" w:fill="E1DFDD"/>
    </w:rPr>
  </w:style>
  <w:style w:type="character" w:styleId="Omtale">
    <w:name w:val="Mention"/>
    <w:basedOn w:val="Standardskriftforavsnitt"/>
    <w:uiPriority w:val="99"/>
    <w:semiHidden/>
    <w:unhideWhenUsed/>
    <w:rsid w:val="00DF2BA4"/>
    <w:rPr>
      <w:color w:val="2B579A"/>
      <w:shd w:val="clear" w:color="auto" w:fill="E1DFDD"/>
    </w:rPr>
  </w:style>
  <w:style w:type="character" w:styleId="Smarthyperkobling">
    <w:name w:val="Smart Hyperlink"/>
    <w:basedOn w:val="Standardskriftforavsnitt"/>
    <w:uiPriority w:val="99"/>
    <w:semiHidden/>
    <w:unhideWhenUsed/>
    <w:rsid w:val="00DF2BA4"/>
    <w:rPr>
      <w:u w:val="dotted"/>
    </w:rPr>
  </w:style>
  <w:style w:type="character" w:styleId="Smartkobling">
    <w:name w:val="Smart Link"/>
    <w:basedOn w:val="Standardskriftforavsnitt"/>
    <w:uiPriority w:val="99"/>
    <w:semiHidden/>
    <w:unhideWhenUsed/>
    <w:rsid w:val="00DF2BA4"/>
    <w:rPr>
      <w:color w:val="0000FF"/>
      <w:u w:val="single"/>
      <w:shd w:val="clear" w:color="auto" w:fill="F3F2F1"/>
    </w:rPr>
  </w:style>
  <w:style w:type="character" w:styleId="Ulstomtale">
    <w:name w:val="Unresolved Mention"/>
    <w:basedOn w:val="Standardskriftforavsnitt"/>
    <w:uiPriority w:val="99"/>
    <w:semiHidden/>
    <w:unhideWhenUsed/>
    <w:rsid w:val="00DF2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misc-e-2025-45-standing-committee-clean-final/488029d956" TargetMode="External"/><Relationship Id="rId3" Type="http://schemas.openxmlformats.org/officeDocument/2006/relationships/hyperlink" Target="https://www.rovbase.no/erstatning/rein" TargetMode="External"/><Relationship Id="rId7" Type="http://schemas.openxmlformats.org/officeDocument/2006/relationships/hyperlink" Target="https://www.regjeringen.no/globalassets/upload/kilde/ld/rap/2001/0017/ddd/pdfv/151133-utredning_dyrevelferd_samisk.pdf" TargetMode="External"/><Relationship Id="rId2" Type="http://schemas.openxmlformats.org/officeDocument/2006/relationships/hyperlink" Target="https://www.regjeringen.no/no/aktuelt/tiltakspakke-for-reindrift-og-energi/id3019596/?expand=factbox3019601" TargetMode="External"/><Relationship Id="rId1" Type="http://schemas.openxmlformats.org/officeDocument/2006/relationships/hyperlink" Target="https://www.regjeringen.no/no/aktuelt/ekspertutvalg-skal-utrede-norges-forpliktelser-overfor-rovvilt-og-reindrift/id3081185/?expand=factbox3081190" TargetMode="External"/><Relationship Id="rId6" Type="http://schemas.openxmlformats.org/officeDocument/2006/relationships/hyperlink" Target="https://www.coe.int/en/web/Conventions/full-list?module=declarations-by-treaty&amp;numSte=104&amp;codeNature=0" TargetMode="External"/><Relationship Id="rId5" Type="http://schemas.openxmlformats.org/officeDocument/2006/relationships/hyperlink" Target="https://www.regjeringen.no/no/tema/urfolk-og-minoriteter/urfolk/ilo-konvensjonen-om-urfolks-rettigheter-/id487963/" TargetMode="External"/><Relationship Id="rId4" Type="http://schemas.openxmlformats.org/officeDocument/2006/relationships/hyperlink" Target="https://normlex.ilo.org/dyn/nrmlx_en/f?p=NORMLEXPUB:11300:0::NO::p11300_instrument_id:312314" TargetMode="External"/><Relationship Id="rId9" Type="http://schemas.openxmlformats.org/officeDocument/2006/relationships/hyperlink" Target="https://www.researchgate.net/journal/People-and-Nature-2575-8314?_tp=eyJjb250ZXh0Ijp7ImZpcnN0UGFnZSI6InB1YmxpY2F0aW9uIiwicGFnZSI6InB1YmxpY2F0aW9uIiwicG9zaXRpb24iOiJwYWdlSGVhZGVyIn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kstype xmlns="d0ce5454-fed0-4711-9696-ee018ada7f9b">Velg sakstype</Sakstype>
    <AssignedTo xmlns="http://schemas.microsoft.com/sharepoint/v3">
      <UserInfo>
        <DisplayName/>
        <AccountId xsi:nil="true"/>
        <AccountType/>
      </UserInfo>
    </AssignedTo>
    <Seksjon xmlns="d0ce5454-fed0-4711-9696-ee018ada7f9b">Fjellseksjonen</Seksjon>
    <Fagomr_x00e5_de xmlns="d0ce5454-fed0-4711-9696-ee018ada7f9b">Rovvilt</Fagomr_x00e5_de>
    <Fase xmlns="d0ce5454-fed0-4711-9696-ee018ada7f9b">Ikke relevant</Fase>
    <Tema xmlns="d0ce5454-fed0-4711-9696-ee018ada7f9b">Ekspertutvalg - Bernkonvensjonen og urfolksrett</Tema>
    <Dokument_x002d_type xmlns="d0ce5454-fed0-4711-9696-ee018ada7f9b">Rapport</Dokument_x002d_type>
  </documentManagement>
</p:properties>
</file>

<file path=customXml/item3.xml><?xml version="1.0" encoding="utf-8"?>
<ct:contentTypeSchema xmlns:ct="http://schemas.microsoft.com/office/2006/metadata/contentType" xmlns:ma="http://schemas.microsoft.com/office/2006/metadata/properties/metaAttributes" ct:_="" ma:_="" ma:contentTypeName="Tekstdokument" ma:contentTypeID="0x01010027399BDA455B493DBFDF30E876AC73C300E62101715EA6034D9413AAA584E53689" ma:contentTypeVersion="16" ma:contentTypeDescription="Opprett et nytt dokument." ma:contentTypeScope="" ma:versionID="20a0a3d7da3e87ce5f759bed492cfeb4">
  <xsd:schema xmlns:xsd="http://www.w3.org/2001/XMLSchema" xmlns:xs="http://www.w3.org/2001/XMLSchema" xmlns:p="http://schemas.microsoft.com/office/2006/metadata/properties" xmlns:ns1="http://schemas.microsoft.com/sharepoint/v3" xmlns:ns2="d0ce5454-fed0-4711-9696-ee018ada7f9b" xmlns:ns3="b5160225-8377-4f6a-b697-bb7910221a30" targetNamespace="http://schemas.microsoft.com/office/2006/metadata/properties" ma:root="true" ma:fieldsID="50cd42730722133235bd40ef1ecbc31b" ns1:_="" ns2:_="" ns3:_="">
    <xsd:import namespace="http://schemas.microsoft.com/sharepoint/v3"/>
    <xsd:import namespace="d0ce5454-fed0-4711-9696-ee018ada7f9b"/>
    <xsd:import namespace="b5160225-8377-4f6a-b697-bb7910221a30"/>
    <xsd:element name="properties">
      <xsd:complexType>
        <xsd:sequence>
          <xsd:element name="documentManagement">
            <xsd:complexType>
              <xsd:all>
                <xsd:element ref="ns1:AssignedTo" minOccurs="0"/>
                <xsd:element ref="ns2:Seksjon" minOccurs="0"/>
                <xsd:element ref="ns2:Sakstype" minOccurs="0"/>
                <xsd:element ref="ns2:Dokument_x002d_type" minOccurs="0"/>
                <xsd:element ref="ns2:Fagomr_x00e5_de" minOccurs="0"/>
                <xsd:element ref="ns2:Tema" minOccurs="0"/>
                <xsd:element ref="ns2:Fas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ce5454-fed0-4711-9696-ee018ada7f9b" elementFormDefault="qualified">
    <xsd:import namespace="http://schemas.microsoft.com/office/2006/documentManagement/types"/>
    <xsd:import namespace="http://schemas.microsoft.com/office/infopath/2007/PartnerControls"/>
    <xsd:element name="Seksjon" ma:index="3" nillable="true" ma:displayName="Seksjon" ma:default="Felles" ma:description="Velg seksjon" ma:format="RadioButtons" ma:internalName="Seksjon">
      <xsd:simpleType>
        <xsd:restriction base="dms:Choice">
          <xsd:enumeration value="Felles"/>
          <xsd:enumeration value="Fjellseksjonen"/>
          <xsd:enumeration value="Havseksjonen"/>
          <xsd:enumeration value="Skogseksjonen"/>
          <xsd:enumeration value="Styringsseksjonen"/>
          <xsd:enumeration value="Vannseksjonen"/>
        </xsd:restriction>
      </xsd:simpleType>
    </xsd:element>
    <xsd:element name="Sakstype" ma:index="4" nillable="true" ma:displayName="Sakstype" ma:default="Velg sakstype" ma:description="Velg sakstype. Denne bør ikke stå tom. Meld inn til superbruker i seksjonen dersom du har innspill til flere sakstyper" ma:format="Dropdown" ma:internalName="Sakstype">
      <xsd:simpleType>
        <xsd:restriction base="dms:Choice">
          <xsd:enumeration value="Adm/internt"/>
          <xsd:enumeration value="Avdelingstur/seksjonstur"/>
          <xsd:enumeration value="Budsjett"/>
          <xsd:enumeration value="Ertatning"/>
          <xsd:enumeration value="Forskrift"/>
          <xsd:enumeration value="Forvaltning"/>
          <xsd:enumeration value="Høring/høringsinnspill"/>
          <xsd:enumeration value="Klagesak"/>
          <xsd:enumeration value="Koordinering"/>
          <xsd:enumeration value="Kunnskap"/>
          <xsd:enumeration value="Lov/lover"/>
          <xsd:enumeration value="Meldingsarbeid"/>
          <xsd:enumeration value="Regelverk"/>
          <xsd:enumeration value="Rettsak"/>
          <xsd:enumeration value="Seksjonsinternt"/>
          <xsd:enumeration value="Styring"/>
          <xsd:enumeration value="Utvikling"/>
          <xsd:enumeration value="Velg sakstype"/>
        </xsd:restriction>
      </xsd:simpleType>
    </xsd:element>
    <xsd:element name="Dokument_x002d_type" ma:index="5" nillable="true" ma:displayName="Dokument-type" ma:default="Velg dokumenttype" ma:description="Denne kolonnen skal ikke stå tom. Dersom det er behov for et eller flere valg, ta kontakt med superbruker i seksjonen" ma:format="Dropdown" ma:internalName="Dokument_x002d_type">
      <xsd:simpleType>
        <xsd:restriction base="dms:Choice">
          <xsd:enumeration value="Agenda/referat"/>
          <xsd:enumeration value="Arbeids-/innspillsdokument"/>
          <xsd:enumeration value="Beredskapsflak"/>
          <xsd:enumeration value="Bilde"/>
          <xsd:enumeration value="Brev"/>
          <xsd:enumeration value="Disponeringsskriv"/>
          <xsd:enumeration value="Flak"/>
          <xsd:enumeration value="Foredrag, presentasjon, tale"/>
          <xsd:enumeration value="Internasjonalt innspill"/>
          <xsd:enumeration value="Kongelig res"/>
          <xsd:enumeration value="Kunnskapgrunnlag"/>
          <xsd:enumeration value="Maler (tilskudd, forskrift o.l)"/>
          <xsd:enumeration value="Mediesak"/>
          <xsd:enumeration value="Notat"/>
          <xsd:enumeration value="Oppfølgning  henvendelse"/>
          <xsd:enumeration value="Oversikt"/>
          <xsd:enumeration value="Planer (inkl. tidsplaner)"/>
          <xsd:enumeration value="Rapport"/>
          <xsd:enumeration value="Søknad"/>
          <xsd:enumeration value="Velg dokumenttype"/>
        </xsd:restriction>
      </xsd:simpleType>
    </xsd:element>
    <xsd:element name="Fagomr_x00e5_de" ma:index="6" nillable="true" ma:displayName="Fagområde" ma:default="Velg fagområde" ma:description="Velg fagområde." ma:format="Dropdown" ma:internalName="Fagomr_x00e5_de">
      <xsd:simpleType>
        <xsd:restriction base="dms:Choice">
          <xsd:enumeration value="Velg fagområde"/>
          <xsd:enumeration value="Annet"/>
          <xsd:enumeration value="Akvakultur"/>
          <xsd:enumeration value="Anadrom laksefisk"/>
          <xsd:enumeration value="Areal"/>
          <xsd:enumeration value="Bevaring"/>
          <xsd:enumeration value="Bernkonvensjonen"/>
          <xsd:enumeration value="Besøkssentre"/>
          <xsd:enumeration value="Biomangfoldkonvensjonen"/>
          <xsd:enumeration value="Bonnkonvensjonen"/>
          <xsd:enumeration value="Budsjett"/>
          <xsd:enumeration value="Bærekraftsmål"/>
          <xsd:enumeration value="Cites"/>
          <xsd:enumeration value="Energisaker"/>
          <xsd:enumeration value="En helse/antibiotikaresistens"/>
          <xsd:enumeration value="Etatsstyring"/>
          <xsd:enumeration value="Forvaltning av andre organismer i vann"/>
          <xsd:enumeration value="Friluftsliv"/>
          <xsd:enumeration value="Fremmede arter"/>
          <xsd:enumeration value="Generell vannforvaltning"/>
          <xsd:enumeration value="GMO"/>
          <xsd:enumeration value="Grensevassdrag"/>
          <xsd:enumeration value="Hav og klima"/>
          <xsd:enumeration value="Havnæringer"/>
          <xsd:enumeration value="Internbudsjett og regnskap"/>
          <xsd:enumeration value="Internasjonalt"/>
          <xsd:enumeration value="Jordbruksoppgjør og øvrig jordbruk"/>
          <xsd:enumeration value="Jordhelse"/>
          <xsd:enumeration value="Klima-natur"/>
          <xsd:enumeration value="Konsekvensutredning"/>
          <xsd:enumeration value="Kulturlandskap og åpent lavland"/>
          <xsd:enumeration value="MAB og Norske parker"/>
          <xsd:enumeration value="Marka"/>
          <xsd:enumeration value="Meny av tiltak"/>
          <xsd:enumeration value="Miljøkrim"/>
          <xsd:enumeration value="Motorferdsel"/>
          <xsd:enumeration value="Natur i by"/>
          <xsd:enumeration value="Naturkunnskap"/>
          <xsd:enumeration value="Naturmangfoldloven"/>
          <xsd:enumeration value="Naturregnskap"/>
          <xsd:enumeration value="Naturrestaurering - koordinering"/>
          <xsd:enumeration value="Naturrisiko"/>
          <xsd:enumeration value="Nordisk samarbeid"/>
          <xsd:enumeration value="Områdevern"/>
          <xsd:enumeration value="Oslofjorden"/>
          <xsd:enumeration value="Overordnet havforvaltning"/>
          <xsd:enumeration value="Plansaker"/>
          <xsd:enumeration value="Pukkellaks"/>
          <xsd:enumeration value="Reindrift"/>
          <xsd:enumeration value="Reiseliv"/>
          <xsd:enumeration value="Rovvilt"/>
          <xsd:enumeration value="Samisk"/>
          <xsd:enumeration value="Skog"/>
          <xsd:enumeration value="Styringssystem for natur"/>
          <xsd:enumeration value="Truet natur"/>
          <xsd:enumeration value="UNESCO"/>
          <xsd:enumeration value="Utenlandske treslag"/>
          <xsd:enumeration value="Utvalgte naturtyper og prioriterte arter"/>
          <xsd:enumeration value="Vannforskriften/vanndirektivet"/>
          <xsd:enumeration value="Vassdragsrestaurering"/>
          <xsd:enumeration value="Villrein"/>
          <xsd:enumeration value="Viltforvaltning"/>
          <xsd:enumeration value="Viltressurslov"/>
          <xsd:enumeration value="Virksomhetsstyring"/>
          <xsd:enumeration value="Våtmark"/>
        </xsd:restriction>
      </xsd:simpleType>
    </xsd:element>
    <xsd:element name="Tema" ma:index="7" nillable="true" ma:displayName="Tema" ma:description="Velg tema. Dersom du har ønske/behov for å sortere på eget tema, er det mulig å legge inn det her. Det blir synlig for alle" ma:format="Dropdown" ma:internalName="Tema">
      <xsd:simpleType>
        <xsd:union memberTypes="dms:Text">
          <xsd:simpleType>
            <xsd:restriction base="dms:Choice">
              <xsd:enumeration value="Annet"/>
              <xsd:enumeration value="Bjørn"/>
              <xsd:enumeration value="Ekspertutvalg - Bernkonvensjonen og urfolksrett"/>
              <xsd:enumeration value="Gaupe"/>
              <xsd:enumeration value="Jerv"/>
              <xsd:enumeration value="Oppfølging av Meld.18 (2023-2024)"/>
              <xsd:enumeration value="Reetablering av villrein i Nordfjella, sone 1"/>
              <xsd:enumeration value="Rettsprosess RBD 14A"/>
              <xsd:enumeration value="Rovviltnemnder"/>
              <xsd:enumeration value="Tamrein"/>
              <xsd:enumeration value="Tiltaksplaner etter kvalitetsnormen"/>
              <xsd:enumeration value="Ulv"/>
            </xsd:restriction>
          </xsd:simpleType>
        </xsd:union>
      </xsd:simpleType>
    </xsd:element>
    <xsd:element name="Fase" ma:index="8" nillable="true" ma:displayName="Fase" ma:default="Ikke relevant" ma:format="Dropdown" ma:internalName="Fase">
      <xsd:simpleType>
        <xsd:restriction base="dms:Choice">
          <xsd:enumeration value="Ikke relevant"/>
          <xsd:enumeration value="Departementsforeleggelse"/>
          <xsd:enumeration value="Høring"/>
          <xsd:enumeration value="Publisering"/>
          <xsd:enumeration value="R-behandling"/>
        </xsd:restriction>
      </xsd:simpleType>
    </xsd:element>
  </xsd:schema>
  <xsd:schema xmlns:xsd="http://www.w3.org/2001/XMLSchema" xmlns:xs="http://www.w3.org/2001/XMLSchema" xmlns:dms="http://schemas.microsoft.com/office/2006/documentManagement/types" xmlns:pc="http://schemas.microsoft.com/office/infopath/2007/PartnerControls" targetNamespace="b5160225-8377-4f6a-b697-bb7910221a30"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5DBB-5AAE-4045-8846-9E3F6F83A218}">
  <ds:schemaRefs>
    <ds:schemaRef ds:uri="http://schemas.microsoft.com/sharepoint/v3/contenttype/forms"/>
  </ds:schemaRefs>
</ds:datastoreItem>
</file>

<file path=customXml/itemProps2.xml><?xml version="1.0" encoding="utf-8"?>
<ds:datastoreItem xmlns:ds="http://schemas.openxmlformats.org/officeDocument/2006/customXml" ds:itemID="{1906293C-0059-4784-AA08-9A34FD258F30}">
  <ds:schemaRefs>
    <ds:schemaRef ds:uri="http://schemas.microsoft.com/sharepoint/v3"/>
    <ds:schemaRef ds:uri="http://schemas.microsoft.com/office/2006/documentManagement/types"/>
    <ds:schemaRef ds:uri="b5160225-8377-4f6a-b697-bb7910221a30"/>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d0ce5454-fed0-4711-9696-ee018ada7f9b"/>
    <ds:schemaRef ds:uri="http://www.w3.org/XML/1998/namespace"/>
    <ds:schemaRef ds:uri="http://purl.org/dc/dcmitype/"/>
  </ds:schemaRefs>
</ds:datastoreItem>
</file>

<file path=customXml/itemProps3.xml><?xml version="1.0" encoding="utf-8"?>
<ds:datastoreItem xmlns:ds="http://schemas.openxmlformats.org/officeDocument/2006/customXml" ds:itemID="{78584333-B033-469F-B5C5-C8DA66862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ce5454-fed0-4711-9696-ee018ada7f9b"/>
    <ds:schemaRef ds:uri="b5160225-8377-4f6a-b697-bb7910221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A7837-4ABD-4DAB-B769-563A9B1D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10</TotalTime>
  <Pages>117</Pages>
  <Words>40806</Words>
  <Characters>233005</Characters>
  <Application>Microsoft Office Word</Application>
  <DocSecurity>0</DocSecurity>
  <Lines>3640</Lines>
  <Paragraphs>934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Wiig</dc:creator>
  <cp:keywords/>
  <dc:description/>
  <cp:lastModifiedBy>Caroline Aasan</cp:lastModifiedBy>
  <cp:revision>3</cp:revision>
  <dcterms:created xsi:type="dcterms:W3CDTF">2026-03-04T11:19:00Z</dcterms:created>
  <dcterms:modified xsi:type="dcterms:W3CDTF">2026-03-04T11:28:00Z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ddf319-7d2e-4b9a-b236-a4013e1138e2_Enabled">
    <vt:lpwstr>true</vt:lpwstr>
  </property>
  <property fmtid="{D5CDD505-2E9C-101B-9397-08002B2CF9AE}" pid="3" name="MSIP_Label_a4ddf319-7d2e-4b9a-b236-a4013e1138e2_SetDate">
    <vt:lpwstr>2026-03-01T08:38:50Z</vt:lpwstr>
  </property>
  <property fmtid="{D5CDD505-2E9C-101B-9397-08002B2CF9AE}" pid="4" name="MSIP_Label_a4ddf319-7d2e-4b9a-b236-a4013e1138e2_Method">
    <vt:lpwstr>Standard</vt:lpwstr>
  </property>
  <property fmtid="{D5CDD505-2E9C-101B-9397-08002B2CF9AE}" pid="5" name="MSIP_Label_a4ddf319-7d2e-4b9a-b236-a4013e1138e2_Name">
    <vt:lpwstr>Intern (KLD)</vt:lpwstr>
  </property>
  <property fmtid="{D5CDD505-2E9C-101B-9397-08002B2CF9AE}" pid="6" name="MSIP_Label_a4ddf319-7d2e-4b9a-b236-a4013e1138e2_SiteId">
    <vt:lpwstr>f696e186-1c3b-44cd-bf76-5ace0e7007bd</vt:lpwstr>
  </property>
  <property fmtid="{D5CDD505-2E9C-101B-9397-08002B2CF9AE}" pid="7" name="MSIP_Label_a4ddf319-7d2e-4b9a-b236-a4013e1138e2_ActionId">
    <vt:lpwstr>63e7f0e8-5f58-4afd-b402-285bb0242e51</vt:lpwstr>
  </property>
  <property fmtid="{D5CDD505-2E9C-101B-9397-08002B2CF9AE}" pid="8" name="MSIP_Label_a4ddf319-7d2e-4b9a-b236-a4013e1138e2_ContentBits">
    <vt:lpwstr>0</vt:lpwstr>
  </property>
  <property fmtid="{D5CDD505-2E9C-101B-9397-08002B2CF9AE}" pid="9" name="MSIP_Label_a4ddf319-7d2e-4b9a-b236-a4013e1138e2_Tag">
    <vt:lpwstr>10, 3, 0, 1</vt:lpwstr>
  </property>
  <property fmtid="{D5CDD505-2E9C-101B-9397-08002B2CF9AE}" pid="10" name="ContentTypeId">
    <vt:lpwstr>0x01010027399BDA455B493DBFDF30E876AC73C300E62101715EA6034D9413AAA584E53689</vt:lpwstr>
  </property>
</Properties>
</file>