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7540A" w14:textId="6A2E733D" w:rsidR="00033412" w:rsidRDefault="0077426B" w:rsidP="00033412">
      <w:pPr>
        <w:keepNext/>
        <w:spacing w:before="300" w:after="100" w:line="300" w:lineRule="atLeast"/>
        <w:outlineLvl w:val="0"/>
        <w:rPr>
          <w:rFonts w:ascii="Arial" w:eastAsia="Times New Roman" w:hAnsi="Arial" w:cs="Raavi"/>
          <w:b/>
          <w:bCs/>
          <w:color w:val="003399"/>
          <w:kern w:val="32"/>
          <w:sz w:val="28"/>
          <w:szCs w:val="28"/>
          <w:lang w:eastAsia="de-DE" w:bidi="pa-IN"/>
        </w:rPr>
      </w:pPr>
      <w:bookmarkStart w:id="1" w:name="_Toc372029199"/>
      <w:r>
        <w:rPr>
          <w:rFonts w:ascii="Arial" w:eastAsia="Times New Roman" w:hAnsi="Arial" w:cs="Raavi"/>
          <w:b/>
          <w:bCs/>
          <w:color w:val="003399"/>
          <w:kern w:val="32"/>
          <w:sz w:val="28"/>
          <w:szCs w:val="28"/>
          <w:lang w:eastAsia="de-DE" w:bidi="pa-IN"/>
        </w:rPr>
        <w:t>Notification</w:t>
      </w:r>
      <w:r w:rsidR="00FB08B3">
        <w:rPr>
          <w:rFonts w:ascii="Arial" w:eastAsia="Times New Roman" w:hAnsi="Arial" w:cs="Raavi"/>
          <w:b/>
          <w:bCs/>
          <w:color w:val="003399"/>
          <w:kern w:val="32"/>
          <w:sz w:val="28"/>
          <w:szCs w:val="28"/>
          <w:lang w:eastAsia="de-DE" w:bidi="pa-IN"/>
        </w:rPr>
        <w:t xml:space="preserve"> template</w:t>
      </w:r>
      <w:r w:rsidR="00013D8D">
        <w:rPr>
          <w:rFonts w:ascii="Arial" w:eastAsia="Times New Roman" w:hAnsi="Arial" w:cs="Raavi"/>
          <w:b/>
          <w:bCs/>
          <w:color w:val="003399"/>
          <w:kern w:val="32"/>
          <w:sz w:val="28"/>
          <w:szCs w:val="28"/>
          <w:lang w:eastAsia="de-DE" w:bidi="pa-IN"/>
        </w:rPr>
        <w:t xml:space="preserve"> </w:t>
      </w:r>
      <w:r w:rsidR="00A4549F">
        <w:rPr>
          <w:rFonts w:ascii="Arial" w:eastAsia="Times New Roman" w:hAnsi="Arial" w:cs="Raavi"/>
          <w:b/>
          <w:bCs/>
          <w:color w:val="003399"/>
          <w:kern w:val="32"/>
          <w:sz w:val="28"/>
          <w:szCs w:val="28"/>
          <w:lang w:eastAsia="de-DE" w:bidi="pa-IN"/>
        </w:rPr>
        <w:t xml:space="preserve">for </w:t>
      </w:r>
      <w:r w:rsidR="00013D8D" w:rsidRPr="00281AEE">
        <w:rPr>
          <w:rFonts w:ascii="Arial" w:eastAsia="Times New Roman" w:hAnsi="Arial" w:cs="Raavi"/>
          <w:b/>
          <w:bCs/>
          <w:color w:val="003399"/>
          <w:kern w:val="32"/>
          <w:sz w:val="28"/>
          <w:szCs w:val="28"/>
          <w:lang w:eastAsia="de-DE" w:bidi="pa-IN"/>
        </w:rPr>
        <w:t>measures to be taken under Article 458 of the Capital Requirements Regulation (CRR</w:t>
      </w:r>
      <w:bookmarkEnd w:id="1"/>
      <w:r w:rsidR="00013D8D" w:rsidRPr="00281AEE">
        <w:rPr>
          <w:rFonts w:ascii="Arial" w:eastAsia="Times New Roman" w:hAnsi="Arial" w:cs="Raavi"/>
          <w:b/>
          <w:bCs/>
          <w:color w:val="003399"/>
          <w:kern w:val="32"/>
          <w:sz w:val="28"/>
          <w:szCs w:val="28"/>
          <w:lang w:eastAsia="de-DE" w:bidi="pa-IN"/>
        </w:rPr>
        <w:t>)</w:t>
      </w:r>
    </w:p>
    <w:p w14:paraId="59F188FC" w14:textId="4C2FBF75" w:rsidR="00E57539" w:rsidRPr="006C3B77" w:rsidRDefault="006C3B77" w:rsidP="006C3B77">
      <w:pPr>
        <w:rPr>
          <w:rFonts w:ascii="Arial" w:hAnsi="Arial" w:cs="Arial"/>
          <w:b/>
        </w:rPr>
      </w:pPr>
      <w:r w:rsidRPr="00312888">
        <w:rPr>
          <w:rFonts w:ascii="Arial" w:hAnsi="Arial" w:cs="Arial"/>
          <w:b/>
        </w:rPr>
        <w:t xml:space="preserve">Template for notifying the </w:t>
      </w:r>
      <w:r w:rsidR="00836EEA">
        <w:rPr>
          <w:rFonts w:ascii="Arial" w:hAnsi="Arial" w:cs="Arial"/>
          <w:b/>
        </w:rPr>
        <w:t>European Central Bank (</w:t>
      </w:r>
      <w:r w:rsidR="00836EEA" w:rsidRPr="00312888">
        <w:rPr>
          <w:rFonts w:ascii="Arial" w:hAnsi="Arial" w:cs="Arial"/>
          <w:b/>
        </w:rPr>
        <w:t>ECB</w:t>
      </w:r>
      <w:r w:rsidR="00836EEA">
        <w:rPr>
          <w:rFonts w:ascii="Arial" w:hAnsi="Arial" w:cs="Arial"/>
          <w:b/>
        </w:rPr>
        <w:t>)</w:t>
      </w:r>
      <w:r w:rsidR="005D04CA">
        <w:rPr>
          <w:rFonts w:ascii="Arial" w:hAnsi="Arial" w:cs="Arial"/>
          <w:b/>
        </w:rPr>
        <w:t xml:space="preserve">, </w:t>
      </w:r>
      <w:r>
        <w:rPr>
          <w:rFonts w:ascii="Arial" w:hAnsi="Arial" w:cs="Arial"/>
          <w:b/>
        </w:rPr>
        <w:t>the</w:t>
      </w:r>
      <w:r w:rsidRPr="00312888">
        <w:rPr>
          <w:rFonts w:ascii="Arial" w:hAnsi="Arial" w:cs="Arial"/>
          <w:b/>
        </w:rPr>
        <w:t xml:space="preserve"> </w:t>
      </w:r>
      <w:r w:rsidR="00836EEA" w:rsidRPr="00D837FE">
        <w:rPr>
          <w:rFonts w:ascii="Arial" w:hAnsi="Arial" w:cs="Arial"/>
          <w:b/>
        </w:rPr>
        <w:t>European Systemic Risk Board (</w:t>
      </w:r>
      <w:r w:rsidR="00836EEA" w:rsidRPr="00312888">
        <w:rPr>
          <w:rFonts w:ascii="Arial" w:hAnsi="Arial" w:cs="Arial"/>
          <w:b/>
        </w:rPr>
        <w:t>ESRB</w:t>
      </w:r>
      <w:r w:rsidR="00836EEA">
        <w:rPr>
          <w:rFonts w:ascii="Arial" w:hAnsi="Arial" w:cs="Arial"/>
          <w:b/>
        </w:rPr>
        <w:t>)</w:t>
      </w:r>
      <w:r w:rsidRPr="00312888">
        <w:rPr>
          <w:rFonts w:ascii="Arial" w:hAnsi="Arial" w:cs="Arial"/>
          <w:b/>
        </w:rPr>
        <w:t xml:space="preserve"> </w:t>
      </w:r>
      <w:r w:rsidR="005D04CA">
        <w:rPr>
          <w:rFonts w:ascii="Arial" w:hAnsi="Arial" w:cs="Arial"/>
          <w:b/>
        </w:rPr>
        <w:t xml:space="preserve">and the </w:t>
      </w:r>
      <w:r w:rsidR="00836EEA">
        <w:rPr>
          <w:rFonts w:ascii="Arial" w:hAnsi="Arial" w:cs="Arial"/>
          <w:b/>
        </w:rPr>
        <w:t xml:space="preserve">European </w:t>
      </w:r>
      <w:r w:rsidR="005D04CA">
        <w:rPr>
          <w:rFonts w:ascii="Arial" w:hAnsi="Arial" w:cs="Arial"/>
          <w:b/>
        </w:rPr>
        <w:t xml:space="preserve">Commission </w:t>
      </w:r>
      <w:r w:rsidRPr="00312888">
        <w:rPr>
          <w:rFonts w:ascii="Arial" w:hAnsi="Arial" w:cs="Arial"/>
          <w:b/>
        </w:rPr>
        <w:t>o</w:t>
      </w:r>
      <w:r w:rsidR="00836EEA">
        <w:rPr>
          <w:rFonts w:ascii="Arial" w:hAnsi="Arial" w:cs="Arial"/>
          <w:b/>
        </w:rPr>
        <w:t>f</w:t>
      </w:r>
      <w:r w:rsidRPr="00312888">
        <w:rPr>
          <w:rFonts w:ascii="Arial" w:hAnsi="Arial" w:cs="Arial"/>
          <w:b/>
        </w:rPr>
        <w:t xml:space="preserve"> </w:t>
      </w:r>
      <w:r>
        <w:rPr>
          <w:rFonts w:ascii="Arial" w:hAnsi="Arial" w:cs="Arial"/>
          <w:b/>
        </w:rPr>
        <w:t xml:space="preserve">stricter national measures </w:t>
      </w:r>
      <w:r w:rsidR="00836EEA">
        <w:rPr>
          <w:rFonts w:ascii="Arial" w:hAnsi="Arial" w:cs="Arial"/>
          <w:b/>
        </w:rPr>
        <w:t xml:space="preserve">pursuant to </w:t>
      </w:r>
      <w:r>
        <w:rPr>
          <w:rFonts w:ascii="Arial" w:hAnsi="Arial" w:cs="Arial"/>
          <w:b/>
        </w:rPr>
        <w:t xml:space="preserve">Article 458(2) CRR and </w:t>
      </w:r>
      <w:r w:rsidR="00EF4663">
        <w:rPr>
          <w:rFonts w:ascii="Arial" w:hAnsi="Arial" w:cs="Arial"/>
          <w:b/>
        </w:rPr>
        <w:t>for</w:t>
      </w:r>
      <w:r>
        <w:rPr>
          <w:rFonts w:ascii="Arial" w:hAnsi="Arial" w:cs="Arial"/>
          <w:b/>
        </w:rPr>
        <w:t xml:space="preserve"> r</w:t>
      </w:r>
      <w:r w:rsidRPr="006C3B77">
        <w:rPr>
          <w:rFonts w:ascii="Arial" w:hAnsi="Arial" w:cs="Arial"/>
          <w:b/>
        </w:rPr>
        <w:t>equest</w:t>
      </w:r>
      <w:r w:rsidR="00EF4663">
        <w:rPr>
          <w:rFonts w:ascii="Arial" w:hAnsi="Arial" w:cs="Arial"/>
          <w:b/>
        </w:rPr>
        <w:t>ing the ESRB</w:t>
      </w:r>
      <w:r w:rsidRPr="006C3B77">
        <w:rPr>
          <w:rFonts w:ascii="Arial" w:hAnsi="Arial" w:cs="Arial"/>
          <w:b/>
        </w:rPr>
        <w:t xml:space="preserve"> </w:t>
      </w:r>
      <w:r w:rsidR="00EF4663" w:rsidRPr="00EF4663">
        <w:rPr>
          <w:rFonts w:ascii="Arial" w:hAnsi="Arial" w:cs="Arial"/>
          <w:b/>
        </w:rPr>
        <w:t>to issue a recommendation to other Member States to reciprocate the measures</w:t>
      </w:r>
      <w:r>
        <w:rPr>
          <w:rFonts w:ascii="Arial" w:hAnsi="Arial" w:cs="Arial"/>
          <w:b/>
        </w:rPr>
        <w:t xml:space="preserve"> </w:t>
      </w:r>
      <w:r w:rsidR="00836EEA">
        <w:rPr>
          <w:rFonts w:ascii="Arial" w:hAnsi="Arial" w:cs="Arial"/>
          <w:b/>
        </w:rPr>
        <w:t>pursuant to</w:t>
      </w:r>
      <w:r>
        <w:rPr>
          <w:rFonts w:ascii="Arial" w:hAnsi="Arial" w:cs="Arial"/>
          <w:b/>
        </w:rPr>
        <w:t xml:space="preserve"> Article 458(</w:t>
      </w:r>
      <w:r w:rsidR="00656B28">
        <w:rPr>
          <w:rFonts w:ascii="Arial" w:hAnsi="Arial" w:cs="Arial"/>
          <w:b/>
        </w:rPr>
        <w:t>8</w:t>
      </w:r>
      <w:r>
        <w:rPr>
          <w:rFonts w:ascii="Arial" w:hAnsi="Arial" w:cs="Arial"/>
          <w:b/>
        </w:rPr>
        <w:t>) CRR</w:t>
      </w:r>
    </w:p>
    <w:p w14:paraId="20988235" w14:textId="19BE4187" w:rsidR="00E57539" w:rsidRDefault="00E57539" w:rsidP="00E57539">
      <w:pPr>
        <w:keepNext/>
        <w:spacing w:before="60" w:after="60"/>
        <w:jc w:val="both"/>
        <w:outlineLvl w:val="0"/>
        <w:rPr>
          <w:rFonts w:ascii="Arial" w:eastAsia="Times New Roman" w:hAnsi="Arial" w:cs="Arial"/>
          <w:sz w:val="20"/>
          <w:szCs w:val="20"/>
          <w:lang w:eastAsia="en-GB"/>
        </w:rPr>
      </w:pPr>
      <w:r w:rsidRPr="00AA5791">
        <w:rPr>
          <w:rFonts w:ascii="Arial" w:eastAsia="Times New Roman" w:hAnsi="Arial" w:cs="Arial"/>
          <w:sz w:val="20"/>
          <w:szCs w:val="20"/>
          <w:lang w:eastAsia="en-GB"/>
        </w:rPr>
        <w:t>Please send/upload this template to</w:t>
      </w:r>
      <w:r w:rsidR="00924688">
        <w:rPr>
          <w:rFonts w:ascii="Arial" w:eastAsia="Times New Roman" w:hAnsi="Arial" w:cs="Arial"/>
          <w:sz w:val="20"/>
          <w:szCs w:val="20"/>
          <w:lang w:eastAsia="en-GB"/>
        </w:rPr>
        <w:t>:</w:t>
      </w:r>
    </w:p>
    <w:p w14:paraId="15C7F3B6" w14:textId="5ED0BA41" w:rsidR="00E57539" w:rsidRPr="00265343" w:rsidRDefault="00301BB3" w:rsidP="00265343">
      <w:pPr>
        <w:pStyle w:val="Listeavsnitt"/>
        <w:keepNext/>
        <w:numPr>
          <w:ilvl w:val="0"/>
          <w:numId w:val="11"/>
        </w:numPr>
        <w:spacing w:before="60" w:after="60" w:line="240" w:lineRule="auto"/>
        <w:jc w:val="both"/>
        <w:outlineLvl w:val="0"/>
        <w:rPr>
          <w:rFonts w:ascii="Arial" w:eastAsia="Times New Roman" w:hAnsi="Arial" w:cs="Arial"/>
          <w:sz w:val="20"/>
          <w:szCs w:val="20"/>
          <w:lang w:eastAsia="en-GB"/>
        </w:rPr>
      </w:pPr>
      <w:hyperlink r:id="rId12" w:history="1">
        <w:r w:rsidR="00E57539" w:rsidRPr="007314A9">
          <w:rPr>
            <w:rStyle w:val="Hyperkobling"/>
            <w:rFonts w:ascii="Arial" w:eastAsia="Times New Roman" w:hAnsi="Arial" w:cs="Arial"/>
            <w:sz w:val="20"/>
            <w:szCs w:val="20"/>
            <w:lang w:eastAsia="en-GB"/>
          </w:rPr>
          <w:t>macropru.notifications@ecb.europa.eu</w:t>
        </w:r>
      </w:hyperlink>
      <w:r w:rsidR="00E57539" w:rsidRPr="007314A9">
        <w:rPr>
          <w:rFonts w:ascii="Arial" w:eastAsia="Times New Roman" w:hAnsi="Arial" w:cs="Arial"/>
          <w:sz w:val="20"/>
          <w:szCs w:val="20"/>
          <w:lang w:eastAsia="en-GB"/>
        </w:rPr>
        <w:t xml:space="preserve"> when notifying the ECB</w:t>
      </w:r>
      <w:r w:rsidR="00265343">
        <w:rPr>
          <w:rFonts w:ascii="Arial" w:eastAsia="Times New Roman" w:hAnsi="Arial" w:cs="Arial"/>
          <w:sz w:val="20"/>
          <w:szCs w:val="20"/>
          <w:lang w:eastAsia="en-GB"/>
        </w:rPr>
        <w:t xml:space="preserve"> (</w:t>
      </w:r>
      <w:r w:rsidR="00265343" w:rsidRPr="007314A9">
        <w:rPr>
          <w:rFonts w:ascii="Arial" w:eastAsia="Times New Roman" w:hAnsi="Arial" w:cs="Arial"/>
          <w:sz w:val="20"/>
          <w:szCs w:val="20"/>
          <w:lang w:eastAsia="en-GB"/>
        </w:rPr>
        <w:t xml:space="preserve">under </w:t>
      </w:r>
      <w:r w:rsidR="00265343">
        <w:rPr>
          <w:rFonts w:ascii="Arial" w:eastAsia="Times New Roman" w:hAnsi="Arial" w:cs="Arial"/>
          <w:sz w:val="20"/>
          <w:szCs w:val="20"/>
          <w:lang w:eastAsia="en-GB"/>
        </w:rPr>
        <w:t xml:space="preserve">Article 5 of the </w:t>
      </w:r>
      <w:r w:rsidR="00B57F95" w:rsidRPr="00D837FE">
        <w:rPr>
          <w:rFonts w:ascii="Arial" w:eastAsia="Times New Roman" w:hAnsi="Arial" w:cs="Arial"/>
          <w:sz w:val="20"/>
          <w:szCs w:val="20"/>
          <w:lang w:eastAsia="en-GB"/>
        </w:rPr>
        <w:t xml:space="preserve">Single Supervisory Mechanism </w:t>
      </w:r>
      <w:r w:rsidR="00265343">
        <w:rPr>
          <w:rFonts w:ascii="Arial" w:eastAsia="Times New Roman" w:hAnsi="Arial" w:cs="Arial"/>
          <w:sz w:val="20"/>
          <w:szCs w:val="20"/>
          <w:lang w:eastAsia="en-GB"/>
        </w:rPr>
        <w:t>Regulation</w:t>
      </w:r>
      <w:r w:rsidR="00135E58">
        <w:rPr>
          <w:rFonts w:ascii="Arial" w:eastAsia="Times New Roman" w:hAnsi="Arial" w:cs="Arial"/>
          <w:sz w:val="20"/>
          <w:szCs w:val="20"/>
          <w:lang w:eastAsia="en-GB"/>
        </w:rPr>
        <w:t xml:space="preserve"> (SSMR)</w:t>
      </w:r>
      <w:r w:rsidR="00265343">
        <w:rPr>
          <w:rStyle w:val="Fotnotereferanse"/>
          <w:rFonts w:ascii="Arial" w:eastAsia="Times New Roman" w:hAnsi="Arial"/>
          <w:sz w:val="20"/>
          <w:szCs w:val="20"/>
          <w:lang w:eastAsia="en-GB"/>
        </w:rPr>
        <w:footnoteReference w:id="2"/>
      </w:r>
      <w:r w:rsidR="00265343">
        <w:rPr>
          <w:rFonts w:ascii="Arial" w:eastAsia="Times New Roman" w:hAnsi="Arial" w:cs="Arial"/>
          <w:sz w:val="20"/>
          <w:szCs w:val="20"/>
          <w:lang w:eastAsia="en-GB"/>
        </w:rPr>
        <w:t>);</w:t>
      </w:r>
    </w:p>
    <w:bookmarkStart w:id="2" w:name="_Hlk61801876"/>
    <w:p w14:paraId="32DD5965" w14:textId="69096AFF" w:rsidR="00E57539" w:rsidRPr="006F33D2" w:rsidRDefault="004F7719" w:rsidP="00E57539">
      <w:pPr>
        <w:pStyle w:val="Listeavsnitt"/>
        <w:keepNext/>
        <w:numPr>
          <w:ilvl w:val="0"/>
          <w:numId w:val="11"/>
        </w:numPr>
        <w:spacing w:before="60" w:after="60"/>
        <w:ind w:left="714" w:hanging="357"/>
        <w:jc w:val="both"/>
        <w:outlineLvl w:val="0"/>
        <w:rPr>
          <w:rStyle w:val="Hyperkobling"/>
          <w:rFonts w:ascii="Arial" w:eastAsia="Times New Roman" w:hAnsi="Arial" w:cs="Arial"/>
          <w:color w:val="auto"/>
          <w:sz w:val="20"/>
          <w:szCs w:val="20"/>
          <w:u w:val="none"/>
          <w:lang w:eastAsia="en-GB"/>
        </w:rPr>
      </w:pPr>
      <w:r>
        <w:fldChar w:fldCharType="begin"/>
      </w:r>
      <w:r>
        <w:instrText xml:space="preserve"> HYPERLINK "mailto:notifications@esrb.europa.eu" </w:instrText>
      </w:r>
      <w:r>
        <w:fldChar w:fldCharType="separate"/>
      </w:r>
      <w:r>
        <w:rPr>
          <w:rStyle w:val="Hyperkobling"/>
          <w:rFonts w:ascii="Arial" w:hAnsi="Arial" w:cs="Arial"/>
          <w:sz w:val="20"/>
          <w:szCs w:val="20"/>
        </w:rPr>
        <w:t>notifications@</w:t>
      </w:r>
      <w:r>
        <w:rPr>
          <w:rStyle w:val="Hyperkobling"/>
          <w:rFonts w:ascii="Arial" w:hAnsi="Arial" w:cs="Arial"/>
          <w:bCs/>
          <w:sz w:val="20"/>
          <w:szCs w:val="20"/>
        </w:rPr>
        <w:t>esrb</w:t>
      </w:r>
      <w:r>
        <w:rPr>
          <w:rStyle w:val="Hyperkobling"/>
          <w:rFonts w:ascii="Arial" w:hAnsi="Arial" w:cs="Arial"/>
          <w:sz w:val="20"/>
          <w:szCs w:val="20"/>
        </w:rPr>
        <w:t>.europa.eu</w:t>
      </w:r>
      <w:r>
        <w:rPr>
          <w:rStyle w:val="Hyperkobling"/>
          <w:rFonts w:ascii="Arial" w:hAnsi="Arial" w:cs="Arial"/>
          <w:sz w:val="20"/>
          <w:szCs w:val="20"/>
        </w:rPr>
        <w:fldChar w:fldCharType="end"/>
      </w:r>
      <w:r>
        <w:rPr>
          <w:rFonts w:ascii="Arial" w:hAnsi="Arial" w:cs="Arial"/>
          <w:sz w:val="20"/>
          <w:szCs w:val="20"/>
        </w:rPr>
        <w:t xml:space="preserve"> </w:t>
      </w:r>
      <w:r w:rsidR="00E57539">
        <w:rPr>
          <w:rFonts w:ascii="Arial" w:hAnsi="Arial" w:cs="Arial"/>
          <w:sz w:val="20"/>
          <w:szCs w:val="20"/>
        </w:rPr>
        <w:t>when notifying the ESRB;</w:t>
      </w:r>
    </w:p>
    <w:bookmarkEnd w:id="2"/>
    <w:p w14:paraId="6DE26C52" w14:textId="776F570F" w:rsidR="0085765F" w:rsidRPr="0085765F" w:rsidRDefault="0016683D" w:rsidP="002951BC">
      <w:pPr>
        <w:pStyle w:val="Listeavsnitt"/>
        <w:numPr>
          <w:ilvl w:val="0"/>
          <w:numId w:val="11"/>
        </w:numPr>
        <w:rPr>
          <w:rFonts w:ascii="Arial" w:eastAsia="Times New Roman" w:hAnsi="Arial" w:cs="Arial"/>
          <w:sz w:val="20"/>
          <w:szCs w:val="20"/>
          <w:lang w:eastAsia="en-GB"/>
        </w:rPr>
      </w:pPr>
      <w:r>
        <w:fldChar w:fldCharType="begin"/>
      </w:r>
      <w:r>
        <w:instrText xml:space="preserve"> HYPERLINK "mailto:FISMA-E-3-NOTIFICATIONS@ec.europa.eu" </w:instrText>
      </w:r>
      <w:r>
        <w:fldChar w:fldCharType="separate"/>
      </w:r>
      <w:r w:rsidR="0085765F" w:rsidRPr="0085765F">
        <w:rPr>
          <w:rStyle w:val="Hyperkobling"/>
          <w:rFonts w:ascii="Arial" w:eastAsia="Times New Roman" w:hAnsi="Arial" w:cs="Arial"/>
          <w:sz w:val="20"/>
          <w:szCs w:val="20"/>
          <w:lang w:eastAsia="en-GB"/>
        </w:rPr>
        <w:t>FISMA-E-3-NOTIFICATIONS@ec.europa.eu</w:t>
      </w:r>
      <w:r>
        <w:rPr>
          <w:rStyle w:val="Hyperkobling"/>
          <w:rFonts w:ascii="Arial" w:eastAsia="Times New Roman" w:hAnsi="Arial" w:cs="Arial"/>
          <w:sz w:val="20"/>
          <w:szCs w:val="20"/>
          <w:lang w:eastAsia="en-GB"/>
        </w:rPr>
        <w:fldChar w:fldCharType="end"/>
      </w:r>
      <w:r w:rsidR="0085765F">
        <w:rPr>
          <w:color w:val="1F497D"/>
        </w:rPr>
        <w:t xml:space="preserve"> </w:t>
      </w:r>
      <w:r w:rsidR="0085765F" w:rsidRPr="0085765F">
        <w:rPr>
          <w:rFonts w:ascii="Arial" w:eastAsia="Times New Roman" w:hAnsi="Arial" w:cs="Arial"/>
          <w:sz w:val="20"/>
          <w:szCs w:val="20"/>
          <w:lang w:eastAsia="en-GB"/>
        </w:rPr>
        <w:t xml:space="preserve">when notifying </w:t>
      </w:r>
      <w:r w:rsidR="0085765F">
        <w:rPr>
          <w:rFonts w:ascii="Arial" w:eastAsia="Times New Roman" w:hAnsi="Arial" w:cs="Arial"/>
          <w:sz w:val="20"/>
          <w:szCs w:val="20"/>
          <w:lang w:eastAsia="en-GB"/>
        </w:rPr>
        <w:t>the E</w:t>
      </w:r>
      <w:r w:rsidR="00A43620">
        <w:rPr>
          <w:rFonts w:ascii="Arial" w:eastAsia="Times New Roman" w:hAnsi="Arial" w:cs="Arial"/>
          <w:sz w:val="20"/>
          <w:szCs w:val="20"/>
          <w:lang w:eastAsia="en-GB"/>
        </w:rPr>
        <w:t xml:space="preserve">uropean </w:t>
      </w:r>
      <w:r w:rsidR="0085765F">
        <w:rPr>
          <w:rFonts w:ascii="Arial" w:eastAsia="Times New Roman" w:hAnsi="Arial" w:cs="Arial"/>
          <w:sz w:val="20"/>
          <w:szCs w:val="20"/>
          <w:lang w:eastAsia="en-GB"/>
        </w:rPr>
        <w:t>C</w:t>
      </w:r>
      <w:r w:rsidR="00A43620">
        <w:rPr>
          <w:rFonts w:ascii="Arial" w:eastAsia="Times New Roman" w:hAnsi="Arial" w:cs="Arial"/>
          <w:sz w:val="20"/>
          <w:szCs w:val="20"/>
          <w:lang w:eastAsia="en-GB"/>
        </w:rPr>
        <w:t>ommission</w:t>
      </w:r>
      <w:r w:rsidR="00732F72">
        <w:rPr>
          <w:rFonts w:ascii="Arial" w:eastAsia="Times New Roman" w:hAnsi="Arial" w:cs="Arial"/>
          <w:sz w:val="20"/>
          <w:szCs w:val="20"/>
          <w:lang w:eastAsia="en-GB"/>
        </w:rPr>
        <w:t>.</w:t>
      </w:r>
    </w:p>
    <w:p w14:paraId="16A94187" w14:textId="36772AD1" w:rsidR="006C04E0" w:rsidRDefault="00077ED2" w:rsidP="006C04E0">
      <w:pPr>
        <w:keepNext/>
        <w:spacing w:before="240" w:after="60"/>
        <w:jc w:val="both"/>
        <w:outlineLvl w:val="0"/>
        <w:rPr>
          <w:rFonts w:ascii="Arial" w:eastAsia="Times New Roman" w:hAnsi="Arial" w:cs="Arial"/>
          <w:sz w:val="20"/>
          <w:szCs w:val="20"/>
          <w:lang w:eastAsia="en-GB"/>
        </w:rPr>
      </w:pPr>
      <w:r w:rsidRPr="00077ED2">
        <w:rPr>
          <w:rFonts w:ascii="Arial" w:eastAsia="Times New Roman" w:hAnsi="Arial" w:cs="Arial"/>
          <w:sz w:val="20"/>
          <w:szCs w:val="20"/>
          <w:lang w:eastAsia="en-GB"/>
        </w:rPr>
        <w:t xml:space="preserve">The ESRB </w:t>
      </w:r>
      <w:r>
        <w:rPr>
          <w:rFonts w:ascii="Arial" w:eastAsia="Times New Roman" w:hAnsi="Arial" w:cs="Arial"/>
          <w:sz w:val="20"/>
          <w:szCs w:val="20"/>
          <w:lang w:eastAsia="en-GB"/>
        </w:rPr>
        <w:t>will</w:t>
      </w:r>
      <w:r w:rsidR="008B3996">
        <w:rPr>
          <w:rFonts w:ascii="Arial" w:eastAsia="Times New Roman" w:hAnsi="Arial" w:cs="Arial"/>
          <w:sz w:val="20"/>
          <w:szCs w:val="20"/>
          <w:lang w:eastAsia="en-GB"/>
        </w:rPr>
        <w:t xml:space="preserve"> forward this</w:t>
      </w:r>
      <w:r w:rsidR="000312F6">
        <w:rPr>
          <w:rFonts w:ascii="Arial" w:eastAsia="Times New Roman" w:hAnsi="Arial" w:cs="Arial"/>
          <w:sz w:val="20"/>
          <w:szCs w:val="20"/>
          <w:lang w:eastAsia="en-GB"/>
        </w:rPr>
        <w:t xml:space="preserve"> notification</w:t>
      </w:r>
      <w:r w:rsidR="008B3996">
        <w:rPr>
          <w:rFonts w:ascii="Arial" w:eastAsia="Times New Roman" w:hAnsi="Arial" w:cs="Arial"/>
          <w:sz w:val="20"/>
          <w:szCs w:val="20"/>
          <w:lang w:eastAsia="en-GB"/>
        </w:rPr>
        <w:t xml:space="preserve"> </w:t>
      </w:r>
      <w:r w:rsidRPr="00077ED2">
        <w:rPr>
          <w:rFonts w:ascii="Arial" w:eastAsia="Times New Roman" w:hAnsi="Arial" w:cs="Arial"/>
          <w:sz w:val="20"/>
          <w:szCs w:val="20"/>
          <w:lang w:eastAsia="en-GB"/>
        </w:rPr>
        <w:t xml:space="preserve">to the European Parliament, the </w:t>
      </w:r>
      <w:r w:rsidR="00B57F95">
        <w:rPr>
          <w:rFonts w:ascii="Arial" w:eastAsia="Times New Roman" w:hAnsi="Arial" w:cs="Arial"/>
          <w:sz w:val="20"/>
          <w:szCs w:val="20"/>
          <w:lang w:eastAsia="en-GB"/>
        </w:rPr>
        <w:t xml:space="preserve">European </w:t>
      </w:r>
      <w:r w:rsidRPr="00077ED2">
        <w:rPr>
          <w:rFonts w:ascii="Arial" w:eastAsia="Times New Roman" w:hAnsi="Arial" w:cs="Arial"/>
          <w:sz w:val="20"/>
          <w:szCs w:val="20"/>
          <w:lang w:eastAsia="en-GB"/>
        </w:rPr>
        <w:t xml:space="preserve">Council and </w:t>
      </w:r>
      <w:r w:rsidR="00B57F95">
        <w:rPr>
          <w:rFonts w:ascii="Arial" w:eastAsia="Times New Roman" w:hAnsi="Arial" w:cs="Arial"/>
          <w:sz w:val="20"/>
          <w:szCs w:val="20"/>
          <w:lang w:eastAsia="en-GB"/>
        </w:rPr>
        <w:t xml:space="preserve">the </w:t>
      </w:r>
      <w:r w:rsidR="00B57F95" w:rsidRPr="00B57F95">
        <w:rPr>
          <w:rFonts w:ascii="Arial" w:eastAsia="Times New Roman" w:hAnsi="Arial" w:cs="Arial"/>
          <w:sz w:val="20"/>
          <w:szCs w:val="20"/>
          <w:lang w:eastAsia="en-GB"/>
        </w:rPr>
        <w:t>European Banking Authority (EBA)</w:t>
      </w:r>
      <w:r w:rsidRPr="00077ED2">
        <w:rPr>
          <w:rFonts w:ascii="Arial" w:eastAsia="Times New Roman" w:hAnsi="Arial" w:cs="Arial"/>
          <w:sz w:val="20"/>
          <w:szCs w:val="20"/>
          <w:lang w:eastAsia="en-GB"/>
        </w:rPr>
        <w:t xml:space="preserve"> without delay.</w:t>
      </w:r>
      <w:r w:rsidR="006C04E0">
        <w:rPr>
          <w:rFonts w:ascii="Arial" w:eastAsia="Times New Roman" w:hAnsi="Arial" w:cs="Arial"/>
          <w:sz w:val="20"/>
          <w:szCs w:val="20"/>
          <w:lang w:eastAsia="en-GB"/>
        </w:rPr>
        <w:t xml:space="preserve"> </w:t>
      </w:r>
      <w:bookmarkStart w:id="3" w:name="_Hlk72148274"/>
      <w:r w:rsidR="006C04E0">
        <w:rPr>
          <w:rFonts w:ascii="Arial" w:eastAsia="Times New Roman" w:hAnsi="Arial" w:cs="Arial"/>
          <w:sz w:val="20"/>
          <w:szCs w:val="20"/>
          <w:lang w:eastAsia="en-GB"/>
        </w:rPr>
        <w:t>This notification will be made public by the ESRB after the relevant authorities have adopted and published the notified macroprudential measure</w:t>
      </w:r>
      <w:r w:rsidR="006C04E0" w:rsidRPr="005E022F">
        <w:rPr>
          <w:rStyle w:val="Fotnotereferanse"/>
          <w:rFonts w:ascii="Arial" w:hAnsi="Arial" w:cs="Arial"/>
          <w:sz w:val="18"/>
          <w:szCs w:val="18"/>
          <w:shd w:val="clear" w:color="auto" w:fill="FFFFFF"/>
        </w:rPr>
        <w:footnoteReference w:id="3"/>
      </w:r>
      <w:r w:rsidR="006C04E0">
        <w:rPr>
          <w:rFonts w:ascii="Arial" w:eastAsia="Times New Roman" w:hAnsi="Arial" w:cs="Arial"/>
          <w:sz w:val="20"/>
          <w:szCs w:val="20"/>
          <w:lang w:eastAsia="en-GB"/>
        </w:rPr>
        <w:t>.</w:t>
      </w:r>
      <w:bookmarkEnd w:id="3"/>
    </w:p>
    <w:p w14:paraId="5DBFD851" w14:textId="16DAEA5A" w:rsidR="005F3392" w:rsidRDefault="00DB4F04" w:rsidP="00033412">
      <w:pPr>
        <w:pStyle w:val="Listeavsnitt"/>
        <w:keepNext/>
        <w:spacing w:before="120" w:after="60"/>
        <w:ind w:left="0"/>
        <w:jc w:val="both"/>
        <w:outlineLvl w:val="0"/>
        <w:rPr>
          <w:rFonts w:ascii="Arial" w:eastAsia="Times New Roman" w:hAnsi="Arial" w:cs="Arial"/>
          <w:sz w:val="20"/>
          <w:szCs w:val="20"/>
          <w:lang w:eastAsia="en-GB"/>
        </w:rPr>
      </w:pPr>
      <w:bookmarkStart w:id="4" w:name="_Hlk77580798"/>
      <w:r w:rsidRPr="00CD6EC4">
        <w:rPr>
          <w:rFonts w:ascii="Arial" w:eastAsia="Times New Roman" w:hAnsi="Arial" w:cs="Arial"/>
          <w:sz w:val="20"/>
          <w:szCs w:val="20"/>
          <w:lang w:eastAsia="en-GB"/>
        </w:rPr>
        <w:t>E-mailing/uploading</w:t>
      </w:r>
      <w:bookmarkEnd w:id="4"/>
      <w:r w:rsidRPr="00CD6EC4">
        <w:rPr>
          <w:rFonts w:ascii="Arial" w:eastAsia="Times New Roman" w:hAnsi="Arial" w:cs="Arial"/>
          <w:sz w:val="20"/>
          <w:szCs w:val="20"/>
          <w:lang w:eastAsia="en-GB"/>
        </w:rPr>
        <w:t xml:space="preserve"> </w:t>
      </w:r>
      <w:r w:rsidR="00013D8D">
        <w:rPr>
          <w:rFonts w:ascii="Arial" w:eastAsia="Times New Roman" w:hAnsi="Arial" w:cs="Arial"/>
          <w:sz w:val="20"/>
          <w:szCs w:val="20"/>
          <w:lang w:eastAsia="en-GB"/>
        </w:rPr>
        <w:t>this template to the above addresses constitutes official notification</w:t>
      </w:r>
      <w:r w:rsidR="00B57F95">
        <w:rPr>
          <w:rFonts w:ascii="Arial" w:eastAsia="Times New Roman" w:hAnsi="Arial" w:cs="Arial"/>
          <w:sz w:val="20"/>
          <w:szCs w:val="20"/>
          <w:lang w:eastAsia="en-GB"/>
        </w:rPr>
        <w:t>;</w:t>
      </w:r>
      <w:r w:rsidR="00013D8D">
        <w:rPr>
          <w:rFonts w:ascii="Arial" w:eastAsia="Times New Roman" w:hAnsi="Arial" w:cs="Arial"/>
          <w:sz w:val="20"/>
          <w:szCs w:val="20"/>
          <w:lang w:eastAsia="en-GB"/>
        </w:rPr>
        <w:t xml:space="preserve"> no further official letter is required. </w:t>
      </w:r>
      <w:r w:rsidR="00B57F95">
        <w:rPr>
          <w:rFonts w:ascii="Arial" w:eastAsia="Times New Roman" w:hAnsi="Arial" w:cs="Arial"/>
          <w:sz w:val="20"/>
          <w:szCs w:val="20"/>
          <w:lang w:eastAsia="en-GB"/>
        </w:rPr>
        <w:t>To</w:t>
      </w:r>
      <w:r w:rsidR="00013D8D">
        <w:rPr>
          <w:rFonts w:ascii="Arial" w:eastAsia="Times New Roman" w:hAnsi="Arial" w:cs="Arial"/>
          <w:sz w:val="20"/>
          <w:szCs w:val="20"/>
          <w:lang w:eastAsia="en-GB"/>
        </w:rPr>
        <w:t xml:space="preserve"> facilitate the work of the notified authorities, please s</w:t>
      </w:r>
      <w:r w:rsidR="00B57F95">
        <w:rPr>
          <w:rFonts w:ascii="Arial" w:eastAsia="Times New Roman" w:hAnsi="Arial" w:cs="Arial"/>
          <w:sz w:val="20"/>
          <w:szCs w:val="20"/>
          <w:lang w:eastAsia="en-GB"/>
        </w:rPr>
        <w:t>ubmit</w:t>
      </w:r>
      <w:r w:rsidR="00013D8D">
        <w:rPr>
          <w:rFonts w:ascii="Arial" w:eastAsia="Times New Roman" w:hAnsi="Arial" w:cs="Arial"/>
          <w:sz w:val="20"/>
          <w:szCs w:val="20"/>
          <w:lang w:eastAsia="en-GB"/>
        </w:rPr>
        <w:t xml:space="preserve"> the notification template in a format that allows </w:t>
      </w:r>
      <w:r w:rsidR="00B57F95">
        <w:rPr>
          <w:rFonts w:ascii="Arial" w:eastAsia="Times New Roman" w:hAnsi="Arial" w:cs="Arial"/>
          <w:sz w:val="20"/>
          <w:szCs w:val="20"/>
          <w:lang w:eastAsia="en-GB"/>
        </w:rPr>
        <w:t xml:space="preserve">the information to be read </w:t>
      </w:r>
      <w:r w:rsidR="00013D8D">
        <w:rPr>
          <w:rFonts w:ascii="Arial" w:eastAsia="Times New Roman" w:hAnsi="Arial" w:cs="Arial"/>
          <w:sz w:val="20"/>
          <w:szCs w:val="20"/>
          <w:lang w:eastAsia="en-GB"/>
        </w:rPr>
        <w:t>electronically.</w:t>
      </w:r>
    </w:p>
    <w:p w14:paraId="28B2FBF3" w14:textId="77777777" w:rsidR="00992D67" w:rsidRPr="004002EF" w:rsidRDefault="00992D67" w:rsidP="00033412">
      <w:pPr>
        <w:pStyle w:val="Listeavsnitt"/>
        <w:keepNext/>
        <w:spacing w:before="120" w:after="60"/>
        <w:ind w:left="0"/>
        <w:jc w:val="both"/>
        <w:outlineLvl w:val="0"/>
        <w:rPr>
          <w:rFonts w:ascii="Arial" w:eastAsia="Times New Roman" w:hAnsi="Arial" w:cs="Arial"/>
          <w:sz w:val="20"/>
          <w:szCs w:val="20"/>
          <w:lang w:eastAsia="en-G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033412" w:rsidRPr="006B66B5" w14:paraId="0FC5D863" w14:textId="77777777" w:rsidTr="0077426B">
        <w:trPr>
          <w:trHeight w:val="680"/>
        </w:trPr>
        <w:tc>
          <w:tcPr>
            <w:tcW w:w="9464" w:type="dxa"/>
            <w:gridSpan w:val="2"/>
            <w:shd w:val="clear" w:color="auto" w:fill="BFBFBF"/>
            <w:vAlign w:val="center"/>
          </w:tcPr>
          <w:p w14:paraId="23DA7BA3" w14:textId="77777777" w:rsidR="00033412" w:rsidRPr="006B66B5" w:rsidRDefault="00013D8D" w:rsidP="001048DB">
            <w:pPr>
              <w:numPr>
                <w:ilvl w:val="0"/>
                <w:numId w:val="5"/>
              </w:numPr>
              <w:spacing w:after="0" w:line="240" w:lineRule="auto"/>
              <w:contextualSpacing/>
              <w:rPr>
                <w:rFonts w:ascii="Arial" w:hAnsi="Arial" w:cs="Arial"/>
                <w:b/>
                <w:sz w:val="20"/>
                <w:szCs w:val="20"/>
              </w:rPr>
            </w:pPr>
            <w:r>
              <w:rPr>
                <w:rFonts w:ascii="Arial" w:hAnsi="Arial" w:cs="Arial"/>
                <w:b/>
                <w:sz w:val="20"/>
                <w:szCs w:val="20"/>
              </w:rPr>
              <w:t>Notifying national authority and scope of the notification</w:t>
            </w:r>
          </w:p>
        </w:tc>
      </w:tr>
      <w:tr w:rsidR="00033412" w:rsidRPr="00D406C5" w14:paraId="28C3E994" w14:textId="77777777" w:rsidTr="00033412">
        <w:trPr>
          <w:trHeight w:val="717"/>
        </w:trPr>
        <w:tc>
          <w:tcPr>
            <w:tcW w:w="2518" w:type="dxa"/>
            <w:shd w:val="clear" w:color="auto" w:fill="auto"/>
            <w:vAlign w:val="center"/>
          </w:tcPr>
          <w:p w14:paraId="340AFBF9" w14:textId="77777777" w:rsidR="00033412" w:rsidRPr="00B90595" w:rsidRDefault="00EF6864" w:rsidP="00B90595">
            <w:pPr>
              <w:spacing w:after="100"/>
              <w:rPr>
                <w:rFonts w:ascii="Arial" w:eastAsia="Times New Roman" w:hAnsi="Arial" w:cs="Arial"/>
                <w:b/>
                <w:sz w:val="20"/>
                <w:szCs w:val="20"/>
                <w:lang w:eastAsia="de-DE" w:bidi="pa-IN"/>
              </w:rPr>
            </w:pPr>
            <w:permStart w:id="1911376149" w:edGrp="everyone" w:colFirst="1" w:colLast="1"/>
            <w:r>
              <w:rPr>
                <w:rFonts w:ascii="Arial" w:eastAsia="Times New Roman" w:hAnsi="Arial" w:cs="Arial"/>
                <w:b/>
                <w:sz w:val="20"/>
                <w:szCs w:val="20"/>
                <w:lang w:eastAsia="de-DE" w:bidi="pa-IN"/>
              </w:rPr>
              <w:t>1.1</w:t>
            </w:r>
            <w:r w:rsidR="00B90595">
              <w:rPr>
                <w:rFonts w:ascii="Arial" w:eastAsia="Times New Roman" w:hAnsi="Arial" w:cs="Arial"/>
                <w:b/>
                <w:sz w:val="20"/>
                <w:szCs w:val="20"/>
                <w:lang w:eastAsia="de-DE" w:bidi="pa-IN"/>
              </w:rPr>
              <w:t xml:space="preserve"> Name of the notifying authority</w:t>
            </w:r>
          </w:p>
        </w:tc>
        <w:tc>
          <w:tcPr>
            <w:tcW w:w="6946" w:type="dxa"/>
            <w:shd w:val="clear" w:color="auto" w:fill="FFFFFF"/>
            <w:vAlign w:val="center"/>
          </w:tcPr>
          <w:p w14:paraId="2471472A" w14:textId="09F7ED9B" w:rsidR="00033412" w:rsidRDefault="00BC5525" w:rsidP="00033412">
            <w:pPr>
              <w:spacing w:after="100"/>
              <w:rPr>
                <w:rFonts w:ascii="Arial" w:eastAsia="Times New Roman" w:hAnsi="Arial" w:cs="Arial"/>
                <w:sz w:val="20"/>
                <w:szCs w:val="20"/>
                <w:lang w:eastAsia="de-DE" w:bidi="pa-IN"/>
              </w:rPr>
            </w:pPr>
            <w:r w:rsidRPr="006A4DF4">
              <w:rPr>
                <w:rFonts w:ascii="Arial" w:eastAsia="Times New Roman" w:hAnsi="Arial" w:cs="Arial"/>
                <w:sz w:val="20"/>
                <w:szCs w:val="20"/>
                <w:lang w:val="nb-NO" w:eastAsia="de-DE" w:bidi="pa-IN"/>
              </w:rPr>
              <w:t xml:space="preserve">Norwegian Ministry </w:t>
            </w:r>
            <w:proofErr w:type="spellStart"/>
            <w:r w:rsidRPr="006A4DF4">
              <w:rPr>
                <w:rFonts w:ascii="Arial" w:eastAsia="Times New Roman" w:hAnsi="Arial" w:cs="Arial"/>
                <w:sz w:val="20"/>
                <w:szCs w:val="20"/>
                <w:lang w:val="nb-NO" w:eastAsia="de-DE" w:bidi="pa-IN"/>
              </w:rPr>
              <w:t>of</w:t>
            </w:r>
            <w:proofErr w:type="spellEnd"/>
            <w:r w:rsidRPr="006A4DF4">
              <w:rPr>
                <w:rFonts w:ascii="Arial" w:eastAsia="Times New Roman" w:hAnsi="Arial" w:cs="Arial"/>
                <w:sz w:val="20"/>
                <w:szCs w:val="20"/>
                <w:lang w:val="nb-NO" w:eastAsia="de-DE" w:bidi="pa-IN"/>
              </w:rPr>
              <w:t xml:space="preserve"> Finance</w:t>
            </w:r>
          </w:p>
        </w:tc>
      </w:tr>
      <w:tr w:rsidR="00EF6864" w:rsidRPr="00D406C5" w14:paraId="27403299" w14:textId="77777777" w:rsidTr="00033412">
        <w:trPr>
          <w:trHeight w:val="717"/>
        </w:trPr>
        <w:tc>
          <w:tcPr>
            <w:tcW w:w="2518" w:type="dxa"/>
            <w:shd w:val="clear" w:color="auto" w:fill="auto"/>
            <w:vAlign w:val="center"/>
          </w:tcPr>
          <w:p w14:paraId="7EE4AC00" w14:textId="77777777" w:rsidR="00EF6864" w:rsidRPr="00EF6864" w:rsidRDefault="00AB3669" w:rsidP="00B90595">
            <w:pPr>
              <w:spacing w:after="100"/>
              <w:rPr>
                <w:rFonts w:ascii="Arial" w:eastAsia="Times New Roman" w:hAnsi="Arial" w:cs="Arial"/>
                <w:b/>
                <w:sz w:val="20"/>
                <w:szCs w:val="20"/>
                <w:lang w:eastAsia="de-DE" w:bidi="pa-IN"/>
              </w:rPr>
            </w:pPr>
            <w:permStart w:id="2008903500" w:edGrp="everyone" w:colFirst="1" w:colLast="1"/>
            <w:permEnd w:id="1911376149"/>
            <w:r>
              <w:rPr>
                <w:rFonts w:ascii="Arial" w:eastAsia="Times New Roman" w:hAnsi="Arial" w:cs="Arial"/>
                <w:b/>
                <w:sz w:val="20"/>
                <w:szCs w:val="20"/>
                <w:lang w:eastAsia="de-DE" w:bidi="pa-IN"/>
              </w:rPr>
              <w:t xml:space="preserve">1.2 Country </w:t>
            </w:r>
            <w:r w:rsidR="00EF6864" w:rsidRPr="00EF6864">
              <w:rPr>
                <w:rFonts w:ascii="Arial" w:eastAsia="Times New Roman" w:hAnsi="Arial" w:cs="Arial"/>
                <w:b/>
                <w:sz w:val="20"/>
                <w:szCs w:val="20"/>
                <w:lang w:eastAsia="de-DE" w:bidi="pa-IN"/>
              </w:rPr>
              <w:t>of the notifying authority</w:t>
            </w:r>
          </w:p>
        </w:tc>
        <w:tc>
          <w:tcPr>
            <w:tcW w:w="6946" w:type="dxa"/>
            <w:shd w:val="clear" w:color="auto" w:fill="FFFFFF"/>
            <w:vAlign w:val="center"/>
          </w:tcPr>
          <w:p w14:paraId="25A78904" w14:textId="6228D2D1" w:rsidR="00EF6864" w:rsidRDefault="00BC5525" w:rsidP="000D520A">
            <w:pPr>
              <w:spacing w:after="100"/>
              <w:rPr>
                <w:rFonts w:ascii="Arial" w:eastAsia="Times New Roman" w:hAnsi="Arial" w:cs="Arial"/>
                <w:sz w:val="20"/>
                <w:szCs w:val="20"/>
                <w:lang w:eastAsia="de-DE" w:bidi="pa-IN"/>
              </w:rPr>
            </w:pPr>
            <w:r>
              <w:rPr>
                <w:rFonts w:ascii="Arial" w:eastAsia="Times New Roman" w:hAnsi="Arial" w:cs="Arial"/>
                <w:sz w:val="20"/>
                <w:szCs w:val="20"/>
                <w:lang w:eastAsia="de-DE" w:bidi="pa-IN"/>
              </w:rPr>
              <w:t>Norway</w:t>
            </w:r>
          </w:p>
        </w:tc>
      </w:tr>
      <w:tr w:rsidR="00033412" w:rsidRPr="00D406C5" w14:paraId="5B44E01A" w14:textId="77777777" w:rsidTr="00033412">
        <w:trPr>
          <w:trHeight w:val="717"/>
        </w:trPr>
        <w:tc>
          <w:tcPr>
            <w:tcW w:w="2518" w:type="dxa"/>
            <w:shd w:val="clear" w:color="auto" w:fill="auto"/>
            <w:vAlign w:val="center"/>
          </w:tcPr>
          <w:p w14:paraId="64E1F0BF" w14:textId="74BE75A1" w:rsidR="00033412" w:rsidRPr="00D406C5" w:rsidRDefault="00013D8D" w:rsidP="00033412">
            <w:pPr>
              <w:spacing w:after="100"/>
              <w:rPr>
                <w:rFonts w:ascii="Arial" w:eastAsia="Times New Roman" w:hAnsi="Arial" w:cs="Arial"/>
                <w:b/>
                <w:sz w:val="20"/>
                <w:szCs w:val="20"/>
                <w:lang w:eastAsia="de-DE" w:bidi="pa-IN"/>
              </w:rPr>
            </w:pPr>
            <w:permStart w:id="1794662141" w:edGrp="everyone" w:colFirst="1" w:colLast="1"/>
            <w:permEnd w:id="2008903500"/>
            <w:r>
              <w:rPr>
                <w:rFonts w:ascii="Arial" w:eastAsia="Times New Roman" w:hAnsi="Arial" w:cs="Arial"/>
                <w:b/>
                <w:sz w:val="20"/>
                <w:szCs w:val="20"/>
                <w:lang w:eastAsia="de-DE" w:bidi="pa-IN"/>
              </w:rPr>
              <w:t>1</w:t>
            </w:r>
            <w:r w:rsidRPr="00D406C5">
              <w:rPr>
                <w:rFonts w:ascii="Arial" w:eastAsia="Times New Roman" w:hAnsi="Arial" w:cs="Arial"/>
                <w:b/>
                <w:sz w:val="20"/>
                <w:szCs w:val="20"/>
                <w:lang w:eastAsia="de-DE" w:bidi="pa-IN"/>
              </w:rPr>
              <w:t>.</w:t>
            </w:r>
            <w:r w:rsidR="00BF2DB6">
              <w:rPr>
                <w:rFonts w:ascii="Arial" w:eastAsia="Times New Roman" w:hAnsi="Arial" w:cs="Arial"/>
                <w:b/>
                <w:sz w:val="20"/>
                <w:szCs w:val="20"/>
                <w:lang w:eastAsia="de-DE" w:bidi="pa-IN"/>
              </w:rPr>
              <w:t>3</w:t>
            </w:r>
            <w:r w:rsidRPr="00D406C5">
              <w:rPr>
                <w:rFonts w:ascii="Arial" w:eastAsia="Times New Roman" w:hAnsi="Arial" w:cs="Arial"/>
                <w:b/>
                <w:sz w:val="20"/>
                <w:szCs w:val="20"/>
                <w:lang w:eastAsia="de-DE" w:bidi="pa-IN"/>
              </w:rPr>
              <w:t xml:space="preserve"> Categorisation of </w:t>
            </w:r>
            <w:r w:rsidR="00F37F1E">
              <w:rPr>
                <w:rFonts w:ascii="Arial" w:eastAsia="Times New Roman" w:hAnsi="Arial" w:cs="Arial"/>
                <w:b/>
                <w:sz w:val="20"/>
                <w:szCs w:val="20"/>
                <w:lang w:eastAsia="de-DE" w:bidi="pa-IN"/>
              </w:rPr>
              <w:t xml:space="preserve">the </w:t>
            </w:r>
            <w:r w:rsidRPr="00D406C5">
              <w:rPr>
                <w:rFonts w:ascii="Arial" w:eastAsia="Times New Roman" w:hAnsi="Arial" w:cs="Arial"/>
                <w:b/>
                <w:sz w:val="20"/>
                <w:szCs w:val="20"/>
                <w:lang w:eastAsia="de-DE" w:bidi="pa-IN"/>
              </w:rPr>
              <w:t xml:space="preserve">measure </w:t>
            </w:r>
          </w:p>
        </w:tc>
        <w:tc>
          <w:tcPr>
            <w:tcW w:w="6946" w:type="dxa"/>
            <w:shd w:val="clear" w:color="auto" w:fill="FFFFFF"/>
            <w:vAlign w:val="center"/>
          </w:tcPr>
          <w:p w14:paraId="60CAB314" w14:textId="58B8126B" w:rsidR="00033412" w:rsidRPr="00D406C5" w:rsidRDefault="000C15FD" w:rsidP="00033412">
            <w:pPr>
              <w:spacing w:after="100"/>
              <w:rPr>
                <w:rFonts w:ascii="Arial" w:eastAsia="Times New Roman" w:hAnsi="Arial" w:cs="Arial"/>
                <w:b/>
                <w:i/>
                <w:sz w:val="20"/>
                <w:szCs w:val="20"/>
                <w:lang w:eastAsia="de-DE" w:bidi="pa-IN"/>
              </w:rPr>
            </w:pPr>
            <w:r w:rsidRPr="000C15FD">
              <w:rPr>
                <w:rFonts w:ascii="Arial" w:eastAsia="Times New Roman" w:hAnsi="Arial" w:cs="Arial"/>
                <w:sz w:val="20"/>
                <w:szCs w:val="20"/>
                <w:lang w:eastAsia="de-DE" w:bidi="pa-IN"/>
              </w:rPr>
              <w:t>The Ministry intends to implement a stricter national measure regarding risk weights for targeting asset bubbles in the commercial property sector, pursuant to Article 458 (10) of the CRR. A similar measure targeting the residential property sector is the subject of a separate notification.</w:t>
            </w:r>
          </w:p>
        </w:tc>
      </w:tr>
      <w:tr w:rsidR="00033412" w:rsidRPr="00D406C5" w14:paraId="0C53ABE5" w14:textId="77777777" w:rsidTr="00033412">
        <w:trPr>
          <w:trHeight w:val="1122"/>
        </w:trPr>
        <w:tc>
          <w:tcPr>
            <w:tcW w:w="2518" w:type="dxa"/>
            <w:shd w:val="clear" w:color="auto" w:fill="auto"/>
            <w:vAlign w:val="center"/>
          </w:tcPr>
          <w:p w14:paraId="7C563D7A" w14:textId="4ACD34B2" w:rsidR="00033412" w:rsidRPr="00D406C5" w:rsidRDefault="00013D8D" w:rsidP="00033412">
            <w:pPr>
              <w:spacing w:after="100"/>
              <w:rPr>
                <w:rFonts w:ascii="Arial" w:eastAsia="Times New Roman" w:hAnsi="Arial" w:cs="Arial"/>
                <w:b/>
                <w:sz w:val="20"/>
                <w:szCs w:val="20"/>
                <w:lang w:eastAsia="de-DE" w:bidi="pa-IN"/>
              </w:rPr>
            </w:pPr>
            <w:permStart w:id="1595895447" w:edGrp="everyone" w:colFirst="1" w:colLast="1"/>
            <w:permEnd w:id="1794662141"/>
            <w:r>
              <w:rPr>
                <w:rFonts w:ascii="Arial" w:eastAsia="Times New Roman" w:hAnsi="Arial" w:cs="Arial"/>
                <w:b/>
                <w:sz w:val="20"/>
                <w:szCs w:val="20"/>
                <w:lang w:eastAsia="de-DE" w:bidi="pa-IN"/>
              </w:rPr>
              <w:t>1</w:t>
            </w:r>
            <w:r w:rsidRPr="00D406C5">
              <w:rPr>
                <w:rFonts w:ascii="Arial" w:eastAsia="Times New Roman" w:hAnsi="Arial" w:cs="Arial"/>
                <w:b/>
                <w:sz w:val="20"/>
                <w:szCs w:val="20"/>
                <w:lang w:eastAsia="de-DE" w:bidi="pa-IN"/>
              </w:rPr>
              <w:t>.</w:t>
            </w:r>
            <w:r w:rsidR="00BF2DB6">
              <w:rPr>
                <w:rFonts w:ascii="Arial" w:eastAsia="Times New Roman" w:hAnsi="Arial" w:cs="Arial"/>
                <w:b/>
                <w:sz w:val="20"/>
                <w:szCs w:val="20"/>
                <w:lang w:eastAsia="de-DE" w:bidi="pa-IN"/>
              </w:rPr>
              <w:t>4</w:t>
            </w:r>
            <w:r w:rsidRPr="00D406C5">
              <w:rPr>
                <w:rFonts w:ascii="Arial" w:eastAsia="Times New Roman" w:hAnsi="Arial" w:cs="Arial"/>
                <w:b/>
                <w:sz w:val="20"/>
                <w:szCs w:val="20"/>
                <w:lang w:eastAsia="de-DE" w:bidi="pa-IN"/>
              </w:rPr>
              <w:t xml:space="preserve"> Request to extend the period of application of </w:t>
            </w:r>
            <w:r w:rsidR="00F37F1E">
              <w:rPr>
                <w:rFonts w:ascii="Arial" w:eastAsia="Times New Roman" w:hAnsi="Arial" w:cs="Arial"/>
                <w:b/>
                <w:sz w:val="20"/>
                <w:szCs w:val="20"/>
                <w:lang w:eastAsia="de-DE" w:bidi="pa-IN"/>
              </w:rPr>
              <w:t xml:space="preserve">an </w:t>
            </w:r>
            <w:r>
              <w:rPr>
                <w:rFonts w:ascii="Arial" w:eastAsia="Times New Roman" w:hAnsi="Arial" w:cs="Arial"/>
                <w:b/>
                <w:sz w:val="20"/>
                <w:szCs w:val="20"/>
                <w:lang w:eastAsia="de-DE" w:bidi="pa-IN"/>
              </w:rPr>
              <w:t xml:space="preserve">existing </w:t>
            </w:r>
            <w:r w:rsidRPr="00D406C5">
              <w:rPr>
                <w:rFonts w:ascii="Arial" w:eastAsia="Times New Roman" w:hAnsi="Arial" w:cs="Arial"/>
                <w:b/>
                <w:sz w:val="20"/>
                <w:szCs w:val="20"/>
                <w:lang w:eastAsia="de-DE" w:bidi="pa-IN"/>
              </w:rPr>
              <w:t>mea</w:t>
            </w:r>
            <w:r>
              <w:rPr>
                <w:rFonts w:ascii="Arial" w:eastAsia="Times New Roman" w:hAnsi="Arial" w:cs="Arial"/>
                <w:b/>
                <w:sz w:val="20"/>
                <w:szCs w:val="20"/>
                <w:lang w:eastAsia="de-DE" w:bidi="pa-IN"/>
              </w:rPr>
              <w:t xml:space="preserve">sure for </w:t>
            </w:r>
            <w:r w:rsidR="001C671F">
              <w:rPr>
                <w:rFonts w:ascii="Arial" w:eastAsia="Times New Roman" w:hAnsi="Arial" w:cs="Arial"/>
                <w:b/>
                <w:sz w:val="20"/>
                <w:szCs w:val="20"/>
                <w:lang w:eastAsia="de-DE" w:bidi="pa-IN"/>
              </w:rPr>
              <w:t>up to two</w:t>
            </w:r>
            <w:r>
              <w:rPr>
                <w:rFonts w:ascii="Arial" w:eastAsia="Times New Roman" w:hAnsi="Arial" w:cs="Arial"/>
                <w:b/>
                <w:sz w:val="20"/>
                <w:szCs w:val="20"/>
                <w:lang w:eastAsia="de-DE" w:bidi="pa-IN"/>
              </w:rPr>
              <w:t xml:space="preserve"> additional year</w:t>
            </w:r>
            <w:r w:rsidR="001C671F">
              <w:rPr>
                <w:rFonts w:ascii="Arial" w:eastAsia="Times New Roman" w:hAnsi="Arial" w:cs="Arial"/>
                <w:b/>
                <w:sz w:val="20"/>
                <w:szCs w:val="20"/>
                <w:lang w:eastAsia="de-DE" w:bidi="pa-IN"/>
              </w:rPr>
              <w:t>s</w:t>
            </w:r>
          </w:p>
          <w:p w14:paraId="13817113" w14:textId="3D6B6E06" w:rsidR="00033412" w:rsidRPr="00D406C5" w:rsidRDefault="00013D8D" w:rsidP="00033412">
            <w:pPr>
              <w:spacing w:after="100"/>
              <w:rPr>
                <w:rFonts w:ascii="Arial" w:eastAsia="Times New Roman" w:hAnsi="Arial" w:cs="Arial"/>
                <w:b/>
                <w:sz w:val="20"/>
                <w:szCs w:val="20"/>
                <w:lang w:eastAsia="de-DE" w:bidi="pa-IN"/>
              </w:rPr>
            </w:pPr>
            <w:r>
              <w:rPr>
                <w:rFonts w:ascii="Arial" w:eastAsia="Times New Roman" w:hAnsi="Arial" w:cs="Arial"/>
                <w:b/>
                <w:sz w:val="20"/>
                <w:szCs w:val="20"/>
                <w:lang w:eastAsia="de-DE" w:bidi="pa-IN"/>
              </w:rPr>
              <w:t>(</w:t>
            </w:r>
            <w:r w:rsidRPr="00D406C5">
              <w:rPr>
                <w:rFonts w:ascii="Arial" w:eastAsia="Times New Roman" w:hAnsi="Arial" w:cs="Arial"/>
                <w:b/>
                <w:sz w:val="20"/>
                <w:szCs w:val="20"/>
                <w:lang w:eastAsia="de-DE" w:bidi="pa-IN"/>
              </w:rPr>
              <w:t>Article 458</w:t>
            </w:r>
            <w:r>
              <w:rPr>
                <w:rFonts w:ascii="Arial" w:eastAsia="Times New Roman" w:hAnsi="Arial" w:cs="Arial"/>
                <w:b/>
                <w:sz w:val="20"/>
                <w:szCs w:val="20"/>
                <w:lang w:eastAsia="de-DE" w:bidi="pa-IN"/>
              </w:rPr>
              <w:t>(</w:t>
            </w:r>
            <w:r w:rsidRPr="00D406C5">
              <w:rPr>
                <w:rFonts w:ascii="Arial" w:eastAsia="Times New Roman" w:hAnsi="Arial" w:cs="Arial"/>
                <w:b/>
                <w:sz w:val="20"/>
                <w:szCs w:val="20"/>
                <w:lang w:eastAsia="de-DE" w:bidi="pa-IN"/>
              </w:rPr>
              <w:t>9</w:t>
            </w:r>
            <w:r>
              <w:rPr>
                <w:rFonts w:ascii="Arial" w:eastAsia="Times New Roman" w:hAnsi="Arial" w:cs="Arial"/>
                <w:b/>
                <w:sz w:val="20"/>
                <w:szCs w:val="20"/>
                <w:lang w:eastAsia="de-DE" w:bidi="pa-IN"/>
              </w:rPr>
              <w:t>) CRR)</w:t>
            </w:r>
          </w:p>
        </w:tc>
        <w:tc>
          <w:tcPr>
            <w:tcW w:w="6946" w:type="dxa"/>
            <w:shd w:val="clear" w:color="auto" w:fill="auto"/>
          </w:tcPr>
          <w:p w14:paraId="0FFAAF1F" w14:textId="77777777" w:rsidR="00BA56F0" w:rsidRDefault="000C15FD" w:rsidP="00033412">
            <w:pPr>
              <w:spacing w:after="100"/>
              <w:rPr>
                <w:rFonts w:ascii="Arial" w:eastAsia="Times New Roman" w:hAnsi="Arial" w:cs="Arial"/>
                <w:sz w:val="20"/>
                <w:szCs w:val="20"/>
                <w:lang w:eastAsia="de-DE" w:bidi="pa-IN"/>
              </w:rPr>
            </w:pPr>
            <w:r w:rsidRPr="000C15FD">
              <w:rPr>
                <w:rFonts w:ascii="Arial" w:eastAsia="Times New Roman" w:hAnsi="Arial" w:cs="Arial"/>
                <w:sz w:val="20"/>
                <w:szCs w:val="20"/>
                <w:lang w:eastAsia="de-DE" w:bidi="pa-IN"/>
              </w:rPr>
              <w:t xml:space="preserve">The measure would extend the existing risk weight floor targeting asset bubbles in the corporate real estate sector, which was initially implemented with effect from 31 December 2020. </w:t>
            </w:r>
          </w:p>
          <w:p w14:paraId="43BAA976" w14:textId="2021F375" w:rsidR="00151F9C" w:rsidRDefault="000C15FD" w:rsidP="00033412">
            <w:pPr>
              <w:spacing w:after="100"/>
              <w:rPr>
                <w:rFonts w:ascii="Arial" w:hAnsi="Arial" w:cs="Arial"/>
                <w:sz w:val="20"/>
                <w:szCs w:val="20"/>
              </w:rPr>
            </w:pPr>
            <w:r w:rsidRPr="000C15FD">
              <w:rPr>
                <w:rFonts w:ascii="Arial" w:eastAsia="Times New Roman" w:hAnsi="Arial" w:cs="Arial"/>
                <w:sz w:val="20"/>
                <w:szCs w:val="20"/>
                <w:lang w:eastAsia="de-DE" w:bidi="pa-IN"/>
              </w:rPr>
              <w:t xml:space="preserve">The existing risk weight floor was implemented due to increased systemic risk resulting from high price increases on corporate real estate and increased debt for real estate companies. </w:t>
            </w:r>
            <w:r w:rsidR="00151F9C" w:rsidRPr="00151F9C">
              <w:rPr>
                <w:rFonts w:ascii="Arial" w:hAnsi="Arial" w:cs="Arial"/>
                <w:sz w:val="20"/>
                <w:szCs w:val="20"/>
              </w:rPr>
              <w:t xml:space="preserve">The interest expenses of commercial real estate (CRE) companies have generally risen more than operating earnings over the last couple of years and CRE prices have fallen. This has impaired their debt servicing capacity, and the proportion of </w:t>
            </w:r>
            <w:r w:rsidR="00151F9C" w:rsidRPr="00151F9C">
              <w:rPr>
                <w:rFonts w:ascii="Arial" w:hAnsi="Arial" w:cs="Arial"/>
                <w:sz w:val="20"/>
                <w:szCs w:val="20"/>
              </w:rPr>
              <w:lastRenderedPageBreak/>
              <w:t>high-risk debt has increased sharply. The estimated direct yield on offices in the most attractive areas of Oslo has shown an increase, though it is clearly lower than the increase in yield on government bonds.</w:t>
            </w:r>
          </w:p>
          <w:p w14:paraId="729D019C" w14:textId="100FA85D" w:rsidR="00A776E8" w:rsidRPr="00D406C5" w:rsidRDefault="003026AF" w:rsidP="00033412">
            <w:pPr>
              <w:spacing w:after="100"/>
              <w:rPr>
                <w:rFonts w:ascii="Arial" w:eastAsia="Times New Roman" w:hAnsi="Arial" w:cs="Arial"/>
                <w:sz w:val="20"/>
                <w:szCs w:val="20"/>
                <w:lang w:eastAsia="de-DE" w:bidi="pa-IN"/>
              </w:rPr>
            </w:pPr>
            <w:r w:rsidRPr="003026AF">
              <w:rPr>
                <w:rFonts w:ascii="Arial" w:eastAsia="Times New Roman" w:hAnsi="Arial" w:cs="Arial"/>
                <w:sz w:val="20"/>
                <w:szCs w:val="20"/>
                <w:lang w:eastAsia="de-DE" w:bidi="pa-IN"/>
              </w:rPr>
              <w:t xml:space="preserve">A risk weight floor of 35 pct. is still considered sufficient, but the Ministry is continuously assessing the need to amend the floor or introduce other measures </w:t>
            </w:r>
            <w:proofErr w:type="gramStart"/>
            <w:r w:rsidRPr="003026AF">
              <w:rPr>
                <w:rFonts w:ascii="Arial" w:eastAsia="Times New Roman" w:hAnsi="Arial" w:cs="Arial"/>
                <w:sz w:val="20"/>
                <w:szCs w:val="20"/>
                <w:lang w:eastAsia="de-DE" w:bidi="pa-IN"/>
              </w:rPr>
              <w:t>in light of</w:t>
            </w:r>
            <w:proofErr w:type="gramEnd"/>
            <w:r w:rsidRPr="003026AF">
              <w:rPr>
                <w:rFonts w:ascii="Arial" w:eastAsia="Times New Roman" w:hAnsi="Arial" w:cs="Arial"/>
                <w:sz w:val="20"/>
                <w:szCs w:val="20"/>
                <w:lang w:eastAsia="de-DE" w:bidi="pa-IN"/>
              </w:rPr>
              <w:t xml:space="preserve"> relevant developments. See further elaborations on the systemic risks related to the corporate real estate market in section 4.1.</w:t>
            </w:r>
          </w:p>
        </w:tc>
      </w:tr>
      <w:tr w:rsidR="00033412" w:rsidRPr="00D406C5" w14:paraId="5A99E5D4" w14:textId="77777777" w:rsidTr="00033412">
        <w:trPr>
          <w:trHeight w:val="1122"/>
        </w:trPr>
        <w:tc>
          <w:tcPr>
            <w:tcW w:w="2518" w:type="dxa"/>
            <w:shd w:val="clear" w:color="auto" w:fill="auto"/>
            <w:vAlign w:val="center"/>
          </w:tcPr>
          <w:p w14:paraId="00F62B2A" w14:textId="7452F441" w:rsidR="00033412" w:rsidRPr="00D406C5" w:rsidRDefault="00013D8D" w:rsidP="00033412">
            <w:pPr>
              <w:rPr>
                <w:rFonts w:ascii="Arial" w:eastAsia="Times New Roman" w:hAnsi="Arial" w:cs="Arial"/>
                <w:i/>
                <w:sz w:val="20"/>
                <w:szCs w:val="20"/>
                <w:lang w:eastAsia="de-DE" w:bidi="pa-IN"/>
              </w:rPr>
            </w:pPr>
            <w:permStart w:id="2117992657" w:edGrp="everyone" w:colFirst="1" w:colLast="1"/>
            <w:permEnd w:id="1595895447"/>
            <w:r>
              <w:rPr>
                <w:rFonts w:ascii="Arial" w:eastAsia="Times New Roman" w:hAnsi="Arial" w:cs="Arial"/>
                <w:b/>
                <w:sz w:val="20"/>
                <w:szCs w:val="20"/>
                <w:lang w:eastAsia="de-DE" w:bidi="pa-IN"/>
              </w:rPr>
              <w:lastRenderedPageBreak/>
              <w:t>1</w:t>
            </w:r>
            <w:r w:rsidRPr="00D406C5">
              <w:rPr>
                <w:rFonts w:ascii="Arial" w:eastAsia="Times New Roman" w:hAnsi="Arial" w:cs="Arial"/>
                <w:b/>
                <w:sz w:val="20"/>
                <w:szCs w:val="20"/>
                <w:lang w:eastAsia="de-DE" w:bidi="pa-IN"/>
              </w:rPr>
              <w:t>.</w:t>
            </w:r>
            <w:r w:rsidR="00BF2DB6">
              <w:rPr>
                <w:rFonts w:ascii="Arial" w:eastAsia="Times New Roman" w:hAnsi="Arial" w:cs="Arial"/>
                <w:b/>
                <w:sz w:val="20"/>
                <w:szCs w:val="20"/>
                <w:lang w:eastAsia="de-DE" w:bidi="pa-IN"/>
              </w:rPr>
              <w:t>5</w:t>
            </w:r>
            <w:r w:rsidRPr="00D406C5">
              <w:rPr>
                <w:rFonts w:ascii="Arial" w:eastAsia="Times New Roman" w:hAnsi="Arial" w:cs="Arial"/>
                <w:b/>
                <w:sz w:val="20"/>
                <w:szCs w:val="20"/>
                <w:lang w:eastAsia="de-DE" w:bidi="pa-IN"/>
              </w:rPr>
              <w:t xml:space="preserve"> Notification of </w:t>
            </w:r>
            <w:r w:rsidR="00F37F1E">
              <w:rPr>
                <w:rFonts w:ascii="Arial" w:eastAsia="Times New Roman" w:hAnsi="Arial" w:cs="Arial"/>
                <w:b/>
                <w:sz w:val="20"/>
                <w:szCs w:val="20"/>
                <w:lang w:eastAsia="de-DE" w:bidi="pa-IN"/>
              </w:rPr>
              <w:t xml:space="preserve">a </w:t>
            </w:r>
            <w:r w:rsidRPr="00D406C5">
              <w:rPr>
                <w:rFonts w:ascii="Arial" w:eastAsia="Times New Roman" w:hAnsi="Arial" w:cs="Arial"/>
                <w:b/>
                <w:sz w:val="20"/>
                <w:szCs w:val="20"/>
                <w:lang w:eastAsia="de-DE" w:bidi="pa-IN"/>
              </w:rPr>
              <w:t xml:space="preserve">measure to </w:t>
            </w:r>
            <w:r>
              <w:rPr>
                <w:rFonts w:ascii="Arial" w:eastAsia="Times New Roman" w:hAnsi="Arial" w:cs="Arial"/>
                <w:b/>
                <w:sz w:val="20"/>
                <w:szCs w:val="20"/>
                <w:lang w:eastAsia="de-DE" w:bidi="pa-IN"/>
              </w:rPr>
              <w:t xml:space="preserve">which </w:t>
            </w:r>
            <w:r w:rsidRPr="00D406C5">
              <w:rPr>
                <w:rFonts w:ascii="Arial" w:eastAsia="Times New Roman" w:hAnsi="Arial" w:cs="Arial"/>
                <w:b/>
                <w:sz w:val="20"/>
                <w:szCs w:val="20"/>
                <w:lang w:eastAsia="de-DE" w:bidi="pa-IN"/>
              </w:rPr>
              <w:t>Article 458</w:t>
            </w:r>
            <w:r>
              <w:rPr>
                <w:rFonts w:ascii="Arial" w:eastAsia="Times New Roman" w:hAnsi="Arial" w:cs="Arial"/>
                <w:b/>
                <w:sz w:val="20"/>
                <w:szCs w:val="20"/>
                <w:lang w:eastAsia="de-DE" w:bidi="pa-IN"/>
              </w:rPr>
              <w:t>(</w:t>
            </w:r>
            <w:r w:rsidRPr="00D406C5">
              <w:rPr>
                <w:rFonts w:ascii="Arial" w:eastAsia="Times New Roman" w:hAnsi="Arial" w:cs="Arial"/>
                <w:b/>
                <w:sz w:val="20"/>
                <w:szCs w:val="20"/>
                <w:lang w:eastAsia="de-DE" w:bidi="pa-IN"/>
              </w:rPr>
              <w:t>10</w:t>
            </w:r>
            <w:r>
              <w:rPr>
                <w:rFonts w:ascii="Arial" w:eastAsia="Times New Roman" w:hAnsi="Arial" w:cs="Arial"/>
                <w:b/>
                <w:sz w:val="20"/>
                <w:szCs w:val="20"/>
                <w:lang w:eastAsia="de-DE" w:bidi="pa-IN"/>
              </w:rPr>
              <w:t xml:space="preserve">) </w:t>
            </w:r>
            <w:r w:rsidRPr="00D406C5">
              <w:rPr>
                <w:rFonts w:ascii="Arial" w:eastAsia="Times New Roman" w:hAnsi="Arial" w:cs="Arial"/>
                <w:b/>
                <w:sz w:val="20"/>
                <w:szCs w:val="20"/>
                <w:lang w:eastAsia="de-DE" w:bidi="pa-IN"/>
              </w:rPr>
              <w:t xml:space="preserve">CRR </w:t>
            </w:r>
            <w:r>
              <w:rPr>
                <w:rFonts w:ascii="Arial" w:eastAsia="Times New Roman" w:hAnsi="Arial" w:cs="Arial"/>
                <w:b/>
                <w:sz w:val="20"/>
                <w:szCs w:val="20"/>
                <w:lang w:eastAsia="de-DE" w:bidi="pa-IN"/>
              </w:rPr>
              <w:t xml:space="preserve">applies </w:t>
            </w:r>
            <w:r w:rsidRPr="00D406C5">
              <w:rPr>
                <w:rFonts w:ascii="Arial" w:eastAsia="Times New Roman" w:hAnsi="Arial" w:cs="Arial"/>
                <w:b/>
                <w:sz w:val="20"/>
                <w:szCs w:val="20"/>
                <w:lang w:eastAsia="de-DE" w:bidi="pa-IN"/>
              </w:rPr>
              <w:t>(</w:t>
            </w:r>
            <w:r>
              <w:rPr>
                <w:rFonts w:ascii="Arial" w:eastAsia="Times New Roman" w:hAnsi="Arial" w:cs="Arial"/>
                <w:b/>
                <w:sz w:val="20"/>
                <w:szCs w:val="20"/>
                <w:lang w:eastAsia="de-DE" w:bidi="pa-IN"/>
              </w:rPr>
              <w:t>‘</w:t>
            </w:r>
            <w:r w:rsidRPr="00D406C5">
              <w:rPr>
                <w:rFonts w:ascii="Arial" w:eastAsia="Times New Roman" w:hAnsi="Arial" w:cs="Arial"/>
                <w:b/>
                <w:sz w:val="20"/>
                <w:szCs w:val="20"/>
                <w:lang w:eastAsia="de-DE" w:bidi="pa-IN"/>
              </w:rPr>
              <w:t>notification only</w:t>
            </w:r>
            <w:r>
              <w:rPr>
                <w:rFonts w:ascii="Arial" w:eastAsia="Times New Roman" w:hAnsi="Arial" w:cs="Arial"/>
                <w:b/>
                <w:sz w:val="20"/>
                <w:szCs w:val="20"/>
                <w:lang w:eastAsia="de-DE" w:bidi="pa-IN"/>
              </w:rPr>
              <w:t xml:space="preserve"> procedure’</w:t>
            </w:r>
            <w:r w:rsidRPr="00D406C5">
              <w:rPr>
                <w:rFonts w:ascii="Arial" w:eastAsia="Times New Roman" w:hAnsi="Arial" w:cs="Arial"/>
                <w:b/>
                <w:sz w:val="20"/>
                <w:szCs w:val="20"/>
                <w:lang w:eastAsia="de-DE" w:bidi="pa-IN"/>
              </w:rPr>
              <w:t>)</w:t>
            </w:r>
          </w:p>
        </w:tc>
        <w:tc>
          <w:tcPr>
            <w:tcW w:w="6946" w:type="dxa"/>
            <w:shd w:val="clear" w:color="auto" w:fill="auto"/>
            <w:vAlign w:val="center"/>
          </w:tcPr>
          <w:p w14:paraId="56822A34" w14:textId="1239B5CE" w:rsidR="00033412" w:rsidRPr="00D406C5" w:rsidDel="00A621E7" w:rsidRDefault="003026AF" w:rsidP="00033412">
            <w:pPr>
              <w:spacing w:after="100"/>
              <w:rPr>
                <w:rFonts w:ascii="Arial" w:eastAsia="Times New Roman" w:hAnsi="Arial" w:cs="Arial"/>
                <w:i/>
                <w:sz w:val="20"/>
                <w:szCs w:val="20"/>
                <w:lang w:eastAsia="de-DE" w:bidi="pa-IN"/>
              </w:rPr>
            </w:pPr>
            <w:r w:rsidRPr="003026AF">
              <w:rPr>
                <w:rFonts w:ascii="Arial" w:eastAsia="Times New Roman" w:hAnsi="Arial" w:cs="Arial"/>
                <w:sz w:val="20"/>
                <w:szCs w:val="20"/>
                <w:lang w:eastAsia="de-DE" w:bidi="pa-IN"/>
              </w:rPr>
              <w:t>The intended measure is subject to the procedure set out in Article 458 (10) of the CRR, as it extends the average risk weight floor at the same level as today.</w:t>
            </w:r>
          </w:p>
        </w:tc>
      </w:tr>
      <w:permEnd w:id="2117992657"/>
      <w:tr w:rsidR="00033412" w:rsidRPr="00D406C5" w14:paraId="393ACE03" w14:textId="77777777" w:rsidTr="00033412">
        <w:trPr>
          <w:trHeight w:val="561"/>
        </w:trPr>
        <w:tc>
          <w:tcPr>
            <w:tcW w:w="9464" w:type="dxa"/>
            <w:gridSpan w:val="2"/>
            <w:shd w:val="clear" w:color="auto" w:fill="BFBFBF"/>
            <w:vAlign w:val="center"/>
          </w:tcPr>
          <w:p w14:paraId="5D12E728" w14:textId="7D186F22" w:rsidR="00033412" w:rsidRPr="00D406C5" w:rsidRDefault="00013D8D" w:rsidP="001048DB">
            <w:pPr>
              <w:numPr>
                <w:ilvl w:val="0"/>
                <w:numId w:val="5"/>
              </w:numPr>
              <w:spacing w:after="100" w:line="300" w:lineRule="atLeast"/>
              <w:contextualSpacing/>
              <w:rPr>
                <w:rFonts w:ascii="Arial" w:hAnsi="Arial" w:cs="Arial"/>
                <w:b/>
                <w:sz w:val="20"/>
                <w:szCs w:val="20"/>
              </w:rPr>
            </w:pPr>
            <w:r w:rsidRPr="00D406C5">
              <w:rPr>
                <w:rFonts w:ascii="Arial" w:hAnsi="Arial" w:cs="Arial"/>
                <w:b/>
                <w:sz w:val="20"/>
                <w:szCs w:val="20"/>
              </w:rPr>
              <w:t>D</w:t>
            </w:r>
            <w:r>
              <w:rPr>
                <w:rFonts w:ascii="Arial" w:hAnsi="Arial" w:cs="Arial"/>
                <w:b/>
                <w:sz w:val="20"/>
                <w:szCs w:val="20"/>
              </w:rPr>
              <w:t>escription of the measure</w:t>
            </w:r>
          </w:p>
        </w:tc>
      </w:tr>
      <w:tr w:rsidR="00033412" w:rsidRPr="00D406C5" w14:paraId="128D746A" w14:textId="77777777" w:rsidTr="00033412">
        <w:trPr>
          <w:trHeight w:val="1278"/>
        </w:trPr>
        <w:tc>
          <w:tcPr>
            <w:tcW w:w="2518" w:type="dxa"/>
            <w:shd w:val="clear" w:color="auto" w:fill="auto"/>
            <w:vAlign w:val="center"/>
          </w:tcPr>
          <w:p w14:paraId="1FFE12D2" w14:textId="5287842F" w:rsidR="00033412" w:rsidRPr="00D406C5" w:rsidRDefault="00013D8D" w:rsidP="00033412">
            <w:pPr>
              <w:spacing w:after="100"/>
              <w:rPr>
                <w:rFonts w:ascii="Arial" w:eastAsia="Times New Roman" w:hAnsi="Arial" w:cs="Arial"/>
                <w:b/>
                <w:sz w:val="20"/>
                <w:szCs w:val="20"/>
                <w:lang w:eastAsia="de-DE" w:bidi="pa-IN"/>
              </w:rPr>
            </w:pPr>
            <w:permStart w:id="490235554" w:edGrp="everyone" w:colFirst="1" w:colLast="1"/>
            <w:r>
              <w:rPr>
                <w:rFonts w:ascii="Arial" w:eastAsia="Times New Roman" w:hAnsi="Arial" w:cs="Arial"/>
                <w:b/>
                <w:sz w:val="20"/>
                <w:szCs w:val="20"/>
                <w:lang w:eastAsia="de-DE" w:bidi="pa-IN"/>
              </w:rPr>
              <w:t>2</w:t>
            </w:r>
            <w:r w:rsidRPr="00D406C5">
              <w:rPr>
                <w:rFonts w:ascii="Arial" w:eastAsia="Times New Roman" w:hAnsi="Arial" w:cs="Arial"/>
                <w:b/>
                <w:sz w:val="20"/>
                <w:szCs w:val="20"/>
                <w:lang w:eastAsia="de-DE" w:bidi="pa-IN"/>
              </w:rPr>
              <w:t>.1 Draft national measure</w:t>
            </w:r>
          </w:p>
          <w:p w14:paraId="7124D1EF" w14:textId="2D715501" w:rsidR="00033412" w:rsidRPr="00D406C5" w:rsidRDefault="00013D8D" w:rsidP="00033412">
            <w:pPr>
              <w:spacing w:after="100"/>
              <w:rPr>
                <w:rFonts w:ascii="Arial" w:eastAsia="Times New Roman" w:hAnsi="Arial" w:cs="Arial"/>
                <w:b/>
                <w:sz w:val="20"/>
                <w:szCs w:val="20"/>
                <w:lang w:eastAsia="de-DE" w:bidi="pa-IN"/>
              </w:rPr>
            </w:pPr>
            <w:r>
              <w:rPr>
                <w:rFonts w:ascii="Arial" w:eastAsia="Times New Roman" w:hAnsi="Arial" w:cs="Arial"/>
                <w:b/>
                <w:sz w:val="20"/>
                <w:szCs w:val="20"/>
                <w:lang w:eastAsia="de-DE" w:bidi="pa-IN"/>
              </w:rPr>
              <w:t>(</w:t>
            </w:r>
            <w:r w:rsidRPr="00D406C5">
              <w:rPr>
                <w:rFonts w:ascii="Arial" w:eastAsia="Times New Roman" w:hAnsi="Arial" w:cs="Arial"/>
                <w:b/>
                <w:sz w:val="20"/>
                <w:szCs w:val="20"/>
                <w:lang w:eastAsia="de-DE" w:bidi="pa-IN"/>
              </w:rPr>
              <w:t>Article 458</w:t>
            </w:r>
            <w:r>
              <w:rPr>
                <w:rFonts w:ascii="Arial" w:eastAsia="Times New Roman" w:hAnsi="Arial" w:cs="Arial"/>
                <w:b/>
                <w:sz w:val="20"/>
                <w:szCs w:val="20"/>
                <w:lang w:eastAsia="de-DE" w:bidi="pa-IN"/>
              </w:rPr>
              <w:t>(</w:t>
            </w:r>
            <w:r w:rsidRPr="00D406C5">
              <w:rPr>
                <w:rFonts w:ascii="Arial" w:eastAsia="Times New Roman" w:hAnsi="Arial" w:cs="Arial"/>
                <w:b/>
                <w:sz w:val="20"/>
                <w:szCs w:val="20"/>
                <w:lang w:eastAsia="de-DE" w:bidi="pa-IN"/>
              </w:rPr>
              <w:t>2</w:t>
            </w:r>
            <w:r>
              <w:rPr>
                <w:rFonts w:ascii="Arial" w:eastAsia="Times New Roman" w:hAnsi="Arial" w:cs="Arial"/>
                <w:b/>
                <w:sz w:val="20"/>
                <w:szCs w:val="20"/>
                <w:lang w:eastAsia="de-DE" w:bidi="pa-IN"/>
              </w:rPr>
              <w:t>)</w:t>
            </w:r>
            <w:r w:rsidRPr="00D406C5">
              <w:rPr>
                <w:rFonts w:ascii="Arial" w:eastAsia="Times New Roman" w:hAnsi="Arial" w:cs="Arial"/>
                <w:b/>
                <w:sz w:val="20"/>
                <w:szCs w:val="20"/>
                <w:lang w:eastAsia="de-DE" w:bidi="pa-IN"/>
              </w:rPr>
              <w:t>(d)</w:t>
            </w:r>
            <w:r>
              <w:rPr>
                <w:rFonts w:ascii="Arial" w:eastAsia="Times New Roman" w:hAnsi="Arial" w:cs="Arial"/>
                <w:b/>
                <w:sz w:val="20"/>
                <w:szCs w:val="20"/>
                <w:lang w:eastAsia="de-DE" w:bidi="pa-IN"/>
              </w:rPr>
              <w:t xml:space="preserve"> CRR)</w:t>
            </w:r>
          </w:p>
        </w:tc>
        <w:tc>
          <w:tcPr>
            <w:tcW w:w="6946" w:type="dxa"/>
            <w:shd w:val="clear" w:color="auto" w:fill="auto"/>
            <w:vAlign w:val="center"/>
          </w:tcPr>
          <w:p w14:paraId="79F666F7" w14:textId="77777777" w:rsidR="003026AF" w:rsidRDefault="003026AF" w:rsidP="00033412">
            <w:pPr>
              <w:spacing w:after="100"/>
              <w:rPr>
                <w:rFonts w:ascii="Arial" w:eastAsia="Times New Roman" w:hAnsi="Arial" w:cs="Arial"/>
                <w:sz w:val="20"/>
                <w:szCs w:val="20"/>
                <w:lang w:eastAsia="de-DE" w:bidi="pa-IN"/>
              </w:rPr>
            </w:pPr>
            <w:r w:rsidRPr="003026AF">
              <w:rPr>
                <w:rFonts w:ascii="Arial" w:eastAsia="Times New Roman" w:hAnsi="Arial" w:cs="Arial"/>
                <w:sz w:val="20"/>
                <w:szCs w:val="20"/>
                <w:lang w:eastAsia="de-DE" w:bidi="pa-IN"/>
              </w:rPr>
              <w:t xml:space="preserve">The intended measure comprises a floor for (exposure-weighted) average risk weights of 35 pct. for Norwegian corporate real estate exposures. Where the exposure-weighted average risk weight is lower than the floor, the total risk-weighted assets (RWA) should be increased correspondingly. Each institution’s increase in risk-weighted assets would be the following: </w:t>
            </w:r>
          </w:p>
          <w:p w14:paraId="2E6F5120" w14:textId="7BF550DF" w:rsidR="003026AF" w:rsidRDefault="003026AF" w:rsidP="00033412">
            <w:pPr>
              <w:spacing w:after="100"/>
              <w:rPr>
                <w:rFonts w:ascii="Arial" w:eastAsia="Times New Roman" w:hAnsi="Arial" w:cs="Arial"/>
                <w:sz w:val="20"/>
                <w:szCs w:val="20"/>
                <w:lang w:eastAsia="de-DE" w:bidi="pa-IN"/>
              </w:rPr>
            </w:pPr>
            <w:r w:rsidRPr="003026AF">
              <w:rPr>
                <w:rFonts w:ascii="Arial" w:eastAsia="Times New Roman" w:hAnsi="Arial" w:cs="Arial"/>
                <w:sz w:val="20"/>
                <w:szCs w:val="20"/>
                <w:lang w:eastAsia="de-DE" w:bidi="pa-IN"/>
              </w:rPr>
              <w:t xml:space="preserve">∆RWA = </w:t>
            </w:r>
            <w:proofErr w:type="gramStart"/>
            <w:r w:rsidRPr="003026AF">
              <w:rPr>
                <w:rFonts w:ascii="Arial" w:eastAsia="Times New Roman" w:hAnsi="Arial" w:cs="Arial"/>
                <w:sz w:val="20"/>
                <w:szCs w:val="20"/>
                <w:lang w:eastAsia="de-DE" w:bidi="pa-IN"/>
              </w:rPr>
              <w:t>max(</w:t>
            </w:r>
            <w:proofErr w:type="gramEnd"/>
            <w:r w:rsidRPr="003026AF">
              <w:rPr>
                <w:rFonts w:ascii="Arial" w:eastAsia="Times New Roman" w:hAnsi="Arial" w:cs="Arial"/>
                <w:sz w:val="20"/>
                <w:szCs w:val="20"/>
                <w:lang w:eastAsia="de-DE" w:bidi="pa-IN"/>
              </w:rPr>
              <w:t xml:space="preserve">0,35% - RWCRE)*EADCRE </w:t>
            </w:r>
          </w:p>
          <w:p w14:paraId="1F1FD499" w14:textId="11550211" w:rsidR="003026AF" w:rsidRDefault="003026AF" w:rsidP="00033412">
            <w:pPr>
              <w:spacing w:after="100"/>
              <w:rPr>
                <w:rFonts w:ascii="Arial" w:eastAsia="Times New Roman" w:hAnsi="Arial" w:cs="Arial"/>
                <w:sz w:val="20"/>
                <w:szCs w:val="20"/>
                <w:lang w:eastAsia="de-DE" w:bidi="pa-IN"/>
              </w:rPr>
            </w:pPr>
            <w:r w:rsidRPr="003026AF">
              <w:rPr>
                <w:rFonts w:ascii="Arial" w:eastAsia="Times New Roman" w:hAnsi="Arial" w:cs="Arial"/>
                <w:sz w:val="20"/>
                <w:szCs w:val="20"/>
                <w:lang w:eastAsia="de-DE" w:bidi="pa-IN"/>
              </w:rPr>
              <w:t xml:space="preserve">Where RWCRE are the exposure-weighted average risk weight for </w:t>
            </w:r>
            <w:r w:rsidR="00360167" w:rsidRPr="003026AF">
              <w:rPr>
                <w:rFonts w:ascii="Arial" w:eastAsia="Times New Roman" w:hAnsi="Arial" w:cs="Arial"/>
                <w:sz w:val="20"/>
                <w:szCs w:val="20"/>
                <w:lang w:eastAsia="de-DE" w:bidi="pa-IN"/>
              </w:rPr>
              <w:t>non-defaulted</w:t>
            </w:r>
            <w:r w:rsidRPr="003026AF">
              <w:rPr>
                <w:rFonts w:ascii="Arial" w:eastAsia="Times New Roman" w:hAnsi="Arial" w:cs="Arial"/>
                <w:sz w:val="20"/>
                <w:szCs w:val="20"/>
                <w:lang w:eastAsia="de-DE" w:bidi="pa-IN"/>
              </w:rPr>
              <w:t xml:space="preserve"> exposures for the corporate real estate portfolio. </w:t>
            </w:r>
          </w:p>
          <w:p w14:paraId="2E807ECE" w14:textId="70AA71F1" w:rsidR="00033412" w:rsidRPr="00D406C5" w:rsidRDefault="001C028E" w:rsidP="00033412">
            <w:pPr>
              <w:spacing w:after="100"/>
              <w:rPr>
                <w:rFonts w:ascii="Arial" w:eastAsia="Times New Roman" w:hAnsi="Arial" w:cs="Arial"/>
                <w:sz w:val="20"/>
                <w:szCs w:val="20"/>
                <w:lang w:eastAsia="de-DE" w:bidi="pa-IN"/>
              </w:rPr>
            </w:pPr>
            <w:r>
              <w:rPr>
                <w:rFonts w:ascii="Arial" w:eastAsia="Times New Roman" w:hAnsi="Arial" w:cs="Arial"/>
                <w:sz w:val="20"/>
                <w:szCs w:val="20"/>
                <w:lang w:eastAsia="de-DE" w:bidi="pa-IN"/>
              </w:rPr>
              <w:t xml:space="preserve">The </w:t>
            </w:r>
            <w:r w:rsidRPr="001C028E">
              <w:rPr>
                <w:rFonts w:ascii="Arial" w:eastAsia="Times New Roman" w:hAnsi="Arial" w:cs="Arial"/>
                <w:sz w:val="20"/>
                <w:szCs w:val="20"/>
                <w:lang w:eastAsia="de-DE" w:bidi="pa-IN"/>
              </w:rPr>
              <w:t xml:space="preserve">measure is </w:t>
            </w:r>
            <w:r w:rsidR="003026AF" w:rsidRPr="003026AF">
              <w:rPr>
                <w:rFonts w:ascii="Arial" w:eastAsia="Times New Roman" w:hAnsi="Arial" w:cs="Arial"/>
                <w:sz w:val="20"/>
                <w:szCs w:val="20"/>
                <w:lang w:eastAsia="de-DE" w:bidi="pa-IN"/>
              </w:rPr>
              <w:t xml:space="preserve">implemented in the CRR/CRD regulation § </w:t>
            </w:r>
            <w:r>
              <w:rPr>
                <w:rFonts w:ascii="Arial" w:eastAsia="Times New Roman" w:hAnsi="Arial" w:cs="Arial"/>
                <w:sz w:val="20"/>
                <w:szCs w:val="20"/>
                <w:lang w:eastAsia="de-DE" w:bidi="pa-IN"/>
              </w:rPr>
              <w:t>4</w:t>
            </w:r>
            <w:r w:rsidR="003026AF" w:rsidRPr="003026AF">
              <w:rPr>
                <w:rFonts w:ascii="Arial" w:eastAsia="Times New Roman" w:hAnsi="Arial" w:cs="Arial"/>
                <w:sz w:val="20"/>
                <w:szCs w:val="20"/>
                <w:lang w:eastAsia="de-DE" w:bidi="pa-IN"/>
              </w:rPr>
              <w:t>.</w:t>
            </w:r>
          </w:p>
        </w:tc>
      </w:tr>
      <w:tr w:rsidR="00033412" w:rsidRPr="00D406C5" w14:paraId="3B3D7922" w14:textId="77777777" w:rsidTr="00033412">
        <w:trPr>
          <w:trHeight w:val="1278"/>
        </w:trPr>
        <w:tc>
          <w:tcPr>
            <w:tcW w:w="2518" w:type="dxa"/>
            <w:shd w:val="clear" w:color="auto" w:fill="auto"/>
            <w:vAlign w:val="center"/>
          </w:tcPr>
          <w:p w14:paraId="57B7B63C" w14:textId="13B6D728" w:rsidR="00033412" w:rsidRPr="00D406C5" w:rsidRDefault="00013D8D" w:rsidP="00033412">
            <w:pPr>
              <w:spacing w:after="100"/>
              <w:rPr>
                <w:rFonts w:ascii="Arial" w:eastAsia="Times New Roman" w:hAnsi="Arial" w:cs="Arial"/>
                <w:b/>
                <w:sz w:val="20"/>
                <w:szCs w:val="20"/>
                <w:lang w:eastAsia="de-DE" w:bidi="pa-IN"/>
              </w:rPr>
            </w:pPr>
            <w:permStart w:id="1987845464" w:edGrp="everyone" w:colFirst="1" w:colLast="1"/>
            <w:permEnd w:id="490235554"/>
            <w:r>
              <w:rPr>
                <w:rFonts w:ascii="Arial" w:eastAsia="Times New Roman" w:hAnsi="Arial" w:cs="Arial"/>
                <w:b/>
                <w:sz w:val="20"/>
                <w:szCs w:val="20"/>
                <w:lang w:eastAsia="de-DE" w:bidi="pa-IN"/>
              </w:rPr>
              <w:t>2</w:t>
            </w:r>
            <w:r w:rsidRPr="00D406C5">
              <w:rPr>
                <w:rFonts w:ascii="Arial" w:eastAsia="Times New Roman" w:hAnsi="Arial" w:cs="Arial"/>
                <w:b/>
                <w:sz w:val="20"/>
                <w:szCs w:val="20"/>
                <w:lang w:eastAsia="de-DE" w:bidi="pa-IN"/>
              </w:rPr>
              <w:t xml:space="preserve">.2 Scope of </w:t>
            </w:r>
            <w:r>
              <w:rPr>
                <w:rFonts w:ascii="Arial" w:eastAsia="Times New Roman" w:hAnsi="Arial" w:cs="Arial"/>
                <w:b/>
                <w:sz w:val="20"/>
                <w:szCs w:val="20"/>
                <w:lang w:eastAsia="de-DE" w:bidi="pa-IN"/>
              </w:rPr>
              <w:t xml:space="preserve">the </w:t>
            </w:r>
            <w:r w:rsidRPr="00D406C5">
              <w:rPr>
                <w:rFonts w:ascii="Arial" w:eastAsia="Times New Roman" w:hAnsi="Arial" w:cs="Arial"/>
                <w:b/>
                <w:sz w:val="20"/>
                <w:szCs w:val="20"/>
                <w:lang w:eastAsia="de-DE" w:bidi="pa-IN"/>
              </w:rPr>
              <w:t>measure</w:t>
            </w:r>
          </w:p>
          <w:p w14:paraId="3DD710AF" w14:textId="6FD6D6B6" w:rsidR="00033412" w:rsidRPr="00D406C5" w:rsidRDefault="00013D8D" w:rsidP="00033412">
            <w:pPr>
              <w:spacing w:after="100"/>
              <w:rPr>
                <w:rFonts w:ascii="Arial" w:eastAsia="Times New Roman" w:hAnsi="Arial" w:cs="Arial"/>
                <w:b/>
                <w:sz w:val="20"/>
                <w:szCs w:val="20"/>
                <w:lang w:eastAsia="de-DE" w:bidi="pa-IN"/>
              </w:rPr>
            </w:pPr>
            <w:r>
              <w:rPr>
                <w:rFonts w:ascii="Arial" w:eastAsia="Times New Roman" w:hAnsi="Arial" w:cs="Arial"/>
                <w:b/>
                <w:sz w:val="20"/>
                <w:szCs w:val="20"/>
                <w:lang w:eastAsia="de-DE" w:bidi="pa-IN"/>
              </w:rPr>
              <w:t>(</w:t>
            </w:r>
            <w:r w:rsidRPr="00D406C5">
              <w:rPr>
                <w:rFonts w:ascii="Arial" w:eastAsia="Times New Roman" w:hAnsi="Arial" w:cs="Arial"/>
                <w:b/>
                <w:sz w:val="20"/>
                <w:szCs w:val="20"/>
                <w:lang w:eastAsia="de-DE" w:bidi="pa-IN"/>
              </w:rPr>
              <w:t>Article 458</w:t>
            </w:r>
            <w:r>
              <w:rPr>
                <w:rFonts w:ascii="Arial" w:eastAsia="Times New Roman" w:hAnsi="Arial" w:cs="Arial"/>
                <w:b/>
                <w:sz w:val="20"/>
                <w:szCs w:val="20"/>
                <w:lang w:eastAsia="de-DE" w:bidi="pa-IN"/>
              </w:rPr>
              <w:t>(</w:t>
            </w:r>
            <w:r w:rsidRPr="00D406C5">
              <w:rPr>
                <w:rFonts w:ascii="Arial" w:eastAsia="Times New Roman" w:hAnsi="Arial" w:cs="Arial"/>
                <w:b/>
                <w:sz w:val="20"/>
                <w:szCs w:val="20"/>
                <w:lang w:eastAsia="de-DE" w:bidi="pa-IN"/>
              </w:rPr>
              <w:t>2</w:t>
            </w:r>
            <w:r>
              <w:rPr>
                <w:rFonts w:ascii="Arial" w:eastAsia="Times New Roman" w:hAnsi="Arial" w:cs="Arial"/>
                <w:b/>
                <w:sz w:val="20"/>
                <w:szCs w:val="20"/>
                <w:lang w:eastAsia="de-DE" w:bidi="pa-IN"/>
              </w:rPr>
              <w:t>)</w:t>
            </w:r>
            <w:r w:rsidRPr="00D406C5">
              <w:rPr>
                <w:rFonts w:ascii="Arial" w:eastAsia="Times New Roman" w:hAnsi="Arial" w:cs="Arial"/>
                <w:b/>
                <w:sz w:val="20"/>
                <w:szCs w:val="20"/>
                <w:lang w:eastAsia="de-DE" w:bidi="pa-IN"/>
              </w:rPr>
              <w:t>(d)</w:t>
            </w:r>
            <w:r>
              <w:rPr>
                <w:rFonts w:ascii="Arial" w:eastAsia="Times New Roman" w:hAnsi="Arial" w:cs="Arial"/>
                <w:b/>
                <w:sz w:val="20"/>
                <w:szCs w:val="20"/>
                <w:lang w:eastAsia="de-DE" w:bidi="pa-IN"/>
              </w:rPr>
              <w:t xml:space="preserve"> CRR)</w:t>
            </w:r>
          </w:p>
        </w:tc>
        <w:tc>
          <w:tcPr>
            <w:tcW w:w="6946" w:type="dxa"/>
            <w:shd w:val="clear" w:color="auto" w:fill="auto"/>
            <w:vAlign w:val="center"/>
          </w:tcPr>
          <w:p w14:paraId="0BDD1363" w14:textId="5E82CA84" w:rsidR="00033412" w:rsidRPr="00D406C5" w:rsidRDefault="005809D9" w:rsidP="00033412">
            <w:pPr>
              <w:spacing w:after="100"/>
              <w:rPr>
                <w:rFonts w:ascii="Arial" w:eastAsia="Times New Roman" w:hAnsi="Arial" w:cs="Arial"/>
                <w:sz w:val="20"/>
                <w:szCs w:val="20"/>
                <w:lang w:eastAsia="de-DE" w:bidi="pa-IN"/>
              </w:rPr>
            </w:pPr>
            <w:r w:rsidRPr="005809D9">
              <w:rPr>
                <w:rFonts w:ascii="Arial" w:eastAsia="Times New Roman" w:hAnsi="Arial" w:cs="Arial"/>
                <w:sz w:val="20"/>
                <w:szCs w:val="20"/>
                <w:lang w:eastAsia="de-DE" w:bidi="pa-IN"/>
              </w:rPr>
              <w:t>The risk weight floor would be applicable for all Norwegian institutions with the relevant exposures and using the Internal Ratings Based Approach (IRB institutions). Moreover, the Ministry requests the ESRB to issue a recommendation to other Member States to reciprocate the measure, see section 6.3.</w:t>
            </w:r>
          </w:p>
        </w:tc>
      </w:tr>
      <w:tr w:rsidR="00033412" w:rsidRPr="00D406C5" w14:paraId="153C28C2" w14:textId="77777777" w:rsidTr="00033412">
        <w:trPr>
          <w:trHeight w:val="973"/>
        </w:trPr>
        <w:tc>
          <w:tcPr>
            <w:tcW w:w="2518" w:type="dxa"/>
            <w:shd w:val="clear" w:color="auto" w:fill="auto"/>
            <w:vAlign w:val="center"/>
          </w:tcPr>
          <w:p w14:paraId="405CE1B9" w14:textId="5FC13FFC" w:rsidR="00033412" w:rsidRPr="00D406C5" w:rsidRDefault="00013D8D" w:rsidP="00033412">
            <w:pPr>
              <w:spacing w:after="100"/>
              <w:rPr>
                <w:rFonts w:ascii="Arial" w:eastAsia="Times New Roman" w:hAnsi="Arial" w:cs="Arial"/>
                <w:b/>
                <w:sz w:val="20"/>
                <w:szCs w:val="20"/>
                <w:lang w:eastAsia="de-DE" w:bidi="pa-IN"/>
              </w:rPr>
            </w:pPr>
            <w:permStart w:id="1319652945" w:edGrp="everyone" w:colFirst="1" w:colLast="1"/>
            <w:permEnd w:id="1987845464"/>
            <w:r>
              <w:rPr>
                <w:rFonts w:ascii="Arial" w:eastAsia="Times New Roman" w:hAnsi="Arial" w:cs="Arial"/>
                <w:b/>
                <w:sz w:val="20"/>
                <w:szCs w:val="20"/>
                <w:lang w:eastAsia="de-DE" w:bidi="pa-IN"/>
              </w:rPr>
              <w:t>2</w:t>
            </w:r>
            <w:r w:rsidRPr="00D406C5">
              <w:rPr>
                <w:rFonts w:ascii="Arial" w:eastAsia="Times New Roman" w:hAnsi="Arial" w:cs="Arial"/>
                <w:b/>
                <w:sz w:val="20"/>
                <w:szCs w:val="20"/>
                <w:lang w:eastAsia="de-DE" w:bidi="pa-IN"/>
              </w:rPr>
              <w:t xml:space="preserve">.3 Calibration of </w:t>
            </w:r>
            <w:r>
              <w:rPr>
                <w:rFonts w:ascii="Arial" w:eastAsia="Times New Roman" w:hAnsi="Arial" w:cs="Arial"/>
                <w:b/>
                <w:sz w:val="20"/>
                <w:szCs w:val="20"/>
                <w:lang w:eastAsia="de-DE" w:bidi="pa-IN"/>
              </w:rPr>
              <w:t xml:space="preserve">the </w:t>
            </w:r>
            <w:r w:rsidRPr="00D406C5">
              <w:rPr>
                <w:rFonts w:ascii="Arial" w:eastAsia="Times New Roman" w:hAnsi="Arial" w:cs="Arial"/>
                <w:b/>
                <w:sz w:val="20"/>
                <w:szCs w:val="20"/>
                <w:lang w:eastAsia="de-DE" w:bidi="pa-IN"/>
              </w:rPr>
              <w:t>measure</w:t>
            </w:r>
          </w:p>
        </w:tc>
        <w:tc>
          <w:tcPr>
            <w:tcW w:w="6946" w:type="dxa"/>
            <w:shd w:val="clear" w:color="auto" w:fill="auto"/>
            <w:vAlign w:val="center"/>
          </w:tcPr>
          <w:p w14:paraId="3812BBE3" w14:textId="4977F769" w:rsidR="00033412" w:rsidRDefault="005809D9" w:rsidP="00033412">
            <w:pPr>
              <w:spacing w:after="100"/>
              <w:rPr>
                <w:rFonts w:ascii="Arial" w:eastAsia="Times New Roman" w:hAnsi="Arial" w:cs="Arial"/>
                <w:sz w:val="20"/>
                <w:szCs w:val="20"/>
                <w:lang w:eastAsia="de-DE" w:bidi="pa-IN"/>
              </w:rPr>
            </w:pPr>
            <w:r w:rsidRPr="005809D9">
              <w:rPr>
                <w:rFonts w:ascii="Arial" w:eastAsia="Times New Roman" w:hAnsi="Arial" w:cs="Arial"/>
                <w:sz w:val="20"/>
                <w:szCs w:val="20"/>
                <w:lang w:eastAsia="de-DE" w:bidi="pa-IN"/>
              </w:rPr>
              <w:t>The calibration of the risk weight floor is aligned with current IRB practices allowed by the Financial Supervisory Authority of Norway (Finanstilsynet). Considering the potential losses associated with commercial real estate exposures (see sections 2.4 and 4), a risk weight floor of 35 pct. is considered appropriate</w:t>
            </w:r>
            <w:r w:rsidR="008A00DF">
              <w:rPr>
                <w:rFonts w:ascii="Arial" w:eastAsia="Times New Roman" w:hAnsi="Arial" w:cs="Arial"/>
                <w:sz w:val="20"/>
                <w:szCs w:val="20"/>
                <w:lang w:eastAsia="de-DE" w:bidi="pa-IN"/>
              </w:rPr>
              <w:t>.</w:t>
            </w:r>
          </w:p>
          <w:p w14:paraId="15773959" w14:textId="77777777" w:rsidR="008A00DF" w:rsidRDefault="005809D9" w:rsidP="00033412">
            <w:pPr>
              <w:spacing w:after="100"/>
              <w:rPr>
                <w:rFonts w:ascii="Arial" w:eastAsia="Times New Roman" w:hAnsi="Arial" w:cs="Arial"/>
                <w:sz w:val="20"/>
                <w:szCs w:val="20"/>
                <w:lang w:eastAsia="de-DE" w:bidi="pa-IN"/>
              </w:rPr>
            </w:pPr>
            <w:r w:rsidRPr="005809D9">
              <w:rPr>
                <w:rFonts w:ascii="Arial" w:eastAsia="Times New Roman" w:hAnsi="Arial" w:cs="Arial"/>
                <w:sz w:val="20"/>
                <w:szCs w:val="20"/>
                <w:lang w:eastAsia="de-DE" w:bidi="pa-IN"/>
              </w:rPr>
              <w:t xml:space="preserve">The floor is </w:t>
            </w:r>
            <w:proofErr w:type="spellStart"/>
            <w:r w:rsidRPr="005809D9">
              <w:rPr>
                <w:rFonts w:ascii="Arial" w:eastAsia="Times New Roman" w:hAnsi="Arial" w:cs="Arial"/>
                <w:sz w:val="20"/>
                <w:szCs w:val="20"/>
                <w:lang w:eastAsia="de-DE" w:bidi="pa-IN"/>
              </w:rPr>
              <w:t>i.a.</w:t>
            </w:r>
            <w:proofErr w:type="spellEnd"/>
            <w:r w:rsidRPr="005809D9">
              <w:rPr>
                <w:rFonts w:ascii="Arial" w:eastAsia="Times New Roman" w:hAnsi="Arial" w:cs="Arial"/>
                <w:sz w:val="20"/>
                <w:szCs w:val="20"/>
                <w:lang w:eastAsia="de-DE" w:bidi="pa-IN"/>
              </w:rPr>
              <w:t xml:space="preserve"> based on the risk weight formula using PD and LGD levels of 1 and 20 per cent, respectively, which are considered minimum levels as portfolio averages. A study suggests that the capital required with the existing risk weight floor of 35 pct. would be sufficient to cover losses incurred in the moderate downturn of 2002-2003, but not to cover losses on commercial real estate exposures during the Norwegian banking crisis in 1988-1993.</w:t>
            </w:r>
            <w:r w:rsidR="002C2783">
              <w:rPr>
                <w:rStyle w:val="Fotnotereferanse"/>
                <w:rFonts w:ascii="Arial" w:eastAsia="Times New Roman" w:hAnsi="Arial" w:cs="Arial"/>
                <w:sz w:val="20"/>
                <w:szCs w:val="20"/>
                <w:lang w:eastAsia="de-DE" w:bidi="pa-IN"/>
              </w:rPr>
              <w:footnoteReference w:id="4"/>
            </w:r>
          </w:p>
          <w:p w14:paraId="75F00D53" w14:textId="6E2BD850" w:rsidR="005809D9" w:rsidRPr="00D406C5" w:rsidRDefault="008A00DF" w:rsidP="00033412">
            <w:pPr>
              <w:spacing w:after="100"/>
              <w:rPr>
                <w:rFonts w:ascii="Arial" w:eastAsia="Times New Roman" w:hAnsi="Arial" w:cs="Arial"/>
                <w:sz w:val="20"/>
                <w:szCs w:val="20"/>
                <w:lang w:eastAsia="de-DE" w:bidi="pa-IN"/>
              </w:rPr>
            </w:pPr>
            <w:r w:rsidRPr="008A00DF">
              <w:rPr>
                <w:rFonts w:ascii="Arial" w:eastAsia="Times New Roman" w:hAnsi="Arial" w:cs="Arial"/>
                <w:sz w:val="20"/>
                <w:szCs w:val="20"/>
                <w:lang w:eastAsia="de-DE" w:bidi="pa-IN"/>
              </w:rPr>
              <w:t>All Norwegian IRB banks' average risk weight for commercial real estate exposures exceed 35 per cent, but the floor is effective for branches of foreign IRB institutions.</w:t>
            </w:r>
          </w:p>
        </w:tc>
      </w:tr>
      <w:tr w:rsidR="00033412" w:rsidRPr="00D406C5" w14:paraId="5A3B443E" w14:textId="77777777" w:rsidTr="00033412">
        <w:trPr>
          <w:trHeight w:val="558"/>
        </w:trPr>
        <w:tc>
          <w:tcPr>
            <w:tcW w:w="2518" w:type="dxa"/>
            <w:shd w:val="clear" w:color="auto" w:fill="auto"/>
            <w:vAlign w:val="center"/>
          </w:tcPr>
          <w:p w14:paraId="3FF45AD7" w14:textId="53E7B07A" w:rsidR="00033412" w:rsidRPr="00D406C5" w:rsidRDefault="00013D8D" w:rsidP="00033412">
            <w:pPr>
              <w:spacing w:after="100"/>
              <w:rPr>
                <w:rFonts w:ascii="Arial" w:eastAsia="Times New Roman" w:hAnsi="Arial" w:cs="Arial"/>
                <w:b/>
                <w:sz w:val="20"/>
                <w:szCs w:val="20"/>
                <w:lang w:eastAsia="de-DE" w:bidi="pa-IN"/>
              </w:rPr>
            </w:pPr>
            <w:permStart w:id="789207013" w:edGrp="everyone" w:colFirst="1" w:colLast="1"/>
            <w:permEnd w:id="1319652945"/>
            <w:r>
              <w:rPr>
                <w:rFonts w:ascii="Arial" w:eastAsia="Times New Roman" w:hAnsi="Arial" w:cs="Arial"/>
                <w:b/>
                <w:sz w:val="20"/>
                <w:szCs w:val="20"/>
                <w:lang w:eastAsia="de-DE" w:bidi="pa-IN"/>
              </w:rPr>
              <w:lastRenderedPageBreak/>
              <w:t>2</w:t>
            </w:r>
            <w:r w:rsidRPr="00D406C5">
              <w:rPr>
                <w:rFonts w:ascii="Arial" w:eastAsia="Times New Roman" w:hAnsi="Arial" w:cs="Arial"/>
                <w:b/>
                <w:sz w:val="20"/>
                <w:szCs w:val="20"/>
                <w:lang w:eastAsia="de-DE" w:bidi="pa-IN"/>
              </w:rPr>
              <w:t xml:space="preserve">.4 Suitability, effectiveness and proportionality of </w:t>
            </w:r>
            <w:r>
              <w:rPr>
                <w:rFonts w:ascii="Arial" w:eastAsia="Times New Roman" w:hAnsi="Arial" w:cs="Arial"/>
                <w:b/>
                <w:sz w:val="20"/>
                <w:szCs w:val="20"/>
                <w:lang w:eastAsia="de-DE" w:bidi="pa-IN"/>
              </w:rPr>
              <w:t xml:space="preserve">the </w:t>
            </w:r>
            <w:r w:rsidRPr="00D406C5">
              <w:rPr>
                <w:rFonts w:ascii="Arial" w:eastAsia="Times New Roman" w:hAnsi="Arial" w:cs="Arial"/>
                <w:b/>
                <w:sz w:val="20"/>
                <w:szCs w:val="20"/>
                <w:lang w:eastAsia="de-DE" w:bidi="pa-IN"/>
              </w:rPr>
              <w:t>measure</w:t>
            </w:r>
          </w:p>
          <w:p w14:paraId="1C4DC512" w14:textId="40752246" w:rsidR="00033412" w:rsidRPr="00D406C5" w:rsidRDefault="00013D8D" w:rsidP="00033412">
            <w:pPr>
              <w:spacing w:after="100"/>
              <w:rPr>
                <w:rFonts w:ascii="Arial" w:eastAsia="Times New Roman" w:hAnsi="Arial" w:cs="Arial"/>
                <w:b/>
                <w:sz w:val="20"/>
                <w:szCs w:val="20"/>
                <w:lang w:eastAsia="de-DE" w:bidi="pa-IN"/>
              </w:rPr>
            </w:pPr>
            <w:r>
              <w:rPr>
                <w:rFonts w:ascii="Arial" w:eastAsia="Times New Roman" w:hAnsi="Arial" w:cs="Arial"/>
                <w:b/>
                <w:sz w:val="20"/>
                <w:szCs w:val="20"/>
                <w:lang w:eastAsia="de-DE" w:bidi="pa-IN"/>
              </w:rPr>
              <w:t>(</w:t>
            </w:r>
            <w:r w:rsidRPr="00D406C5">
              <w:rPr>
                <w:rFonts w:ascii="Arial" w:eastAsia="Times New Roman" w:hAnsi="Arial" w:cs="Arial"/>
                <w:b/>
                <w:sz w:val="20"/>
                <w:szCs w:val="20"/>
                <w:lang w:eastAsia="de-DE" w:bidi="pa-IN"/>
              </w:rPr>
              <w:t>Article 458</w:t>
            </w:r>
            <w:r>
              <w:rPr>
                <w:rFonts w:ascii="Arial" w:eastAsia="Times New Roman" w:hAnsi="Arial" w:cs="Arial"/>
                <w:b/>
                <w:sz w:val="20"/>
                <w:szCs w:val="20"/>
                <w:lang w:eastAsia="de-DE" w:bidi="pa-IN"/>
              </w:rPr>
              <w:t>(</w:t>
            </w:r>
            <w:r w:rsidRPr="00D406C5">
              <w:rPr>
                <w:rFonts w:ascii="Arial" w:eastAsia="Times New Roman" w:hAnsi="Arial" w:cs="Arial"/>
                <w:b/>
                <w:sz w:val="20"/>
                <w:szCs w:val="20"/>
                <w:lang w:eastAsia="de-DE" w:bidi="pa-IN"/>
              </w:rPr>
              <w:t>2</w:t>
            </w:r>
            <w:r>
              <w:rPr>
                <w:rFonts w:ascii="Arial" w:eastAsia="Times New Roman" w:hAnsi="Arial" w:cs="Arial"/>
                <w:b/>
                <w:sz w:val="20"/>
                <w:szCs w:val="20"/>
                <w:lang w:eastAsia="de-DE" w:bidi="pa-IN"/>
              </w:rPr>
              <w:t>)</w:t>
            </w:r>
            <w:r w:rsidRPr="00D406C5">
              <w:rPr>
                <w:rFonts w:ascii="Arial" w:eastAsia="Times New Roman" w:hAnsi="Arial" w:cs="Arial"/>
                <w:b/>
                <w:sz w:val="20"/>
                <w:szCs w:val="20"/>
                <w:lang w:eastAsia="de-DE" w:bidi="pa-IN"/>
              </w:rPr>
              <w:t>(e)</w:t>
            </w:r>
            <w:r>
              <w:rPr>
                <w:rFonts w:ascii="Arial" w:eastAsia="Times New Roman" w:hAnsi="Arial" w:cs="Arial"/>
                <w:b/>
                <w:sz w:val="20"/>
                <w:szCs w:val="20"/>
                <w:lang w:eastAsia="de-DE" w:bidi="pa-IN"/>
              </w:rPr>
              <w:t xml:space="preserve"> CRR)</w:t>
            </w:r>
          </w:p>
        </w:tc>
        <w:tc>
          <w:tcPr>
            <w:tcW w:w="6946" w:type="dxa"/>
            <w:shd w:val="clear" w:color="auto" w:fill="auto"/>
            <w:vAlign w:val="center"/>
          </w:tcPr>
          <w:p w14:paraId="1D5E36AE" w14:textId="77777777" w:rsidR="006A7819" w:rsidRDefault="006A7819" w:rsidP="00033412">
            <w:pPr>
              <w:spacing w:after="100"/>
              <w:rPr>
                <w:rFonts w:ascii="Arial" w:eastAsia="Times New Roman" w:hAnsi="Arial" w:cs="Arial"/>
                <w:sz w:val="20"/>
                <w:szCs w:val="20"/>
                <w:lang w:eastAsia="de-DE" w:bidi="pa-IN"/>
              </w:rPr>
            </w:pPr>
            <w:r w:rsidRPr="006A7819">
              <w:rPr>
                <w:rFonts w:ascii="Arial" w:eastAsia="Times New Roman" w:hAnsi="Arial" w:cs="Arial"/>
                <w:sz w:val="20"/>
                <w:szCs w:val="20"/>
                <w:lang w:eastAsia="de-DE" w:bidi="pa-IN"/>
              </w:rPr>
              <w:t xml:space="preserve">The calibration of the proposed measure </w:t>
            </w:r>
            <w:proofErr w:type="gramStart"/>
            <w:r w:rsidRPr="006A7819">
              <w:rPr>
                <w:rFonts w:ascii="Arial" w:eastAsia="Times New Roman" w:hAnsi="Arial" w:cs="Arial"/>
                <w:sz w:val="20"/>
                <w:szCs w:val="20"/>
                <w:lang w:eastAsia="de-DE" w:bidi="pa-IN"/>
              </w:rPr>
              <w:t>is considered to be</w:t>
            </w:r>
            <w:proofErr w:type="gramEnd"/>
            <w:r w:rsidRPr="006A7819">
              <w:rPr>
                <w:rFonts w:ascii="Arial" w:eastAsia="Times New Roman" w:hAnsi="Arial" w:cs="Arial"/>
                <w:sz w:val="20"/>
                <w:szCs w:val="20"/>
                <w:lang w:eastAsia="de-DE" w:bidi="pa-IN"/>
              </w:rPr>
              <w:t xml:space="preserve"> proportionate with the intensity of cyclical systemic risks associated with Norwegian property markets, and in particular with the risk of potential asset bubbles in the commercial immovable property sector (see section 4.1). The measure is suitable to ensure that domestic institutions meet a certain minimum standard as regards risk-weighting at the portfolio level. If reciprocated, it would also be the most effective measure to ensure appropriate risk weights in the Norwegian branches of foreign IRB institutions. </w:t>
            </w:r>
          </w:p>
          <w:p w14:paraId="6E8E0AA5" w14:textId="22CC9433" w:rsidR="00033412" w:rsidRPr="00D406C5" w:rsidDel="00416D9F" w:rsidRDefault="006A7819" w:rsidP="00033412">
            <w:pPr>
              <w:spacing w:after="100"/>
              <w:rPr>
                <w:rFonts w:ascii="Arial" w:eastAsia="Times New Roman" w:hAnsi="Arial" w:cs="Arial"/>
                <w:sz w:val="20"/>
                <w:szCs w:val="20"/>
                <w:lang w:eastAsia="de-DE" w:bidi="pa-IN"/>
              </w:rPr>
            </w:pPr>
            <w:r w:rsidRPr="006A7819">
              <w:rPr>
                <w:rFonts w:ascii="Arial" w:eastAsia="Times New Roman" w:hAnsi="Arial" w:cs="Arial"/>
                <w:sz w:val="20"/>
                <w:szCs w:val="20"/>
                <w:lang w:eastAsia="de-DE" w:bidi="pa-IN"/>
              </w:rPr>
              <w:t>Reciprocation by other EEA States will be crucial to ensure appropriate treatment of such exposures by foreign institutions, as well as to avoid leakages and regulatory arbitrage (see section 6).</w:t>
            </w:r>
          </w:p>
        </w:tc>
      </w:tr>
      <w:tr w:rsidR="00033412" w:rsidRPr="00D406C5" w14:paraId="79910D31" w14:textId="77777777" w:rsidTr="00033412">
        <w:trPr>
          <w:trHeight w:val="1115"/>
        </w:trPr>
        <w:tc>
          <w:tcPr>
            <w:tcW w:w="2518" w:type="dxa"/>
            <w:shd w:val="clear" w:color="auto" w:fill="auto"/>
            <w:vAlign w:val="center"/>
          </w:tcPr>
          <w:p w14:paraId="2EB5D25F" w14:textId="77777777" w:rsidR="00033412" w:rsidRPr="00070540" w:rsidRDefault="00013D8D" w:rsidP="00033412">
            <w:pPr>
              <w:spacing w:after="100"/>
              <w:rPr>
                <w:rFonts w:ascii="Arial" w:eastAsia="Times New Roman" w:hAnsi="Arial" w:cs="Arial"/>
                <w:b/>
                <w:sz w:val="20"/>
                <w:szCs w:val="20"/>
                <w:lang w:eastAsia="de-DE" w:bidi="pa-IN"/>
              </w:rPr>
            </w:pPr>
            <w:permStart w:id="1381452076" w:edGrp="everyone" w:colFirst="1" w:colLast="1"/>
            <w:permEnd w:id="789207013"/>
            <w:r>
              <w:rPr>
                <w:rFonts w:ascii="Arial" w:eastAsia="Times New Roman" w:hAnsi="Arial" w:cs="Arial"/>
                <w:b/>
                <w:sz w:val="20"/>
                <w:szCs w:val="20"/>
                <w:lang w:eastAsia="de-DE" w:bidi="pa-IN"/>
              </w:rPr>
              <w:t>2</w:t>
            </w:r>
            <w:r w:rsidRPr="00070540">
              <w:rPr>
                <w:rFonts w:ascii="Arial" w:eastAsia="Times New Roman" w:hAnsi="Arial" w:cs="Arial"/>
                <w:b/>
                <w:sz w:val="20"/>
                <w:szCs w:val="20"/>
                <w:lang w:eastAsia="de-DE" w:bidi="pa-IN"/>
              </w:rPr>
              <w:t>.</w:t>
            </w:r>
            <w:r>
              <w:rPr>
                <w:rFonts w:ascii="Arial" w:eastAsia="Times New Roman" w:hAnsi="Arial" w:cs="Arial"/>
                <w:b/>
                <w:sz w:val="20"/>
                <w:szCs w:val="20"/>
                <w:lang w:eastAsia="de-DE" w:bidi="pa-IN"/>
              </w:rPr>
              <w:t>5</w:t>
            </w:r>
            <w:r w:rsidRPr="00070540">
              <w:rPr>
                <w:rFonts w:ascii="Arial" w:eastAsia="Times New Roman" w:hAnsi="Arial" w:cs="Arial"/>
                <w:b/>
                <w:sz w:val="20"/>
                <w:szCs w:val="20"/>
                <w:lang w:eastAsia="de-DE" w:bidi="pa-IN"/>
              </w:rPr>
              <w:t xml:space="preserve"> Other relevant information</w:t>
            </w:r>
          </w:p>
        </w:tc>
        <w:tc>
          <w:tcPr>
            <w:tcW w:w="6946" w:type="dxa"/>
            <w:shd w:val="clear" w:color="auto" w:fill="auto"/>
          </w:tcPr>
          <w:p w14:paraId="0BB9FFA5" w14:textId="761B57DC" w:rsidR="00033412" w:rsidRPr="00070540" w:rsidRDefault="006A7819" w:rsidP="000268DC">
            <w:pPr>
              <w:spacing w:after="100"/>
              <w:rPr>
                <w:rFonts w:ascii="Arial" w:eastAsia="Times New Roman" w:hAnsi="Arial" w:cs="Arial"/>
                <w:sz w:val="20"/>
                <w:szCs w:val="20"/>
                <w:lang w:eastAsia="de-DE" w:bidi="pa-IN"/>
              </w:rPr>
            </w:pPr>
            <w:r w:rsidRPr="006A7819">
              <w:rPr>
                <w:rFonts w:ascii="Arial" w:eastAsia="Times New Roman" w:hAnsi="Arial" w:cs="Arial"/>
                <w:sz w:val="20"/>
                <w:szCs w:val="20"/>
                <w:lang w:eastAsia="de-DE" w:bidi="pa-IN"/>
              </w:rPr>
              <w:t xml:space="preserve">A draft measure proposed by Finanstilsynet to increase the floor was on a </w:t>
            </w:r>
            <w:hyperlink r:id="rId13" w:history="1">
              <w:r w:rsidR="00D65E56">
                <w:rPr>
                  <w:rStyle w:val="Hyperkobling"/>
                  <w:rFonts w:ascii="Arial" w:eastAsia="Times New Roman" w:hAnsi="Arial" w:cs="Arial"/>
                  <w:sz w:val="20"/>
                  <w:szCs w:val="20"/>
                  <w:lang w:eastAsia="de-DE" w:bidi="pa-IN"/>
                </w:rPr>
                <w:t>public consultation</w:t>
              </w:r>
            </w:hyperlink>
            <w:r w:rsidR="00D65E56">
              <w:rPr>
                <w:rFonts w:ascii="Arial" w:eastAsia="Times New Roman" w:hAnsi="Arial" w:cs="Arial"/>
                <w:sz w:val="20"/>
                <w:szCs w:val="20"/>
                <w:lang w:eastAsia="de-DE" w:bidi="pa-IN"/>
              </w:rPr>
              <w:t xml:space="preserve"> </w:t>
            </w:r>
            <w:r w:rsidRPr="006A7819">
              <w:rPr>
                <w:rFonts w:ascii="Arial" w:eastAsia="Times New Roman" w:hAnsi="Arial" w:cs="Arial"/>
                <w:sz w:val="20"/>
                <w:szCs w:val="20"/>
                <w:lang w:eastAsia="de-DE" w:bidi="pa-IN"/>
              </w:rPr>
              <w:t xml:space="preserve">until </w:t>
            </w:r>
            <w:r w:rsidR="00D65E56">
              <w:rPr>
                <w:rFonts w:ascii="Arial" w:eastAsia="Times New Roman" w:hAnsi="Arial" w:cs="Arial"/>
                <w:sz w:val="20"/>
                <w:szCs w:val="20"/>
                <w:lang w:eastAsia="de-DE" w:bidi="pa-IN"/>
              </w:rPr>
              <w:t>4 September 2024</w:t>
            </w:r>
            <w:r w:rsidRPr="006A7819">
              <w:rPr>
                <w:rFonts w:ascii="Arial" w:eastAsia="Times New Roman" w:hAnsi="Arial" w:cs="Arial"/>
                <w:sz w:val="20"/>
                <w:szCs w:val="20"/>
                <w:lang w:eastAsia="de-DE" w:bidi="pa-IN"/>
              </w:rPr>
              <w:t xml:space="preserve">. </w:t>
            </w:r>
            <w:proofErr w:type="spellStart"/>
            <w:r w:rsidRPr="006A7819">
              <w:rPr>
                <w:rFonts w:ascii="Arial" w:eastAsia="Times New Roman" w:hAnsi="Arial" w:cs="Arial"/>
                <w:sz w:val="20"/>
                <w:szCs w:val="20"/>
                <w:lang w:eastAsia="de-DE" w:bidi="pa-IN"/>
              </w:rPr>
              <w:t>Norges</w:t>
            </w:r>
            <w:proofErr w:type="spellEnd"/>
            <w:r w:rsidRPr="006A7819">
              <w:rPr>
                <w:rFonts w:ascii="Arial" w:eastAsia="Times New Roman" w:hAnsi="Arial" w:cs="Arial"/>
                <w:sz w:val="20"/>
                <w:szCs w:val="20"/>
                <w:lang w:eastAsia="de-DE" w:bidi="pa-IN"/>
              </w:rPr>
              <w:t xml:space="preserve"> Bank has recommended an extension of the floor at 35 pct.</w:t>
            </w:r>
          </w:p>
        </w:tc>
      </w:tr>
      <w:tr w:rsidR="00033412" w:rsidRPr="00D406C5" w14:paraId="32DAA6AA" w14:textId="77777777" w:rsidTr="00033412">
        <w:trPr>
          <w:trHeight w:val="561"/>
        </w:trPr>
        <w:tc>
          <w:tcPr>
            <w:tcW w:w="9464" w:type="dxa"/>
            <w:gridSpan w:val="2"/>
            <w:shd w:val="clear" w:color="auto" w:fill="BFBFBF"/>
            <w:vAlign w:val="center"/>
          </w:tcPr>
          <w:p w14:paraId="4CB4101A" w14:textId="570F23E6" w:rsidR="00033412" w:rsidRPr="00D406C5" w:rsidRDefault="00013D8D" w:rsidP="001048DB">
            <w:pPr>
              <w:keepNext/>
              <w:numPr>
                <w:ilvl w:val="0"/>
                <w:numId w:val="5"/>
              </w:numPr>
              <w:spacing w:after="0" w:line="240" w:lineRule="auto"/>
              <w:contextualSpacing/>
              <w:rPr>
                <w:rFonts w:ascii="Arial" w:hAnsi="Arial" w:cs="Arial"/>
                <w:b/>
                <w:sz w:val="20"/>
                <w:szCs w:val="20"/>
              </w:rPr>
            </w:pPr>
            <w:r>
              <w:rPr>
                <w:rFonts w:ascii="Arial" w:hAnsi="Arial" w:cs="Arial"/>
                <w:b/>
                <w:sz w:val="20"/>
                <w:szCs w:val="20"/>
              </w:rPr>
              <w:t>Timi</w:t>
            </w:r>
            <w:permEnd w:id="1381452076"/>
            <w:r>
              <w:rPr>
                <w:rFonts w:ascii="Arial" w:hAnsi="Arial" w:cs="Arial"/>
                <w:b/>
                <w:sz w:val="20"/>
                <w:szCs w:val="20"/>
              </w:rPr>
              <w:t xml:space="preserve">ng </w:t>
            </w:r>
            <w:r w:rsidR="00AA20A6">
              <w:rPr>
                <w:rFonts w:ascii="Arial" w:hAnsi="Arial" w:cs="Arial"/>
                <w:b/>
                <w:sz w:val="20"/>
                <w:szCs w:val="20"/>
              </w:rPr>
              <w:t>for</w:t>
            </w:r>
            <w:r>
              <w:rPr>
                <w:rFonts w:ascii="Arial" w:hAnsi="Arial" w:cs="Arial"/>
                <w:b/>
                <w:sz w:val="20"/>
                <w:szCs w:val="20"/>
              </w:rPr>
              <w:t xml:space="preserve"> the measure</w:t>
            </w:r>
            <w:r w:rsidR="00987AE4">
              <w:rPr>
                <w:rFonts w:ascii="Arial" w:hAnsi="Arial" w:cs="Arial"/>
                <w:b/>
                <w:sz w:val="20"/>
                <w:szCs w:val="20"/>
              </w:rPr>
              <w:t xml:space="preserve"> </w:t>
            </w:r>
          </w:p>
        </w:tc>
      </w:tr>
      <w:tr w:rsidR="00033412" w:rsidRPr="00EF5B30" w14:paraId="0E10236D" w14:textId="77777777" w:rsidTr="00C25E6A">
        <w:trPr>
          <w:trHeight w:val="43"/>
        </w:trPr>
        <w:tc>
          <w:tcPr>
            <w:tcW w:w="2518" w:type="dxa"/>
            <w:shd w:val="clear" w:color="auto" w:fill="auto"/>
            <w:vAlign w:val="center"/>
          </w:tcPr>
          <w:p w14:paraId="09388CD8" w14:textId="290B70D7" w:rsidR="00033412" w:rsidRPr="007E2820" w:rsidRDefault="002D096B" w:rsidP="00033412">
            <w:pPr>
              <w:spacing w:after="100"/>
              <w:rPr>
                <w:rFonts w:ascii="Arial" w:eastAsia="Times New Roman" w:hAnsi="Arial" w:cs="Arial"/>
                <w:b/>
                <w:sz w:val="20"/>
                <w:szCs w:val="20"/>
                <w:lang w:eastAsia="de-DE" w:bidi="pa-IN"/>
              </w:rPr>
            </w:pPr>
            <w:permStart w:id="22942737" w:edGrp="everyone" w:colFirst="1" w:colLast="1"/>
            <w:r>
              <w:rPr>
                <w:rFonts w:ascii="Arial" w:eastAsia="Times New Roman" w:hAnsi="Arial" w:cs="Arial"/>
                <w:b/>
                <w:sz w:val="20"/>
                <w:szCs w:val="20"/>
                <w:lang w:eastAsia="de-DE" w:bidi="pa-IN"/>
              </w:rPr>
              <w:t xml:space="preserve">3.1 Timing </w:t>
            </w:r>
            <w:r w:rsidR="009C1055">
              <w:rPr>
                <w:rFonts w:ascii="Arial" w:eastAsia="Times New Roman" w:hAnsi="Arial" w:cs="Arial"/>
                <w:b/>
                <w:sz w:val="20"/>
                <w:szCs w:val="20"/>
                <w:lang w:eastAsia="de-DE" w:bidi="pa-IN"/>
              </w:rPr>
              <w:t>for</w:t>
            </w:r>
            <w:r>
              <w:rPr>
                <w:rFonts w:ascii="Arial" w:eastAsia="Times New Roman" w:hAnsi="Arial" w:cs="Arial"/>
                <w:b/>
                <w:sz w:val="20"/>
                <w:szCs w:val="20"/>
                <w:lang w:eastAsia="de-DE" w:bidi="pa-IN"/>
              </w:rPr>
              <w:t xml:space="preserve"> the d</w:t>
            </w:r>
            <w:r w:rsidR="00013D8D" w:rsidRPr="007E2820">
              <w:rPr>
                <w:rFonts w:ascii="Arial" w:eastAsia="Times New Roman" w:hAnsi="Arial" w:cs="Arial"/>
                <w:b/>
                <w:sz w:val="20"/>
                <w:szCs w:val="20"/>
                <w:lang w:eastAsia="de-DE" w:bidi="pa-IN"/>
              </w:rPr>
              <w:t>ecision</w:t>
            </w:r>
            <w:r w:rsidR="00987AE4">
              <w:rPr>
                <w:rFonts w:ascii="Arial" w:eastAsia="Times New Roman" w:hAnsi="Arial" w:cs="Arial"/>
                <w:b/>
                <w:sz w:val="20"/>
                <w:szCs w:val="20"/>
                <w:lang w:eastAsia="de-DE" w:bidi="pa-IN"/>
              </w:rPr>
              <w:t xml:space="preserve"> </w:t>
            </w:r>
            <w:r w:rsidR="00135E58">
              <w:rPr>
                <w:rFonts w:ascii="Arial" w:eastAsia="Times New Roman" w:hAnsi="Arial" w:cs="Arial"/>
                <w:b/>
                <w:sz w:val="20"/>
                <w:szCs w:val="20"/>
                <w:lang w:eastAsia="de-DE" w:bidi="pa-IN"/>
              </w:rPr>
              <w:t>on</w:t>
            </w:r>
            <w:r w:rsidR="00987AE4">
              <w:rPr>
                <w:rFonts w:ascii="Arial" w:eastAsia="Times New Roman" w:hAnsi="Arial" w:cs="Arial"/>
                <w:b/>
                <w:sz w:val="20"/>
                <w:szCs w:val="20"/>
                <w:lang w:eastAsia="de-DE" w:bidi="pa-IN"/>
              </w:rPr>
              <w:t xml:space="preserve"> the measure</w:t>
            </w:r>
          </w:p>
        </w:tc>
        <w:tc>
          <w:tcPr>
            <w:tcW w:w="6946" w:type="dxa"/>
            <w:shd w:val="clear" w:color="auto" w:fill="auto"/>
            <w:vAlign w:val="center"/>
          </w:tcPr>
          <w:p w14:paraId="1E8FCF4B" w14:textId="1E3DF38B" w:rsidR="004503D5" w:rsidRPr="002D1A6C" w:rsidRDefault="00301BB3" w:rsidP="006A7819">
            <w:pPr>
              <w:spacing w:before="240" w:after="100" w:line="300" w:lineRule="atLeast"/>
              <w:rPr>
                <w:rFonts w:ascii="Arial" w:hAnsi="Arial" w:cs="Arial"/>
                <w:sz w:val="20"/>
                <w:szCs w:val="20"/>
              </w:rPr>
            </w:pPr>
            <w:sdt>
              <w:sdtPr>
                <w:rPr>
                  <w:rFonts w:ascii="Arial" w:hAnsi="Arial" w:cs="Arial"/>
                  <w:sz w:val="20"/>
                  <w:szCs w:val="20"/>
                </w:rPr>
                <w:id w:val="714704325"/>
                <w:placeholder>
                  <w:docPart w:val="C88465883AB24265B0520FB20A34C2FF"/>
                </w:placeholder>
                <w:date w:fullDate="2024-12-06T00:00:00Z">
                  <w:dateFormat w:val="dd/MM/yyyy"/>
                  <w:lid w:val="en-GB"/>
                  <w:storeMappedDataAs w:val="dateTime"/>
                  <w:calendar w:val="gregorian"/>
                </w:date>
              </w:sdtPr>
              <w:sdtEndPr/>
              <w:sdtContent>
                <w:r w:rsidR="00A06C63">
                  <w:rPr>
                    <w:rFonts w:ascii="Arial" w:hAnsi="Arial" w:cs="Arial"/>
                    <w:sz w:val="20"/>
                    <w:szCs w:val="20"/>
                  </w:rPr>
                  <w:t>06/12/2024</w:t>
                </w:r>
              </w:sdtContent>
            </w:sdt>
          </w:p>
        </w:tc>
      </w:tr>
      <w:tr w:rsidR="00987AE4" w:rsidRPr="00EF5B30" w14:paraId="731867EE" w14:textId="77777777" w:rsidTr="00033412">
        <w:trPr>
          <w:trHeight w:val="1404"/>
        </w:trPr>
        <w:tc>
          <w:tcPr>
            <w:tcW w:w="2518" w:type="dxa"/>
            <w:shd w:val="clear" w:color="auto" w:fill="auto"/>
            <w:vAlign w:val="center"/>
          </w:tcPr>
          <w:p w14:paraId="4D8A7EE4" w14:textId="22B8D294" w:rsidR="00987AE4" w:rsidRPr="007E2820" w:rsidRDefault="00987AE4" w:rsidP="00033412">
            <w:pPr>
              <w:spacing w:after="100"/>
              <w:rPr>
                <w:rFonts w:ascii="Arial" w:eastAsia="Times New Roman" w:hAnsi="Arial" w:cs="Arial"/>
                <w:b/>
                <w:sz w:val="20"/>
                <w:szCs w:val="20"/>
                <w:lang w:eastAsia="de-DE" w:bidi="pa-IN"/>
              </w:rPr>
            </w:pPr>
            <w:permStart w:id="204419105" w:edGrp="everyone" w:colFirst="1" w:colLast="1"/>
            <w:permEnd w:id="22942737"/>
            <w:r w:rsidRPr="00EF5B30">
              <w:rPr>
                <w:rFonts w:ascii="Arial" w:eastAsia="Times New Roman" w:hAnsi="Arial" w:cs="Arial"/>
                <w:b/>
                <w:sz w:val="20"/>
                <w:szCs w:val="20"/>
                <w:lang w:eastAsia="de-DE" w:bidi="pa-IN"/>
              </w:rPr>
              <w:t>3.</w:t>
            </w:r>
            <w:r w:rsidR="00A736CB">
              <w:rPr>
                <w:rFonts w:ascii="Arial" w:eastAsia="Times New Roman" w:hAnsi="Arial" w:cs="Arial"/>
                <w:b/>
                <w:sz w:val="20"/>
                <w:szCs w:val="20"/>
                <w:lang w:eastAsia="de-DE" w:bidi="pa-IN"/>
              </w:rPr>
              <w:t>2</w:t>
            </w:r>
            <w:r w:rsidRPr="00EF5B30">
              <w:rPr>
                <w:rFonts w:ascii="Arial" w:eastAsia="Times New Roman" w:hAnsi="Arial" w:cs="Arial"/>
                <w:b/>
                <w:sz w:val="20"/>
                <w:szCs w:val="20"/>
                <w:lang w:eastAsia="de-DE" w:bidi="pa-IN"/>
              </w:rPr>
              <w:t xml:space="preserve"> Timing </w:t>
            </w:r>
            <w:r w:rsidR="009C1055">
              <w:rPr>
                <w:rFonts w:ascii="Arial" w:eastAsia="Times New Roman" w:hAnsi="Arial" w:cs="Arial"/>
                <w:b/>
                <w:sz w:val="20"/>
                <w:szCs w:val="20"/>
                <w:lang w:eastAsia="de-DE" w:bidi="pa-IN"/>
              </w:rPr>
              <w:t>for</w:t>
            </w:r>
            <w:r w:rsidRPr="00EF5B30">
              <w:rPr>
                <w:rFonts w:ascii="Arial" w:eastAsia="Times New Roman" w:hAnsi="Arial" w:cs="Arial"/>
                <w:b/>
                <w:sz w:val="20"/>
                <w:szCs w:val="20"/>
                <w:lang w:eastAsia="de-DE" w:bidi="pa-IN"/>
              </w:rPr>
              <w:t xml:space="preserve"> </w:t>
            </w:r>
            <w:r w:rsidR="00135E58">
              <w:rPr>
                <w:rFonts w:ascii="Arial" w:eastAsia="Times New Roman" w:hAnsi="Arial" w:cs="Arial"/>
                <w:b/>
                <w:sz w:val="20"/>
                <w:szCs w:val="20"/>
                <w:lang w:eastAsia="de-DE" w:bidi="pa-IN"/>
              </w:rPr>
              <w:t>p</w:t>
            </w:r>
            <w:r w:rsidRPr="00EF5B30">
              <w:rPr>
                <w:rFonts w:ascii="Arial" w:eastAsia="Times New Roman" w:hAnsi="Arial" w:cs="Arial"/>
                <w:b/>
                <w:sz w:val="20"/>
                <w:szCs w:val="20"/>
                <w:lang w:eastAsia="de-DE" w:bidi="pa-IN"/>
              </w:rPr>
              <w:t>ublication</w:t>
            </w:r>
          </w:p>
        </w:tc>
        <w:tc>
          <w:tcPr>
            <w:tcW w:w="6946" w:type="dxa"/>
            <w:shd w:val="clear" w:color="auto" w:fill="auto"/>
            <w:vAlign w:val="center"/>
          </w:tcPr>
          <w:p w14:paraId="5166E2D2" w14:textId="74ED5C2B" w:rsidR="002D096B" w:rsidRPr="0081205A" w:rsidRDefault="00301BB3" w:rsidP="002C61AF">
            <w:pPr>
              <w:spacing w:after="100" w:line="300" w:lineRule="atLeast"/>
              <w:contextualSpacing/>
              <w:rPr>
                <w:rFonts w:ascii="Arial" w:hAnsi="Arial" w:cs="Arial"/>
                <w:sz w:val="20"/>
                <w:szCs w:val="20"/>
              </w:rPr>
            </w:pPr>
            <w:sdt>
              <w:sdtPr>
                <w:rPr>
                  <w:rFonts w:ascii="Arial" w:hAnsi="Arial" w:cs="Arial"/>
                  <w:sz w:val="20"/>
                  <w:szCs w:val="20"/>
                </w:rPr>
                <w:id w:val="-1136633065"/>
                <w:placeholder>
                  <w:docPart w:val="B273B5A5F7BF4F039F4ECDFC0CD87503"/>
                </w:placeholder>
                <w:date w:fullDate="2024-12-06T00:00:00Z">
                  <w:dateFormat w:val="dd/MM/yyyy"/>
                  <w:lid w:val="en-GB"/>
                  <w:storeMappedDataAs w:val="dateTime"/>
                  <w:calendar w:val="gregorian"/>
                </w:date>
              </w:sdtPr>
              <w:sdtEndPr/>
              <w:sdtContent>
                <w:r w:rsidR="00A06C63">
                  <w:rPr>
                    <w:rFonts w:ascii="Arial" w:hAnsi="Arial" w:cs="Arial"/>
                    <w:sz w:val="20"/>
                    <w:szCs w:val="20"/>
                  </w:rPr>
                  <w:t>06/12/2024</w:t>
                </w:r>
              </w:sdtContent>
            </w:sdt>
          </w:p>
        </w:tc>
      </w:tr>
      <w:tr w:rsidR="00987AE4" w:rsidRPr="00EF5B30" w14:paraId="00C393E9" w14:textId="77777777" w:rsidTr="00033412">
        <w:trPr>
          <w:trHeight w:val="1060"/>
        </w:trPr>
        <w:tc>
          <w:tcPr>
            <w:tcW w:w="2518" w:type="dxa"/>
            <w:shd w:val="clear" w:color="auto" w:fill="auto"/>
            <w:vAlign w:val="center"/>
          </w:tcPr>
          <w:p w14:paraId="0A5806E8" w14:textId="5D32E2DB" w:rsidR="00987AE4" w:rsidRPr="007E2820" w:rsidRDefault="00987AE4" w:rsidP="00033412">
            <w:pPr>
              <w:spacing w:after="100"/>
              <w:rPr>
                <w:rFonts w:ascii="Arial" w:eastAsia="Times New Roman" w:hAnsi="Arial" w:cs="Arial"/>
                <w:b/>
                <w:sz w:val="20"/>
                <w:szCs w:val="20"/>
                <w:lang w:eastAsia="de-DE" w:bidi="pa-IN"/>
              </w:rPr>
            </w:pPr>
            <w:permStart w:id="1379606845" w:edGrp="everyone" w:colFirst="1" w:colLast="1"/>
            <w:permEnd w:id="204419105"/>
            <w:r w:rsidRPr="00EF5B30">
              <w:rPr>
                <w:rFonts w:ascii="Arial" w:eastAsia="Times New Roman" w:hAnsi="Arial" w:cs="Arial"/>
                <w:b/>
                <w:sz w:val="20"/>
                <w:szCs w:val="20"/>
                <w:lang w:eastAsia="de-DE" w:bidi="pa-IN"/>
              </w:rPr>
              <w:t>3.</w:t>
            </w:r>
            <w:r w:rsidR="00FC3247">
              <w:rPr>
                <w:rFonts w:ascii="Arial" w:eastAsia="Times New Roman" w:hAnsi="Arial" w:cs="Arial"/>
                <w:b/>
                <w:sz w:val="20"/>
                <w:szCs w:val="20"/>
                <w:lang w:eastAsia="de-DE" w:bidi="pa-IN"/>
              </w:rPr>
              <w:t>3</w:t>
            </w:r>
            <w:r w:rsidRPr="00EF5B30">
              <w:rPr>
                <w:rFonts w:ascii="Arial" w:eastAsia="Times New Roman" w:hAnsi="Arial" w:cs="Arial"/>
                <w:b/>
                <w:sz w:val="20"/>
                <w:szCs w:val="20"/>
                <w:lang w:eastAsia="de-DE" w:bidi="pa-IN"/>
              </w:rPr>
              <w:t xml:space="preserve"> Disclosure</w:t>
            </w:r>
          </w:p>
        </w:tc>
        <w:tc>
          <w:tcPr>
            <w:tcW w:w="6946" w:type="dxa"/>
            <w:shd w:val="clear" w:color="auto" w:fill="auto"/>
            <w:vAlign w:val="center"/>
          </w:tcPr>
          <w:p w14:paraId="1CA854A2" w14:textId="250B3C07" w:rsidR="00987AE4" w:rsidRPr="007E2820" w:rsidRDefault="00194616" w:rsidP="008E352D">
            <w:pPr>
              <w:spacing w:after="100"/>
              <w:rPr>
                <w:rFonts w:ascii="Arial" w:eastAsia="Times New Roman" w:hAnsi="Arial" w:cs="Arial"/>
                <w:sz w:val="20"/>
                <w:szCs w:val="20"/>
                <w:lang w:eastAsia="de-DE" w:bidi="pa-IN"/>
              </w:rPr>
            </w:pPr>
            <w:r w:rsidRPr="00194616">
              <w:rPr>
                <w:rFonts w:ascii="Arial" w:eastAsia="Times New Roman" w:hAnsi="Arial" w:cs="Arial"/>
                <w:sz w:val="20"/>
                <w:szCs w:val="20"/>
                <w:lang w:eastAsia="en-GB"/>
              </w:rPr>
              <w:t>The Ministry of Finance will publish this notification on the same day as it is submitted, as an attachment to a news item.</w:t>
            </w:r>
          </w:p>
        </w:tc>
      </w:tr>
      <w:tr w:rsidR="00987AE4" w:rsidRPr="00EF5B30" w14:paraId="32EC53C3" w14:textId="77777777" w:rsidTr="00033412">
        <w:trPr>
          <w:trHeight w:val="1060"/>
        </w:trPr>
        <w:tc>
          <w:tcPr>
            <w:tcW w:w="2518" w:type="dxa"/>
            <w:shd w:val="clear" w:color="auto" w:fill="auto"/>
            <w:vAlign w:val="center"/>
          </w:tcPr>
          <w:p w14:paraId="6A0E08F0" w14:textId="07DCD094" w:rsidR="00987AE4" w:rsidRPr="007E2820" w:rsidRDefault="00987AE4" w:rsidP="00033412">
            <w:pPr>
              <w:spacing w:after="100"/>
              <w:rPr>
                <w:rFonts w:ascii="Arial" w:eastAsia="Times New Roman" w:hAnsi="Arial" w:cs="Arial"/>
                <w:b/>
                <w:sz w:val="20"/>
                <w:szCs w:val="20"/>
                <w:lang w:eastAsia="de-DE" w:bidi="pa-IN"/>
              </w:rPr>
            </w:pPr>
            <w:permStart w:id="1306747675" w:edGrp="everyone" w:colFirst="1" w:colLast="1"/>
            <w:permEnd w:id="1379606845"/>
            <w:r w:rsidRPr="00EF5B30">
              <w:rPr>
                <w:rFonts w:ascii="Arial" w:eastAsia="Times New Roman" w:hAnsi="Arial" w:cs="Arial"/>
                <w:b/>
                <w:sz w:val="20"/>
                <w:szCs w:val="20"/>
                <w:lang w:eastAsia="de-DE" w:bidi="pa-IN"/>
              </w:rPr>
              <w:t>3.</w:t>
            </w:r>
            <w:r w:rsidR="00FC3247">
              <w:rPr>
                <w:rFonts w:ascii="Arial" w:eastAsia="Times New Roman" w:hAnsi="Arial" w:cs="Arial"/>
                <w:b/>
                <w:sz w:val="20"/>
                <w:szCs w:val="20"/>
                <w:lang w:eastAsia="de-DE" w:bidi="pa-IN"/>
              </w:rPr>
              <w:t>4</w:t>
            </w:r>
            <w:r w:rsidRPr="00EF5B30">
              <w:rPr>
                <w:rFonts w:ascii="Arial" w:eastAsia="Times New Roman" w:hAnsi="Arial" w:cs="Arial"/>
                <w:b/>
                <w:sz w:val="20"/>
                <w:szCs w:val="20"/>
                <w:lang w:eastAsia="de-DE" w:bidi="pa-IN"/>
              </w:rPr>
              <w:t xml:space="preserve"> </w:t>
            </w:r>
            <w:r w:rsidR="009C1055">
              <w:rPr>
                <w:rFonts w:ascii="Arial" w:eastAsia="Times New Roman" w:hAnsi="Arial" w:cs="Arial"/>
                <w:b/>
                <w:sz w:val="20"/>
                <w:szCs w:val="20"/>
                <w:lang w:eastAsia="de-DE" w:bidi="pa-IN"/>
              </w:rPr>
              <w:t>Timing for application</w:t>
            </w:r>
            <w:r w:rsidRPr="00EF5B30">
              <w:rPr>
                <w:rFonts w:ascii="Arial" w:eastAsia="Times New Roman" w:hAnsi="Arial" w:cs="Arial"/>
                <w:b/>
                <w:sz w:val="20"/>
                <w:szCs w:val="20"/>
                <w:lang w:eastAsia="de-DE" w:bidi="pa-IN"/>
              </w:rPr>
              <w:t xml:space="preserve"> </w:t>
            </w:r>
            <w:r w:rsidRPr="007E2820">
              <w:rPr>
                <w:rFonts w:ascii="Arial" w:eastAsia="Times New Roman" w:hAnsi="Arial" w:cs="Arial"/>
                <w:b/>
                <w:sz w:val="20"/>
                <w:szCs w:val="20"/>
                <w:lang w:eastAsia="de-DE" w:bidi="pa-IN"/>
              </w:rPr>
              <w:t>(Article 458(4)</w:t>
            </w:r>
            <w:r w:rsidR="00861947">
              <w:rPr>
                <w:rFonts w:ascii="Arial" w:eastAsia="Times New Roman" w:hAnsi="Arial" w:cs="Arial"/>
                <w:b/>
                <w:sz w:val="20"/>
                <w:szCs w:val="20"/>
                <w:lang w:eastAsia="de-DE" w:bidi="pa-IN"/>
              </w:rPr>
              <w:t xml:space="preserve"> </w:t>
            </w:r>
            <w:r w:rsidRPr="007E2820">
              <w:rPr>
                <w:rFonts w:ascii="Arial" w:eastAsia="Times New Roman" w:hAnsi="Arial" w:cs="Arial"/>
                <w:b/>
                <w:sz w:val="20"/>
                <w:szCs w:val="20"/>
                <w:lang w:eastAsia="de-DE" w:bidi="pa-IN"/>
              </w:rPr>
              <w:t>CRR)</w:t>
            </w:r>
          </w:p>
        </w:tc>
        <w:tc>
          <w:tcPr>
            <w:tcW w:w="6946" w:type="dxa"/>
            <w:shd w:val="clear" w:color="auto" w:fill="auto"/>
            <w:vAlign w:val="center"/>
          </w:tcPr>
          <w:p w14:paraId="59C6991A" w14:textId="79133B34" w:rsidR="00987AE4" w:rsidRPr="002C61AF" w:rsidRDefault="00301BB3" w:rsidP="002C61AF">
            <w:pPr>
              <w:spacing w:before="240" w:after="100" w:line="300" w:lineRule="atLeast"/>
              <w:contextualSpacing/>
              <w:rPr>
                <w:rFonts w:ascii="Arial" w:eastAsia="Times New Roman" w:hAnsi="Arial" w:cs="Arial"/>
                <w:sz w:val="20"/>
                <w:szCs w:val="20"/>
                <w:lang w:eastAsia="de-DE" w:bidi="pa-IN"/>
              </w:rPr>
            </w:pPr>
            <w:sdt>
              <w:sdtPr>
                <w:rPr>
                  <w:rFonts w:ascii="Arial" w:hAnsi="Arial" w:cs="Arial"/>
                  <w:sz w:val="20"/>
                  <w:szCs w:val="20"/>
                </w:rPr>
                <w:id w:val="648018132"/>
                <w:placeholder>
                  <w:docPart w:val="164500B82A324940AE91E407240F1B3B"/>
                </w:placeholder>
                <w:date w:fullDate="2024-12-31T00:00:00Z">
                  <w:dateFormat w:val="dd/MM/yyyy"/>
                  <w:lid w:val="en-GB"/>
                  <w:storeMappedDataAs w:val="dateTime"/>
                  <w:calendar w:val="gregorian"/>
                </w:date>
              </w:sdtPr>
              <w:sdtEndPr/>
              <w:sdtContent>
                <w:r w:rsidR="00194616">
                  <w:rPr>
                    <w:rFonts w:ascii="Arial" w:hAnsi="Arial" w:cs="Arial"/>
                    <w:sz w:val="20"/>
                    <w:szCs w:val="20"/>
                  </w:rPr>
                  <w:t>31/12/2024</w:t>
                </w:r>
              </w:sdtContent>
            </w:sdt>
            <w:r w:rsidR="00987AE4" w:rsidRPr="002C61AF">
              <w:rPr>
                <w:rFonts w:ascii="Arial" w:eastAsia="Times New Roman" w:hAnsi="Arial" w:cs="Arial"/>
                <w:sz w:val="20"/>
                <w:szCs w:val="20"/>
                <w:lang w:eastAsia="de-DE" w:bidi="pa-IN"/>
              </w:rPr>
              <w:t xml:space="preserve"> </w:t>
            </w:r>
          </w:p>
        </w:tc>
      </w:tr>
      <w:tr w:rsidR="00987AE4" w:rsidRPr="00D406C5" w14:paraId="206899B7" w14:textId="77777777" w:rsidTr="00033412">
        <w:trPr>
          <w:trHeight w:val="987"/>
        </w:trPr>
        <w:tc>
          <w:tcPr>
            <w:tcW w:w="2518" w:type="dxa"/>
            <w:shd w:val="clear" w:color="auto" w:fill="auto"/>
            <w:vAlign w:val="center"/>
          </w:tcPr>
          <w:p w14:paraId="2F562719" w14:textId="066D6552" w:rsidR="00987AE4" w:rsidRPr="00D406C5" w:rsidRDefault="002D096B" w:rsidP="00033412">
            <w:pPr>
              <w:spacing w:after="100"/>
              <w:rPr>
                <w:rFonts w:ascii="Arial" w:eastAsia="Times New Roman" w:hAnsi="Arial" w:cs="Arial"/>
                <w:b/>
                <w:sz w:val="20"/>
                <w:szCs w:val="20"/>
                <w:lang w:eastAsia="de-DE" w:bidi="pa-IN"/>
              </w:rPr>
            </w:pPr>
            <w:permStart w:id="505033798" w:edGrp="everyone" w:colFirst="1" w:colLast="1"/>
            <w:permEnd w:id="1306747675"/>
            <w:r>
              <w:rPr>
                <w:rFonts w:ascii="Arial" w:eastAsia="Times New Roman" w:hAnsi="Arial" w:cs="Arial"/>
                <w:b/>
                <w:sz w:val="20"/>
                <w:szCs w:val="20"/>
                <w:lang w:eastAsia="de-DE" w:bidi="pa-IN"/>
              </w:rPr>
              <w:t>3.</w:t>
            </w:r>
            <w:r w:rsidR="00FC3247">
              <w:rPr>
                <w:rFonts w:ascii="Arial" w:eastAsia="Times New Roman" w:hAnsi="Arial" w:cs="Arial"/>
                <w:b/>
                <w:sz w:val="20"/>
                <w:szCs w:val="20"/>
                <w:lang w:eastAsia="de-DE" w:bidi="pa-IN"/>
              </w:rPr>
              <w:t>5</w:t>
            </w:r>
            <w:r w:rsidR="00987AE4">
              <w:rPr>
                <w:rFonts w:ascii="Arial" w:eastAsia="Times New Roman" w:hAnsi="Arial" w:cs="Arial"/>
                <w:b/>
                <w:sz w:val="20"/>
                <w:szCs w:val="20"/>
                <w:lang w:eastAsia="de-DE" w:bidi="pa-IN"/>
              </w:rPr>
              <w:t xml:space="preserve"> </w:t>
            </w:r>
            <w:r w:rsidR="006A740A">
              <w:rPr>
                <w:rFonts w:ascii="Arial" w:eastAsia="Times New Roman" w:hAnsi="Arial" w:cs="Arial"/>
                <w:b/>
                <w:sz w:val="20"/>
                <w:szCs w:val="20"/>
                <w:lang w:eastAsia="de-DE" w:bidi="pa-IN"/>
              </w:rPr>
              <w:t>Duration</w:t>
            </w:r>
            <w:r w:rsidR="006A740A" w:rsidRPr="00D406C5">
              <w:rPr>
                <w:rFonts w:ascii="Arial" w:eastAsia="Times New Roman" w:hAnsi="Arial" w:cs="Arial"/>
                <w:b/>
                <w:sz w:val="20"/>
                <w:szCs w:val="20"/>
                <w:lang w:eastAsia="de-DE" w:bidi="pa-IN"/>
              </w:rPr>
              <w:t xml:space="preserve"> </w:t>
            </w:r>
            <w:r w:rsidR="00987AE4" w:rsidRPr="00D406C5">
              <w:rPr>
                <w:rFonts w:ascii="Arial" w:eastAsia="Times New Roman" w:hAnsi="Arial" w:cs="Arial"/>
                <w:b/>
                <w:sz w:val="20"/>
                <w:szCs w:val="20"/>
                <w:lang w:eastAsia="de-DE" w:bidi="pa-IN"/>
              </w:rPr>
              <w:t>of the measure</w:t>
            </w:r>
          </w:p>
          <w:p w14:paraId="1726B9F5" w14:textId="19EE0574" w:rsidR="00987AE4" w:rsidRPr="00D406C5" w:rsidRDefault="00987AE4" w:rsidP="00033412">
            <w:pPr>
              <w:spacing w:after="100"/>
              <w:rPr>
                <w:rFonts w:ascii="Arial" w:eastAsia="Times New Roman" w:hAnsi="Arial" w:cs="Arial"/>
                <w:b/>
                <w:sz w:val="20"/>
                <w:szCs w:val="20"/>
                <w:lang w:eastAsia="de-DE" w:bidi="pa-IN"/>
              </w:rPr>
            </w:pPr>
            <w:r>
              <w:rPr>
                <w:rFonts w:ascii="Arial" w:eastAsia="Times New Roman" w:hAnsi="Arial" w:cs="Arial"/>
                <w:b/>
                <w:sz w:val="20"/>
                <w:szCs w:val="20"/>
                <w:lang w:eastAsia="de-DE" w:bidi="pa-IN"/>
              </w:rPr>
              <w:t>(</w:t>
            </w:r>
            <w:r w:rsidRPr="00D406C5">
              <w:rPr>
                <w:rFonts w:ascii="Arial" w:eastAsia="Times New Roman" w:hAnsi="Arial" w:cs="Arial"/>
                <w:b/>
                <w:sz w:val="20"/>
                <w:szCs w:val="20"/>
                <w:lang w:eastAsia="de-DE" w:bidi="pa-IN"/>
              </w:rPr>
              <w:t>Article 458</w:t>
            </w:r>
            <w:r>
              <w:rPr>
                <w:rFonts w:ascii="Arial" w:eastAsia="Times New Roman" w:hAnsi="Arial" w:cs="Arial"/>
                <w:b/>
                <w:sz w:val="20"/>
                <w:szCs w:val="20"/>
                <w:lang w:eastAsia="de-DE" w:bidi="pa-IN"/>
              </w:rPr>
              <w:t>(</w:t>
            </w:r>
            <w:r w:rsidRPr="00D406C5">
              <w:rPr>
                <w:rFonts w:ascii="Arial" w:eastAsia="Times New Roman" w:hAnsi="Arial" w:cs="Arial"/>
                <w:b/>
                <w:sz w:val="20"/>
                <w:szCs w:val="20"/>
                <w:lang w:eastAsia="de-DE" w:bidi="pa-IN"/>
              </w:rPr>
              <w:t>4</w:t>
            </w:r>
            <w:r>
              <w:rPr>
                <w:rFonts w:ascii="Arial" w:eastAsia="Times New Roman" w:hAnsi="Arial" w:cs="Arial"/>
                <w:b/>
                <w:sz w:val="20"/>
                <w:szCs w:val="20"/>
                <w:lang w:eastAsia="de-DE" w:bidi="pa-IN"/>
              </w:rPr>
              <w:t>) CRR)</w:t>
            </w:r>
          </w:p>
        </w:tc>
        <w:tc>
          <w:tcPr>
            <w:tcW w:w="6946" w:type="dxa"/>
            <w:shd w:val="clear" w:color="auto" w:fill="auto"/>
            <w:vAlign w:val="center"/>
          </w:tcPr>
          <w:p w14:paraId="43B8B79B" w14:textId="78EA52F5" w:rsidR="00987AE4" w:rsidRPr="00D406C5" w:rsidRDefault="00194616" w:rsidP="00033412">
            <w:pPr>
              <w:spacing w:after="100"/>
              <w:rPr>
                <w:rFonts w:ascii="Arial" w:eastAsia="Times New Roman" w:hAnsi="Arial" w:cs="Arial"/>
                <w:sz w:val="20"/>
                <w:szCs w:val="20"/>
                <w:lang w:eastAsia="de-DE" w:bidi="pa-IN"/>
              </w:rPr>
            </w:pPr>
            <w:r w:rsidRPr="00194616">
              <w:rPr>
                <w:rFonts w:ascii="Arial" w:eastAsia="Times New Roman" w:hAnsi="Arial" w:cs="Arial"/>
                <w:sz w:val="20"/>
                <w:szCs w:val="20"/>
                <w:lang w:eastAsia="de-DE" w:bidi="pa-IN"/>
              </w:rPr>
              <w:t>The measure is intended to be in effect for a minimum of two years. The Ministry of Finance will assess the need to renew the measure well before the term would expire. After implementation of the measure, the Ministry will monitor and regularly assess risk developments and the need to amend the measure, including the need for deactivation before the term expires.</w:t>
            </w:r>
          </w:p>
        </w:tc>
      </w:tr>
      <w:tr w:rsidR="00987AE4" w:rsidRPr="00D406C5" w14:paraId="51FB2C8F" w14:textId="77777777" w:rsidTr="009D72BB">
        <w:trPr>
          <w:trHeight w:val="960"/>
        </w:trPr>
        <w:tc>
          <w:tcPr>
            <w:tcW w:w="2518" w:type="dxa"/>
            <w:shd w:val="clear" w:color="auto" w:fill="auto"/>
            <w:vAlign w:val="center"/>
          </w:tcPr>
          <w:p w14:paraId="796F3CFD" w14:textId="134732C6" w:rsidR="00987AE4" w:rsidRPr="00D406C5" w:rsidRDefault="00987AE4" w:rsidP="00033412">
            <w:pPr>
              <w:spacing w:after="100"/>
              <w:rPr>
                <w:rFonts w:ascii="Arial" w:eastAsia="Times New Roman" w:hAnsi="Arial" w:cs="Arial"/>
                <w:b/>
                <w:sz w:val="20"/>
                <w:szCs w:val="20"/>
                <w:lang w:eastAsia="de-DE" w:bidi="pa-IN"/>
              </w:rPr>
            </w:pPr>
            <w:permStart w:id="204540434" w:edGrp="everyone" w:colFirst="1" w:colLast="1"/>
            <w:permEnd w:id="505033798"/>
            <w:r w:rsidRPr="00D406C5">
              <w:rPr>
                <w:rFonts w:ascii="Arial" w:eastAsia="Times New Roman" w:hAnsi="Arial" w:cs="Arial"/>
                <w:b/>
                <w:sz w:val="20"/>
                <w:szCs w:val="20"/>
                <w:lang w:eastAsia="de-DE" w:bidi="pa-IN"/>
              </w:rPr>
              <w:t>3.</w:t>
            </w:r>
            <w:r w:rsidR="00FC3247">
              <w:rPr>
                <w:rFonts w:ascii="Arial" w:eastAsia="Times New Roman" w:hAnsi="Arial" w:cs="Arial"/>
                <w:b/>
                <w:sz w:val="20"/>
                <w:szCs w:val="20"/>
                <w:lang w:eastAsia="de-DE" w:bidi="pa-IN"/>
              </w:rPr>
              <w:t>6</w:t>
            </w:r>
            <w:r w:rsidRPr="00D406C5">
              <w:rPr>
                <w:rFonts w:ascii="Arial" w:eastAsia="Times New Roman" w:hAnsi="Arial" w:cs="Arial"/>
                <w:b/>
                <w:sz w:val="20"/>
                <w:szCs w:val="20"/>
                <w:lang w:eastAsia="de-DE" w:bidi="pa-IN"/>
              </w:rPr>
              <w:t xml:space="preserve"> Review</w:t>
            </w:r>
          </w:p>
          <w:p w14:paraId="3B83B8BC" w14:textId="5B53F2D4" w:rsidR="00987AE4" w:rsidRPr="00D406C5" w:rsidRDefault="00987AE4" w:rsidP="00033412">
            <w:pPr>
              <w:spacing w:after="100"/>
              <w:rPr>
                <w:rFonts w:ascii="Arial" w:eastAsia="Times New Roman" w:hAnsi="Arial" w:cs="Arial"/>
                <w:sz w:val="20"/>
                <w:szCs w:val="20"/>
                <w:lang w:eastAsia="de-DE" w:bidi="pa-IN"/>
              </w:rPr>
            </w:pPr>
            <w:r>
              <w:rPr>
                <w:rFonts w:ascii="Arial" w:eastAsia="Times New Roman" w:hAnsi="Arial" w:cs="Arial"/>
                <w:b/>
                <w:sz w:val="20"/>
                <w:szCs w:val="20"/>
                <w:lang w:eastAsia="de-DE" w:bidi="pa-IN"/>
              </w:rPr>
              <w:t>(</w:t>
            </w:r>
            <w:r w:rsidRPr="00D406C5">
              <w:rPr>
                <w:rFonts w:ascii="Arial" w:eastAsia="Times New Roman" w:hAnsi="Arial" w:cs="Arial"/>
                <w:b/>
                <w:sz w:val="20"/>
                <w:szCs w:val="20"/>
                <w:lang w:eastAsia="de-DE" w:bidi="pa-IN"/>
              </w:rPr>
              <w:t>Article 458</w:t>
            </w:r>
            <w:r>
              <w:rPr>
                <w:rFonts w:ascii="Arial" w:eastAsia="Times New Roman" w:hAnsi="Arial" w:cs="Arial"/>
                <w:b/>
                <w:sz w:val="20"/>
                <w:szCs w:val="20"/>
                <w:lang w:eastAsia="de-DE" w:bidi="pa-IN"/>
              </w:rPr>
              <w:t>(</w:t>
            </w:r>
            <w:r w:rsidRPr="00D406C5">
              <w:rPr>
                <w:rFonts w:ascii="Arial" w:eastAsia="Times New Roman" w:hAnsi="Arial" w:cs="Arial"/>
                <w:b/>
                <w:sz w:val="20"/>
                <w:szCs w:val="20"/>
                <w:lang w:eastAsia="de-DE" w:bidi="pa-IN"/>
              </w:rPr>
              <w:t>9</w:t>
            </w:r>
            <w:r>
              <w:rPr>
                <w:rFonts w:ascii="Arial" w:eastAsia="Times New Roman" w:hAnsi="Arial" w:cs="Arial"/>
                <w:b/>
                <w:sz w:val="20"/>
                <w:szCs w:val="20"/>
                <w:lang w:eastAsia="de-DE" w:bidi="pa-IN"/>
              </w:rPr>
              <w:t>) CRR)</w:t>
            </w:r>
          </w:p>
        </w:tc>
        <w:tc>
          <w:tcPr>
            <w:tcW w:w="6946" w:type="dxa"/>
            <w:shd w:val="clear" w:color="auto" w:fill="auto"/>
            <w:vAlign w:val="center"/>
          </w:tcPr>
          <w:p w14:paraId="4752E3D5" w14:textId="50E3BAA8" w:rsidR="00987AE4" w:rsidRPr="00D406C5" w:rsidRDefault="00BC19C9" w:rsidP="00033412">
            <w:pPr>
              <w:spacing w:after="100"/>
              <w:rPr>
                <w:rFonts w:ascii="Arial" w:eastAsia="Times New Roman" w:hAnsi="Arial" w:cs="Arial"/>
                <w:sz w:val="20"/>
                <w:szCs w:val="20"/>
                <w:lang w:eastAsia="de-DE" w:bidi="pa-IN"/>
              </w:rPr>
            </w:pPr>
            <w:r w:rsidRPr="00BC19C9">
              <w:rPr>
                <w:rFonts w:ascii="Arial" w:eastAsia="Times New Roman" w:hAnsi="Arial" w:cs="Arial"/>
                <w:sz w:val="20"/>
                <w:szCs w:val="20"/>
                <w:lang w:eastAsia="de-DE" w:bidi="pa-IN"/>
              </w:rPr>
              <w:t xml:space="preserve">The appropriateness of the measure will be assessed regularly, and the measure will be reviewed with a view to renew or deactivate it well in advance of the expiration of the </w:t>
            </w:r>
            <w:r w:rsidR="00F22803">
              <w:rPr>
                <w:rFonts w:ascii="Arial" w:eastAsia="Times New Roman" w:hAnsi="Arial" w:cs="Arial"/>
                <w:sz w:val="20"/>
                <w:szCs w:val="20"/>
                <w:lang w:eastAsia="de-DE" w:bidi="pa-IN"/>
              </w:rPr>
              <w:t>two</w:t>
            </w:r>
            <w:r w:rsidRPr="00BC19C9">
              <w:rPr>
                <w:rFonts w:ascii="Arial" w:eastAsia="Times New Roman" w:hAnsi="Arial" w:cs="Arial"/>
                <w:sz w:val="20"/>
                <w:szCs w:val="20"/>
                <w:lang w:eastAsia="de-DE" w:bidi="pa-IN"/>
              </w:rPr>
              <w:t xml:space="preserve"> year-term.</w:t>
            </w:r>
          </w:p>
        </w:tc>
      </w:tr>
      <w:tr w:rsidR="00466311" w:rsidRPr="00D406C5" w14:paraId="2DD7B9B2" w14:textId="77777777" w:rsidTr="00033412">
        <w:trPr>
          <w:trHeight w:val="561"/>
        </w:trPr>
        <w:tc>
          <w:tcPr>
            <w:tcW w:w="9464" w:type="dxa"/>
            <w:gridSpan w:val="2"/>
            <w:shd w:val="clear" w:color="auto" w:fill="BFBFBF"/>
            <w:vAlign w:val="center"/>
          </w:tcPr>
          <w:p w14:paraId="2BE93D0C" w14:textId="4B3679AE" w:rsidR="00466311" w:rsidRPr="00D406C5" w:rsidRDefault="00466311" w:rsidP="001048DB">
            <w:pPr>
              <w:keepNext/>
              <w:numPr>
                <w:ilvl w:val="0"/>
                <w:numId w:val="5"/>
              </w:numPr>
              <w:spacing w:after="0" w:line="240" w:lineRule="auto"/>
              <w:contextualSpacing/>
              <w:rPr>
                <w:rFonts w:ascii="Arial" w:hAnsi="Arial" w:cs="Arial"/>
                <w:b/>
                <w:sz w:val="20"/>
                <w:szCs w:val="20"/>
              </w:rPr>
            </w:pPr>
            <w:r>
              <w:rPr>
                <w:rFonts w:ascii="Arial" w:hAnsi="Arial" w:cs="Arial"/>
                <w:b/>
                <w:sz w:val="20"/>
                <w:szCs w:val="20"/>
              </w:rPr>
              <w:lastRenderedPageBreak/>
              <w:t>R</w:t>
            </w:r>
            <w:permEnd w:id="204540434"/>
            <w:r>
              <w:rPr>
                <w:rFonts w:ascii="Arial" w:hAnsi="Arial" w:cs="Arial"/>
                <w:b/>
                <w:sz w:val="20"/>
                <w:szCs w:val="20"/>
              </w:rPr>
              <w:t>eason for the activation of the stricter national measure</w:t>
            </w:r>
          </w:p>
        </w:tc>
      </w:tr>
      <w:tr w:rsidR="00466311" w:rsidRPr="00D406C5" w14:paraId="288B8C23" w14:textId="77777777" w:rsidTr="009D72BB">
        <w:trPr>
          <w:trHeight w:val="2954"/>
        </w:trPr>
        <w:tc>
          <w:tcPr>
            <w:tcW w:w="2518" w:type="dxa"/>
            <w:shd w:val="clear" w:color="auto" w:fill="auto"/>
            <w:vAlign w:val="center"/>
          </w:tcPr>
          <w:p w14:paraId="47FBAE51" w14:textId="5A2C41F2" w:rsidR="00466311" w:rsidRPr="00D406C5" w:rsidRDefault="00466311" w:rsidP="00466311">
            <w:pPr>
              <w:spacing w:after="100"/>
              <w:rPr>
                <w:rFonts w:ascii="Arial" w:eastAsia="Times New Roman" w:hAnsi="Arial" w:cs="Arial"/>
                <w:b/>
                <w:sz w:val="20"/>
                <w:szCs w:val="20"/>
                <w:lang w:eastAsia="de-DE" w:bidi="pa-IN"/>
              </w:rPr>
            </w:pPr>
            <w:permStart w:id="1713722883" w:edGrp="everyone" w:colFirst="1" w:colLast="1"/>
            <w:r>
              <w:rPr>
                <w:rFonts w:ascii="Arial" w:eastAsia="Times New Roman" w:hAnsi="Arial" w:cs="Arial"/>
                <w:b/>
                <w:sz w:val="20"/>
                <w:szCs w:val="20"/>
                <w:lang w:eastAsia="de-DE" w:bidi="pa-IN"/>
              </w:rPr>
              <w:t>4</w:t>
            </w:r>
            <w:r w:rsidRPr="00D406C5">
              <w:rPr>
                <w:rFonts w:ascii="Arial" w:eastAsia="Times New Roman" w:hAnsi="Arial" w:cs="Arial"/>
                <w:b/>
                <w:sz w:val="20"/>
                <w:szCs w:val="20"/>
                <w:lang w:eastAsia="de-DE" w:bidi="pa-IN"/>
              </w:rPr>
              <w:t xml:space="preserve">.1 Description of </w:t>
            </w:r>
            <w:r>
              <w:rPr>
                <w:rFonts w:ascii="Arial" w:eastAsia="Times New Roman" w:hAnsi="Arial" w:cs="Arial"/>
                <w:b/>
                <w:sz w:val="20"/>
                <w:szCs w:val="20"/>
                <w:lang w:eastAsia="de-DE" w:bidi="pa-IN"/>
              </w:rPr>
              <w:t xml:space="preserve">the </w:t>
            </w:r>
            <w:r w:rsidRPr="00D406C5">
              <w:rPr>
                <w:rFonts w:ascii="Arial" w:eastAsia="Times New Roman" w:hAnsi="Arial" w:cs="Arial"/>
                <w:b/>
                <w:sz w:val="20"/>
                <w:szCs w:val="20"/>
                <w:lang w:eastAsia="de-DE" w:bidi="pa-IN"/>
              </w:rPr>
              <w:t>macroprudential or systemic risk in the financial system</w:t>
            </w:r>
          </w:p>
          <w:p w14:paraId="1D5B2C4D" w14:textId="0FB2D1EE" w:rsidR="00466311" w:rsidRPr="00D406C5" w:rsidRDefault="00466311" w:rsidP="00466311">
            <w:pPr>
              <w:spacing w:after="100"/>
              <w:rPr>
                <w:rFonts w:ascii="Arial" w:eastAsia="Times New Roman" w:hAnsi="Arial" w:cs="Arial"/>
                <w:b/>
                <w:sz w:val="20"/>
                <w:szCs w:val="20"/>
                <w:lang w:eastAsia="de-DE" w:bidi="pa-IN"/>
              </w:rPr>
            </w:pPr>
            <w:r>
              <w:rPr>
                <w:rFonts w:ascii="Arial" w:eastAsia="Times New Roman" w:hAnsi="Arial" w:cs="Arial"/>
                <w:b/>
                <w:sz w:val="20"/>
                <w:szCs w:val="20"/>
                <w:lang w:eastAsia="de-DE" w:bidi="pa-IN"/>
              </w:rPr>
              <w:t>(</w:t>
            </w:r>
            <w:r w:rsidRPr="00D406C5">
              <w:rPr>
                <w:rFonts w:ascii="Arial" w:eastAsia="Times New Roman" w:hAnsi="Arial" w:cs="Arial"/>
                <w:b/>
                <w:sz w:val="20"/>
                <w:szCs w:val="20"/>
                <w:lang w:eastAsia="de-DE" w:bidi="pa-IN"/>
              </w:rPr>
              <w:t>Article 458</w:t>
            </w:r>
            <w:r>
              <w:rPr>
                <w:rFonts w:ascii="Arial" w:eastAsia="Times New Roman" w:hAnsi="Arial" w:cs="Arial"/>
                <w:b/>
                <w:sz w:val="20"/>
                <w:szCs w:val="20"/>
                <w:lang w:eastAsia="de-DE" w:bidi="pa-IN"/>
              </w:rPr>
              <w:t>(</w:t>
            </w:r>
            <w:r w:rsidRPr="00D406C5">
              <w:rPr>
                <w:rFonts w:ascii="Arial" w:eastAsia="Times New Roman" w:hAnsi="Arial" w:cs="Arial"/>
                <w:b/>
                <w:sz w:val="20"/>
                <w:szCs w:val="20"/>
                <w:lang w:eastAsia="de-DE" w:bidi="pa-IN"/>
              </w:rPr>
              <w:t>2</w:t>
            </w:r>
            <w:r>
              <w:rPr>
                <w:rFonts w:ascii="Arial" w:eastAsia="Times New Roman" w:hAnsi="Arial" w:cs="Arial"/>
                <w:b/>
                <w:sz w:val="20"/>
                <w:szCs w:val="20"/>
                <w:lang w:eastAsia="de-DE" w:bidi="pa-IN"/>
              </w:rPr>
              <w:t>)</w:t>
            </w:r>
            <w:r w:rsidRPr="00D406C5">
              <w:rPr>
                <w:rFonts w:ascii="Arial" w:eastAsia="Times New Roman" w:hAnsi="Arial" w:cs="Arial"/>
                <w:b/>
                <w:sz w:val="20"/>
                <w:szCs w:val="20"/>
                <w:lang w:eastAsia="de-DE" w:bidi="pa-IN"/>
              </w:rPr>
              <w:t>(a)</w:t>
            </w:r>
            <w:r>
              <w:rPr>
                <w:rFonts w:ascii="Arial" w:eastAsia="Times New Roman" w:hAnsi="Arial" w:cs="Arial"/>
                <w:b/>
                <w:sz w:val="20"/>
                <w:szCs w:val="20"/>
                <w:lang w:eastAsia="de-DE" w:bidi="pa-IN"/>
              </w:rPr>
              <w:t xml:space="preserve"> CRR)</w:t>
            </w:r>
          </w:p>
        </w:tc>
        <w:tc>
          <w:tcPr>
            <w:tcW w:w="6946" w:type="dxa"/>
            <w:shd w:val="clear" w:color="auto" w:fill="auto"/>
            <w:vAlign w:val="center"/>
          </w:tcPr>
          <w:p w14:paraId="04FFAFA8" w14:textId="1056B5C8" w:rsidR="008C4FCA" w:rsidRPr="008C4FCA" w:rsidRDefault="008C4FCA" w:rsidP="00893955">
            <w:pPr>
              <w:spacing w:before="240"/>
              <w:contextualSpacing/>
              <w:rPr>
                <w:rFonts w:ascii="Arial" w:eastAsia="Times New Roman" w:hAnsi="Arial" w:cs="Arial"/>
                <w:b/>
                <w:bCs/>
                <w:sz w:val="20"/>
                <w:szCs w:val="20"/>
                <w:lang w:eastAsia="de-DE" w:bidi="pa-IN"/>
              </w:rPr>
            </w:pPr>
            <w:r w:rsidRPr="008C4FCA">
              <w:rPr>
                <w:rFonts w:ascii="Arial" w:eastAsia="Times New Roman" w:hAnsi="Arial" w:cs="Arial"/>
                <w:b/>
                <w:bCs/>
                <w:sz w:val="20"/>
                <w:szCs w:val="20"/>
                <w:lang w:eastAsia="de-DE" w:bidi="pa-IN"/>
              </w:rPr>
              <w:t xml:space="preserve">Overview </w:t>
            </w:r>
          </w:p>
          <w:p w14:paraId="528F5F03" w14:textId="3B95FD2D" w:rsidR="0050271B" w:rsidRDefault="008C4FCA" w:rsidP="00893955">
            <w:pPr>
              <w:spacing w:before="240"/>
              <w:contextualSpacing/>
              <w:rPr>
                <w:rFonts w:ascii="Arial" w:eastAsia="Times New Roman" w:hAnsi="Arial" w:cs="Arial"/>
                <w:sz w:val="20"/>
                <w:szCs w:val="20"/>
                <w:lang w:eastAsia="de-DE" w:bidi="pa-IN"/>
              </w:rPr>
            </w:pPr>
            <w:r w:rsidRPr="008C4FCA">
              <w:rPr>
                <w:rFonts w:ascii="Arial" w:eastAsia="Times New Roman" w:hAnsi="Arial" w:cs="Arial"/>
                <w:sz w:val="20"/>
                <w:szCs w:val="20"/>
                <w:lang w:eastAsia="de-DE" w:bidi="pa-IN"/>
              </w:rPr>
              <w:t xml:space="preserve">The key vulnerabilities in the financial system in Norway are high household debt, high housing prices and high commercial property prices. Residential real estate and commercial real estate represent the two largest lending segments for Norwegian institutions, and combined they constitute more than ¾ of the institutions’ lending. The significant and prolonged increase in real estate prices and household debt have led to a build-up of financial imbalances, and an increase of systemic risk related to credit institutions’ real estate exposures in Norway. </w:t>
            </w:r>
          </w:p>
          <w:p w14:paraId="1EBF7D99" w14:textId="77777777" w:rsidR="00D65E56" w:rsidRDefault="00D65E56" w:rsidP="00893955">
            <w:pPr>
              <w:spacing w:before="240"/>
              <w:contextualSpacing/>
              <w:rPr>
                <w:rFonts w:ascii="Arial" w:eastAsia="Times New Roman" w:hAnsi="Arial" w:cs="Arial"/>
                <w:sz w:val="20"/>
                <w:szCs w:val="20"/>
                <w:lang w:eastAsia="de-DE" w:bidi="pa-IN"/>
              </w:rPr>
            </w:pPr>
          </w:p>
          <w:p w14:paraId="250B42D7" w14:textId="0423C82D" w:rsidR="008C4FCA" w:rsidRDefault="008C4FCA" w:rsidP="00893955">
            <w:pPr>
              <w:spacing w:before="240"/>
              <w:contextualSpacing/>
              <w:rPr>
                <w:rFonts w:ascii="Arial" w:eastAsia="Times New Roman" w:hAnsi="Arial" w:cs="Arial"/>
                <w:sz w:val="20"/>
                <w:szCs w:val="20"/>
                <w:lang w:eastAsia="de-DE" w:bidi="pa-IN"/>
              </w:rPr>
            </w:pPr>
            <w:proofErr w:type="spellStart"/>
            <w:r w:rsidRPr="008C4FCA">
              <w:rPr>
                <w:rFonts w:ascii="Arial" w:eastAsia="Times New Roman" w:hAnsi="Arial" w:cs="Arial"/>
                <w:sz w:val="20"/>
                <w:szCs w:val="20"/>
                <w:lang w:eastAsia="de-DE" w:bidi="pa-IN"/>
              </w:rPr>
              <w:t>Finanstilsynet</w:t>
            </w:r>
            <w:proofErr w:type="spellEnd"/>
            <w:r w:rsidRPr="008C4FCA">
              <w:rPr>
                <w:rFonts w:ascii="Arial" w:eastAsia="Times New Roman" w:hAnsi="Arial" w:cs="Arial"/>
                <w:sz w:val="20"/>
                <w:szCs w:val="20"/>
                <w:lang w:eastAsia="de-DE" w:bidi="pa-IN"/>
              </w:rPr>
              <w:t xml:space="preserve"> and </w:t>
            </w:r>
            <w:proofErr w:type="spellStart"/>
            <w:r w:rsidRPr="008C4FCA">
              <w:rPr>
                <w:rFonts w:ascii="Arial" w:eastAsia="Times New Roman" w:hAnsi="Arial" w:cs="Arial"/>
                <w:sz w:val="20"/>
                <w:szCs w:val="20"/>
                <w:lang w:eastAsia="de-DE" w:bidi="pa-IN"/>
              </w:rPr>
              <w:t>Norges</w:t>
            </w:r>
            <w:proofErr w:type="spellEnd"/>
            <w:r w:rsidRPr="008C4FCA">
              <w:rPr>
                <w:rFonts w:ascii="Arial" w:eastAsia="Times New Roman" w:hAnsi="Arial" w:cs="Arial"/>
                <w:sz w:val="20"/>
                <w:szCs w:val="20"/>
                <w:lang w:eastAsia="de-DE" w:bidi="pa-IN"/>
              </w:rPr>
              <w:t xml:space="preserve"> Bank regularly carry out analyses of systemic risks in Norway. The evidence presented in this notification is based on these authorities’ latest risk reports</w:t>
            </w:r>
            <w:r w:rsidR="00FC791A">
              <w:rPr>
                <w:rFonts w:ascii="Arial" w:eastAsia="Times New Roman" w:hAnsi="Arial" w:cs="Arial"/>
                <w:sz w:val="20"/>
                <w:szCs w:val="20"/>
                <w:lang w:eastAsia="de-DE" w:bidi="pa-IN"/>
              </w:rPr>
              <w:t>.</w:t>
            </w:r>
            <w:r w:rsidR="00FC791A">
              <w:rPr>
                <w:rStyle w:val="Fotnotereferanse"/>
                <w:rFonts w:ascii="Arial" w:eastAsia="Times New Roman" w:hAnsi="Arial" w:cs="Arial"/>
                <w:sz w:val="20"/>
                <w:szCs w:val="20"/>
                <w:lang w:eastAsia="de-DE" w:bidi="pa-IN"/>
              </w:rPr>
              <w:footnoteReference w:id="5"/>
            </w:r>
          </w:p>
          <w:p w14:paraId="202BE40F" w14:textId="77777777" w:rsidR="00D65E56" w:rsidRPr="00D65E56" w:rsidRDefault="00D65E56" w:rsidP="00893955">
            <w:pPr>
              <w:spacing w:before="240"/>
              <w:contextualSpacing/>
              <w:rPr>
                <w:rFonts w:ascii="Arial" w:eastAsia="Times New Roman" w:hAnsi="Arial" w:cs="Arial"/>
                <w:sz w:val="20"/>
                <w:szCs w:val="20"/>
                <w:lang w:eastAsia="de-DE" w:bidi="pa-IN"/>
              </w:rPr>
            </w:pPr>
          </w:p>
          <w:p w14:paraId="554904B3" w14:textId="77777777" w:rsidR="005535EB" w:rsidRPr="005535EB" w:rsidRDefault="005535EB" w:rsidP="00893955">
            <w:pPr>
              <w:spacing w:before="240"/>
              <w:contextualSpacing/>
              <w:rPr>
                <w:rFonts w:ascii="Arial" w:hAnsi="Arial" w:cs="Arial"/>
                <w:b/>
                <w:bCs/>
                <w:sz w:val="20"/>
                <w:szCs w:val="20"/>
              </w:rPr>
            </w:pPr>
            <w:r w:rsidRPr="005535EB">
              <w:rPr>
                <w:rFonts w:ascii="Arial" w:hAnsi="Arial" w:cs="Arial"/>
                <w:b/>
                <w:bCs/>
                <w:sz w:val="20"/>
                <w:szCs w:val="20"/>
              </w:rPr>
              <w:t xml:space="preserve">Risk stemming from the commercial property </w:t>
            </w:r>
            <w:proofErr w:type="gramStart"/>
            <w:r w:rsidRPr="005535EB">
              <w:rPr>
                <w:rFonts w:ascii="Arial" w:hAnsi="Arial" w:cs="Arial"/>
                <w:b/>
                <w:bCs/>
                <w:sz w:val="20"/>
                <w:szCs w:val="20"/>
              </w:rPr>
              <w:t>market</w:t>
            </w:r>
            <w:proofErr w:type="gramEnd"/>
            <w:r w:rsidRPr="005535EB">
              <w:rPr>
                <w:rFonts w:ascii="Arial" w:hAnsi="Arial" w:cs="Arial"/>
                <w:b/>
                <w:bCs/>
                <w:sz w:val="20"/>
                <w:szCs w:val="20"/>
              </w:rPr>
              <w:t xml:space="preserve"> </w:t>
            </w:r>
          </w:p>
          <w:p w14:paraId="0CDC4467" w14:textId="77777777" w:rsidR="00792C1A" w:rsidRDefault="005535EB" w:rsidP="00893955">
            <w:pPr>
              <w:spacing w:before="240"/>
              <w:contextualSpacing/>
              <w:rPr>
                <w:rFonts w:ascii="Arial" w:hAnsi="Arial" w:cs="Arial"/>
                <w:sz w:val="20"/>
                <w:szCs w:val="20"/>
              </w:rPr>
            </w:pPr>
            <w:r w:rsidRPr="005535EB">
              <w:rPr>
                <w:rFonts w:ascii="Arial" w:hAnsi="Arial" w:cs="Arial"/>
                <w:sz w:val="20"/>
                <w:szCs w:val="20"/>
              </w:rPr>
              <w:t xml:space="preserve">The prices of commercial properties, especially high-quality properties at prime locations in Oslo, have risen significantly over several years. Given their high share of lending to CRE companies, this has contributed to higher vulnerabilities for credit institutions in Norway. In the past, prices of commercial property have proven to be more cyclically sensitive than house prices. </w:t>
            </w:r>
            <w:r w:rsidR="00792C1A" w:rsidRPr="00792C1A">
              <w:rPr>
                <w:rFonts w:ascii="Arial" w:hAnsi="Arial" w:cs="Arial"/>
                <w:sz w:val="20"/>
                <w:szCs w:val="20"/>
              </w:rPr>
              <w:t xml:space="preserve">Owing to higher interest rates, commercial property prices have fallen over the past two years. As of November 2024, </w:t>
            </w:r>
            <w:proofErr w:type="spellStart"/>
            <w:r w:rsidR="00792C1A" w:rsidRPr="00792C1A">
              <w:rPr>
                <w:rFonts w:ascii="Arial" w:hAnsi="Arial" w:cs="Arial"/>
                <w:sz w:val="20"/>
                <w:szCs w:val="20"/>
              </w:rPr>
              <w:t>Norges</w:t>
            </w:r>
            <w:proofErr w:type="spellEnd"/>
            <w:r w:rsidR="00792C1A" w:rsidRPr="00792C1A">
              <w:rPr>
                <w:rFonts w:ascii="Arial" w:hAnsi="Arial" w:cs="Arial"/>
                <w:sz w:val="20"/>
                <w:szCs w:val="20"/>
              </w:rPr>
              <w:t xml:space="preserve"> Bank found that estimated selling prices for prime office space in Oslo had levelled off, at a level comparable to the 2020-level</w:t>
            </w:r>
            <w:r w:rsidR="00792C1A">
              <w:rPr>
                <w:rFonts w:ascii="Arial" w:hAnsi="Arial" w:cs="Arial"/>
                <w:sz w:val="20"/>
                <w:szCs w:val="20"/>
              </w:rPr>
              <w:t>.</w:t>
            </w:r>
            <w:r w:rsidR="00792C1A">
              <w:rPr>
                <w:rStyle w:val="Fotnotereferanse"/>
                <w:rFonts w:ascii="Arial" w:hAnsi="Arial" w:cs="Arial"/>
                <w:sz w:val="20"/>
                <w:szCs w:val="20"/>
              </w:rPr>
              <w:footnoteReference w:id="6"/>
            </w:r>
          </w:p>
          <w:p w14:paraId="140087B8" w14:textId="77777777" w:rsidR="00792C1A" w:rsidRDefault="00792C1A" w:rsidP="00893955">
            <w:pPr>
              <w:spacing w:before="240"/>
              <w:contextualSpacing/>
              <w:rPr>
                <w:rFonts w:ascii="Arial" w:hAnsi="Arial" w:cs="Arial"/>
                <w:sz w:val="20"/>
                <w:szCs w:val="20"/>
              </w:rPr>
            </w:pPr>
          </w:p>
          <w:p w14:paraId="7D687C1E" w14:textId="77777777" w:rsidR="00792C1A" w:rsidRDefault="00792C1A" w:rsidP="00893955">
            <w:pPr>
              <w:spacing w:before="240"/>
              <w:contextualSpacing/>
              <w:rPr>
                <w:rFonts w:ascii="Arial" w:hAnsi="Arial" w:cs="Arial"/>
                <w:sz w:val="20"/>
                <w:szCs w:val="20"/>
              </w:rPr>
            </w:pPr>
            <w:r w:rsidRPr="00792C1A">
              <w:rPr>
                <w:rFonts w:ascii="Arial" w:hAnsi="Arial" w:cs="Arial"/>
                <w:sz w:val="20"/>
                <w:szCs w:val="20"/>
              </w:rPr>
              <w:t>The interest expenses of CRE companies have generally risen more than operating earnings over the last couple of years. This has impaired their debt servicing capacity, and the proportion of high-risk debt has increased sharply. The estimated direct yield on offices in the most attractive areas of Oslo has shown an increase, though it is clearly lower than the increase in yield on government bonds. If the yield on secure government bonds remains high, the proportion of high-risk debt may increase further if the risk premium is normalised. The IMF points out that firms, especially those with significant debt and large rollover needs in the coming years, face the challenge of refinancing their obligations under tight credit conditions, while asset valuations remain under downward pressure.</w:t>
            </w:r>
            <w:r>
              <w:rPr>
                <w:rStyle w:val="Fotnotereferanse"/>
                <w:rFonts w:ascii="Arial" w:hAnsi="Arial" w:cs="Arial"/>
                <w:sz w:val="20"/>
                <w:szCs w:val="20"/>
              </w:rPr>
              <w:footnoteReference w:id="7"/>
            </w:r>
          </w:p>
          <w:p w14:paraId="253D7467" w14:textId="77777777" w:rsidR="00792C1A" w:rsidRDefault="00792C1A" w:rsidP="00893955">
            <w:pPr>
              <w:spacing w:before="240"/>
              <w:contextualSpacing/>
              <w:rPr>
                <w:rFonts w:ascii="Arial" w:hAnsi="Arial" w:cs="Arial"/>
                <w:sz w:val="20"/>
                <w:szCs w:val="20"/>
              </w:rPr>
            </w:pPr>
          </w:p>
          <w:p w14:paraId="3A91E23C" w14:textId="77777777" w:rsidR="00D42230" w:rsidRDefault="00792C1A" w:rsidP="00893955">
            <w:pPr>
              <w:spacing w:before="240"/>
              <w:contextualSpacing/>
              <w:rPr>
                <w:rFonts w:ascii="Arial" w:hAnsi="Arial" w:cs="Arial"/>
                <w:sz w:val="20"/>
                <w:szCs w:val="20"/>
              </w:rPr>
            </w:pPr>
            <w:r w:rsidRPr="00792C1A">
              <w:rPr>
                <w:rFonts w:ascii="Arial" w:hAnsi="Arial" w:cs="Arial"/>
                <w:sz w:val="20"/>
                <w:szCs w:val="20"/>
              </w:rPr>
              <w:t xml:space="preserve">The transaction volume in the commercial real estate market has been low throughout 2023 and 2024 compared to the preceding years, making valuations challenging. High interest rates and reduced demand for office space could mean that properties must be sold at prices below book value. For less attractive properties, there may be few or no investors willing to inject new equity or buy the property. Most loans (volume weighted) from </w:t>
            </w:r>
            <w:r w:rsidRPr="00792C1A">
              <w:rPr>
                <w:rFonts w:ascii="Arial" w:hAnsi="Arial" w:cs="Arial"/>
                <w:sz w:val="20"/>
                <w:szCs w:val="20"/>
              </w:rPr>
              <w:lastRenderedPageBreak/>
              <w:t>Norwegian banks to CRE companies are collateralized by property in less central areas.</w:t>
            </w:r>
          </w:p>
          <w:p w14:paraId="3F2C7B86" w14:textId="7D9E429A" w:rsidR="00943C87" w:rsidRPr="00D406C5" w:rsidRDefault="00943C87" w:rsidP="00893955">
            <w:pPr>
              <w:spacing w:before="240"/>
              <w:contextualSpacing/>
              <w:rPr>
                <w:rFonts w:ascii="Arial" w:hAnsi="Arial" w:cs="Arial"/>
                <w:sz w:val="20"/>
                <w:szCs w:val="20"/>
              </w:rPr>
            </w:pPr>
            <w:r w:rsidRPr="00943C87">
              <w:rPr>
                <w:rFonts w:ascii="Arial" w:hAnsi="Arial" w:cs="Arial"/>
                <w:sz w:val="20"/>
                <w:szCs w:val="20"/>
              </w:rPr>
              <w:t xml:space="preserve">Risks related to Norwegian commercial real estate markets are analysed in detail in a report from Finanstilsynet from June </w:t>
            </w:r>
            <w:r w:rsidR="00D42230">
              <w:rPr>
                <w:rFonts w:ascii="Arial" w:hAnsi="Arial" w:cs="Arial"/>
                <w:sz w:val="20"/>
                <w:szCs w:val="20"/>
              </w:rPr>
              <w:t>2024</w:t>
            </w:r>
            <w:r w:rsidRPr="00943C87">
              <w:rPr>
                <w:rFonts w:ascii="Arial" w:hAnsi="Arial" w:cs="Arial"/>
                <w:sz w:val="20"/>
                <w:szCs w:val="20"/>
              </w:rPr>
              <w:t>.</w:t>
            </w:r>
            <w:r w:rsidR="00D42230">
              <w:rPr>
                <w:rStyle w:val="Fotnotereferanse"/>
                <w:rFonts w:ascii="Arial" w:hAnsi="Arial" w:cs="Arial"/>
                <w:sz w:val="20"/>
                <w:szCs w:val="20"/>
              </w:rPr>
              <w:footnoteReference w:id="8"/>
            </w:r>
          </w:p>
        </w:tc>
      </w:tr>
      <w:tr w:rsidR="00466311" w:rsidRPr="00D406C5" w14:paraId="500D3DAC" w14:textId="77777777" w:rsidTr="0094109D">
        <w:trPr>
          <w:trHeight w:val="557"/>
        </w:trPr>
        <w:tc>
          <w:tcPr>
            <w:tcW w:w="2518" w:type="dxa"/>
            <w:shd w:val="clear" w:color="auto" w:fill="auto"/>
            <w:vAlign w:val="center"/>
          </w:tcPr>
          <w:p w14:paraId="0C8BE6FF" w14:textId="77777777" w:rsidR="00466311" w:rsidRPr="00D406C5" w:rsidRDefault="00466311" w:rsidP="00466311">
            <w:pPr>
              <w:spacing w:after="100"/>
              <w:rPr>
                <w:rFonts w:ascii="Arial" w:eastAsia="Times New Roman" w:hAnsi="Arial" w:cs="Arial"/>
                <w:b/>
                <w:sz w:val="20"/>
                <w:szCs w:val="20"/>
                <w:lang w:eastAsia="de-DE" w:bidi="pa-IN"/>
              </w:rPr>
            </w:pPr>
            <w:permStart w:id="1226791086" w:edGrp="everyone" w:colFirst="1" w:colLast="1"/>
            <w:permEnd w:id="1713722883"/>
            <w:r>
              <w:rPr>
                <w:rFonts w:ascii="Arial" w:eastAsia="Times New Roman" w:hAnsi="Arial" w:cs="Arial"/>
                <w:b/>
                <w:sz w:val="20"/>
                <w:szCs w:val="20"/>
                <w:lang w:eastAsia="de-DE" w:bidi="pa-IN"/>
              </w:rPr>
              <w:lastRenderedPageBreak/>
              <w:t>4</w:t>
            </w:r>
            <w:r w:rsidRPr="00D406C5">
              <w:rPr>
                <w:rFonts w:ascii="Arial" w:eastAsia="Times New Roman" w:hAnsi="Arial" w:cs="Arial"/>
                <w:b/>
                <w:sz w:val="20"/>
                <w:szCs w:val="20"/>
                <w:lang w:eastAsia="de-DE" w:bidi="pa-IN"/>
              </w:rPr>
              <w:t>.2 Analysis of the</w:t>
            </w:r>
            <w:r>
              <w:rPr>
                <w:rFonts w:ascii="Arial" w:eastAsia="Times New Roman" w:hAnsi="Arial" w:cs="Arial"/>
                <w:b/>
                <w:sz w:val="20"/>
                <w:szCs w:val="20"/>
                <w:lang w:eastAsia="de-DE" w:bidi="pa-IN"/>
              </w:rPr>
              <w:t xml:space="preserve"> serious negative consequences or </w:t>
            </w:r>
            <w:r w:rsidRPr="00D406C5">
              <w:rPr>
                <w:rFonts w:ascii="Arial" w:eastAsia="Times New Roman" w:hAnsi="Arial" w:cs="Arial"/>
                <w:b/>
                <w:sz w:val="20"/>
                <w:szCs w:val="20"/>
                <w:lang w:eastAsia="de-DE" w:bidi="pa-IN"/>
              </w:rPr>
              <w:t>threat to financial stability</w:t>
            </w:r>
          </w:p>
          <w:p w14:paraId="6E2974AA" w14:textId="6EEABA60" w:rsidR="00466311" w:rsidRPr="00D406C5" w:rsidRDefault="00466311" w:rsidP="00466311">
            <w:pPr>
              <w:spacing w:after="100"/>
              <w:rPr>
                <w:rFonts w:ascii="Arial" w:eastAsia="Times New Roman" w:hAnsi="Arial" w:cs="Arial"/>
                <w:b/>
                <w:sz w:val="20"/>
                <w:szCs w:val="20"/>
                <w:lang w:eastAsia="de-DE" w:bidi="pa-IN"/>
              </w:rPr>
            </w:pPr>
            <w:r>
              <w:rPr>
                <w:rFonts w:ascii="Arial" w:eastAsia="Times New Roman" w:hAnsi="Arial" w:cs="Arial"/>
                <w:b/>
                <w:sz w:val="20"/>
                <w:szCs w:val="20"/>
                <w:lang w:eastAsia="de-DE" w:bidi="pa-IN"/>
              </w:rPr>
              <w:t>(</w:t>
            </w:r>
            <w:r w:rsidRPr="00D406C5">
              <w:rPr>
                <w:rFonts w:ascii="Arial" w:eastAsia="Times New Roman" w:hAnsi="Arial" w:cs="Arial"/>
                <w:b/>
                <w:sz w:val="20"/>
                <w:szCs w:val="20"/>
                <w:lang w:eastAsia="de-DE" w:bidi="pa-IN"/>
              </w:rPr>
              <w:t>Article 458</w:t>
            </w:r>
            <w:r>
              <w:rPr>
                <w:rFonts w:ascii="Arial" w:eastAsia="Times New Roman" w:hAnsi="Arial" w:cs="Arial"/>
                <w:b/>
                <w:sz w:val="20"/>
                <w:szCs w:val="20"/>
                <w:lang w:eastAsia="de-DE" w:bidi="pa-IN"/>
              </w:rPr>
              <w:t>(</w:t>
            </w:r>
            <w:r w:rsidRPr="00D406C5">
              <w:rPr>
                <w:rFonts w:ascii="Arial" w:eastAsia="Times New Roman" w:hAnsi="Arial" w:cs="Arial"/>
                <w:b/>
                <w:sz w:val="20"/>
                <w:szCs w:val="20"/>
                <w:lang w:eastAsia="de-DE" w:bidi="pa-IN"/>
              </w:rPr>
              <w:t>2</w:t>
            </w:r>
            <w:r>
              <w:rPr>
                <w:rFonts w:ascii="Arial" w:eastAsia="Times New Roman" w:hAnsi="Arial" w:cs="Arial"/>
                <w:b/>
                <w:sz w:val="20"/>
                <w:szCs w:val="20"/>
                <w:lang w:eastAsia="de-DE" w:bidi="pa-IN"/>
              </w:rPr>
              <w:t>)</w:t>
            </w:r>
            <w:r w:rsidRPr="00D406C5">
              <w:rPr>
                <w:rFonts w:ascii="Arial" w:eastAsia="Times New Roman" w:hAnsi="Arial" w:cs="Arial"/>
                <w:b/>
                <w:sz w:val="20"/>
                <w:szCs w:val="20"/>
                <w:lang w:eastAsia="de-DE" w:bidi="pa-IN"/>
              </w:rPr>
              <w:t>(b)</w:t>
            </w:r>
            <w:r>
              <w:rPr>
                <w:rFonts w:ascii="Arial" w:eastAsia="Times New Roman" w:hAnsi="Arial" w:cs="Arial"/>
                <w:b/>
                <w:sz w:val="20"/>
                <w:szCs w:val="20"/>
                <w:lang w:eastAsia="de-DE" w:bidi="pa-IN"/>
              </w:rPr>
              <w:t xml:space="preserve"> CRR)</w:t>
            </w:r>
          </w:p>
        </w:tc>
        <w:tc>
          <w:tcPr>
            <w:tcW w:w="6946" w:type="dxa"/>
            <w:shd w:val="clear" w:color="auto" w:fill="auto"/>
            <w:vAlign w:val="center"/>
          </w:tcPr>
          <w:p w14:paraId="4049313A" w14:textId="686C047E" w:rsidR="007F129E" w:rsidRDefault="007F129E" w:rsidP="009437E5">
            <w:pPr>
              <w:spacing w:after="100"/>
              <w:rPr>
                <w:rFonts w:ascii="Arial" w:eastAsia="Times New Roman" w:hAnsi="Arial" w:cs="Arial"/>
                <w:sz w:val="20"/>
                <w:szCs w:val="20"/>
                <w:lang w:eastAsia="de-DE" w:bidi="pa-IN"/>
              </w:rPr>
            </w:pPr>
            <w:r w:rsidRPr="007F129E">
              <w:rPr>
                <w:rFonts w:ascii="Arial" w:eastAsia="Times New Roman" w:hAnsi="Arial" w:cs="Arial"/>
                <w:sz w:val="20"/>
                <w:szCs w:val="20"/>
                <w:lang w:eastAsia="de-DE" w:bidi="pa-IN"/>
              </w:rPr>
              <w:t xml:space="preserve">Norwegian and foreign IRB institutions are crucial for the credit supply to households and corporates in Norway. The IRB institutions have a combined market share of approximately ¾ in the Norwegian credit market. A disruption of the credit supply could have severe consequences for the real economy. For example, a negative shock in domestic property markets or tightened consumption may cause a significant increase in credit losses. With insufficient levels of loss absorbing capital, this would constrain the institutions' capacity to provide new credit and hence amplify a downturn in the Norwegian economy. As institutions established in other Nordic countries have significant operations in Norway, turbulence in the Norwegian financial system may easily spread to neighbouring systems. </w:t>
            </w:r>
          </w:p>
          <w:p w14:paraId="12E482E8" w14:textId="7B2D9A19" w:rsidR="00466311" w:rsidRDefault="007F129E" w:rsidP="009437E5">
            <w:pPr>
              <w:spacing w:after="100"/>
              <w:rPr>
                <w:rFonts w:ascii="Arial" w:eastAsia="Times New Roman" w:hAnsi="Arial" w:cs="Arial"/>
                <w:sz w:val="20"/>
                <w:szCs w:val="20"/>
                <w:lang w:eastAsia="de-DE" w:bidi="pa-IN"/>
              </w:rPr>
            </w:pPr>
            <w:r w:rsidRPr="007F129E">
              <w:rPr>
                <w:rFonts w:ascii="Arial" w:eastAsia="Times New Roman" w:hAnsi="Arial" w:cs="Arial"/>
                <w:sz w:val="20"/>
                <w:szCs w:val="20"/>
                <w:lang w:eastAsia="de-DE" w:bidi="pa-IN"/>
              </w:rPr>
              <w:t xml:space="preserve">Losses on commercial real estate exposures have been low in normal times, but high during crises, both in Norway and other countries. Commercial real estate is the sector that has inflicted the most losses for Norwegian institutions during crises. Historically, a strong price rise for commercial property has often preceded a sharp price fall. </w:t>
            </w:r>
            <w:r w:rsidR="006E090B" w:rsidRPr="006E090B">
              <w:rPr>
                <w:rFonts w:ascii="Arial" w:eastAsia="Times New Roman" w:hAnsi="Arial" w:cs="Arial"/>
                <w:sz w:val="20"/>
                <w:szCs w:val="20"/>
                <w:lang w:eastAsia="de-DE" w:bidi="pa-IN"/>
              </w:rPr>
              <w:t>While selling prices have fallen and levelled over the last two years, yields have not increased as much as the interest on government bonds, indicating a potential for further price decreases. Further, as the transaction volume has been low, the development in the selling price may not accurately reflect market prices in some segments.</w:t>
            </w:r>
            <w:r w:rsidR="00BA426C">
              <w:rPr>
                <w:rFonts w:ascii="Arial" w:eastAsia="Times New Roman" w:hAnsi="Arial" w:cs="Arial"/>
                <w:sz w:val="20"/>
                <w:szCs w:val="20"/>
                <w:lang w:eastAsia="de-DE" w:bidi="pa-IN"/>
              </w:rPr>
              <w:t xml:space="preserve"> </w:t>
            </w:r>
            <w:r w:rsidRPr="007F129E">
              <w:rPr>
                <w:rFonts w:ascii="Arial" w:eastAsia="Times New Roman" w:hAnsi="Arial" w:cs="Arial"/>
                <w:sz w:val="20"/>
                <w:szCs w:val="20"/>
                <w:lang w:eastAsia="de-DE" w:bidi="pa-IN"/>
              </w:rPr>
              <w:t>A downturn in the Norwegian economy could result in higher office vacancy rates. This will impair the debt servicing capacity of commercial real estate companies. If commercial property prices fall at the same time, bank losses may rise considerably</w:t>
            </w:r>
            <w:r>
              <w:rPr>
                <w:rFonts w:ascii="Arial" w:eastAsia="Times New Roman" w:hAnsi="Arial" w:cs="Arial"/>
                <w:sz w:val="20"/>
                <w:szCs w:val="20"/>
                <w:lang w:eastAsia="de-DE" w:bidi="pa-IN"/>
              </w:rPr>
              <w:t>.</w:t>
            </w:r>
          </w:p>
          <w:p w14:paraId="476D8828" w14:textId="5DE2123D" w:rsidR="007F129E" w:rsidRPr="007F129E" w:rsidRDefault="007F129E" w:rsidP="009437E5">
            <w:pPr>
              <w:spacing w:after="100"/>
              <w:rPr>
                <w:rFonts w:ascii="Arial" w:eastAsia="Times New Roman" w:hAnsi="Arial" w:cs="Arial"/>
                <w:bCs/>
                <w:sz w:val="20"/>
                <w:szCs w:val="20"/>
                <w:lang w:eastAsia="de-DE" w:bidi="pa-IN"/>
              </w:rPr>
            </w:pPr>
            <w:r w:rsidRPr="007F129E">
              <w:rPr>
                <w:rFonts w:ascii="Arial" w:eastAsia="Times New Roman" w:hAnsi="Arial" w:cs="Arial"/>
                <w:bCs/>
                <w:sz w:val="20"/>
                <w:szCs w:val="20"/>
                <w:lang w:eastAsia="de-DE" w:bidi="pa-IN"/>
              </w:rPr>
              <w:t>During the Norwegian banking crisis (1988-1993) high interest rates and declining consumption led to large losses for banks in the commercial real estate sector. On average, prices fell by approximately 40 pct. By comparison, stress tests conducted by Finanstilsynet assume that corporate real estate prices will fall by</w:t>
            </w:r>
            <w:r w:rsidR="00BA426C">
              <w:rPr>
                <w:rFonts w:ascii="Arial" w:eastAsia="Times New Roman" w:hAnsi="Arial" w:cs="Arial"/>
                <w:bCs/>
                <w:sz w:val="20"/>
                <w:szCs w:val="20"/>
                <w:lang w:eastAsia="de-DE" w:bidi="pa-IN"/>
              </w:rPr>
              <w:t xml:space="preserve"> 38</w:t>
            </w:r>
            <w:r w:rsidRPr="007F129E">
              <w:rPr>
                <w:rFonts w:ascii="Arial" w:eastAsia="Times New Roman" w:hAnsi="Arial" w:cs="Arial"/>
                <w:bCs/>
                <w:sz w:val="20"/>
                <w:szCs w:val="20"/>
                <w:lang w:eastAsia="de-DE" w:bidi="pa-IN"/>
              </w:rPr>
              <w:t xml:space="preserve"> pct. </w:t>
            </w:r>
            <w:r w:rsidR="00BA426C">
              <w:rPr>
                <w:rFonts w:ascii="Arial" w:eastAsia="Times New Roman" w:hAnsi="Arial" w:cs="Arial"/>
                <w:bCs/>
                <w:sz w:val="20"/>
                <w:szCs w:val="20"/>
                <w:lang w:eastAsia="de-DE" w:bidi="pa-IN"/>
              </w:rPr>
              <w:t xml:space="preserve">from 2023 to 2027 </w:t>
            </w:r>
            <w:r w:rsidRPr="007F129E">
              <w:rPr>
                <w:rFonts w:ascii="Arial" w:eastAsia="Times New Roman" w:hAnsi="Arial" w:cs="Arial"/>
                <w:bCs/>
                <w:sz w:val="20"/>
                <w:szCs w:val="20"/>
                <w:lang w:eastAsia="de-DE" w:bidi="pa-IN"/>
              </w:rPr>
              <w:t>in the event of a severe stress, inducing significant losses. The loss estimates are highly sensitive to the size of the price reductions, and there is significant risk tha</w:t>
            </w:r>
            <w:r>
              <w:rPr>
                <w:rFonts w:ascii="Arial" w:eastAsia="Times New Roman" w:hAnsi="Arial" w:cs="Arial"/>
                <w:bCs/>
                <w:sz w:val="20"/>
                <w:szCs w:val="20"/>
                <w:lang w:eastAsia="de-DE" w:bidi="pa-IN"/>
              </w:rPr>
              <w:t>t l</w:t>
            </w:r>
            <w:r w:rsidRPr="007F129E">
              <w:rPr>
                <w:rFonts w:ascii="Arial" w:eastAsia="Times New Roman" w:hAnsi="Arial" w:cs="Arial"/>
                <w:bCs/>
                <w:sz w:val="20"/>
                <w:szCs w:val="20"/>
                <w:lang w:eastAsia="de-DE" w:bidi="pa-IN"/>
              </w:rPr>
              <w:t>osses on defaulted exposures may be higher than the average price reduction.</w:t>
            </w:r>
          </w:p>
        </w:tc>
      </w:tr>
      <w:tr w:rsidR="00466311" w:rsidRPr="00D406C5" w14:paraId="4C4B6E28" w14:textId="77777777" w:rsidTr="00033412">
        <w:trPr>
          <w:trHeight w:val="1060"/>
        </w:trPr>
        <w:tc>
          <w:tcPr>
            <w:tcW w:w="2518" w:type="dxa"/>
            <w:shd w:val="clear" w:color="auto" w:fill="auto"/>
            <w:vAlign w:val="center"/>
          </w:tcPr>
          <w:p w14:paraId="2703D2D7" w14:textId="011046C1" w:rsidR="00466311" w:rsidRPr="00D406C5" w:rsidRDefault="00466311" w:rsidP="00466311">
            <w:pPr>
              <w:spacing w:after="100"/>
              <w:rPr>
                <w:rFonts w:ascii="Arial" w:eastAsia="Times New Roman" w:hAnsi="Arial" w:cs="Arial"/>
                <w:b/>
                <w:sz w:val="20"/>
                <w:szCs w:val="20"/>
                <w:lang w:eastAsia="de-DE" w:bidi="pa-IN"/>
              </w:rPr>
            </w:pPr>
            <w:permStart w:id="1953659885" w:edGrp="everyone" w:colFirst="1" w:colLast="1"/>
            <w:permEnd w:id="1226791086"/>
            <w:r>
              <w:rPr>
                <w:rFonts w:ascii="Arial" w:eastAsia="Times New Roman" w:hAnsi="Arial" w:cs="Arial"/>
                <w:b/>
                <w:sz w:val="20"/>
                <w:szCs w:val="20"/>
                <w:lang w:eastAsia="de-DE" w:bidi="pa-IN"/>
              </w:rPr>
              <w:t>4</w:t>
            </w:r>
            <w:r w:rsidRPr="00D406C5">
              <w:rPr>
                <w:rFonts w:ascii="Arial" w:eastAsia="Times New Roman" w:hAnsi="Arial" w:cs="Arial"/>
                <w:b/>
                <w:sz w:val="20"/>
                <w:szCs w:val="20"/>
                <w:lang w:eastAsia="de-DE" w:bidi="pa-IN"/>
              </w:rPr>
              <w:t xml:space="preserve">.3 Indicators </w:t>
            </w:r>
            <w:r>
              <w:rPr>
                <w:rFonts w:ascii="Arial" w:eastAsia="Times New Roman" w:hAnsi="Arial" w:cs="Arial"/>
                <w:b/>
                <w:sz w:val="20"/>
                <w:szCs w:val="20"/>
                <w:lang w:eastAsia="de-DE" w:bidi="pa-IN"/>
              </w:rPr>
              <w:t xml:space="preserve">prompting </w:t>
            </w:r>
            <w:r w:rsidR="006A740A">
              <w:rPr>
                <w:rFonts w:ascii="Arial" w:eastAsia="Times New Roman" w:hAnsi="Arial" w:cs="Arial"/>
                <w:b/>
                <w:sz w:val="20"/>
                <w:szCs w:val="20"/>
                <w:lang w:eastAsia="de-DE" w:bidi="pa-IN"/>
              </w:rPr>
              <w:t xml:space="preserve">the </w:t>
            </w:r>
            <w:r w:rsidRPr="00D406C5">
              <w:rPr>
                <w:rFonts w:ascii="Arial" w:eastAsia="Times New Roman" w:hAnsi="Arial" w:cs="Arial"/>
                <w:b/>
                <w:sz w:val="20"/>
                <w:szCs w:val="20"/>
                <w:lang w:eastAsia="de-DE" w:bidi="pa-IN"/>
              </w:rPr>
              <w:t>use of the</w:t>
            </w:r>
            <w:r w:rsidR="00C370EE">
              <w:rPr>
                <w:rFonts w:ascii="Arial" w:eastAsia="Times New Roman" w:hAnsi="Arial" w:cs="Arial"/>
                <w:b/>
                <w:sz w:val="20"/>
                <w:szCs w:val="20"/>
                <w:lang w:eastAsia="de-DE" w:bidi="pa-IN"/>
              </w:rPr>
              <w:t xml:space="preserve"> </w:t>
            </w:r>
            <w:r w:rsidRPr="00D406C5">
              <w:rPr>
                <w:rFonts w:ascii="Arial" w:eastAsia="Times New Roman" w:hAnsi="Arial" w:cs="Arial"/>
                <w:b/>
                <w:sz w:val="20"/>
                <w:szCs w:val="20"/>
                <w:lang w:eastAsia="de-DE" w:bidi="pa-IN"/>
              </w:rPr>
              <w:t>measur</w:t>
            </w:r>
            <w:r w:rsidR="00C370EE">
              <w:rPr>
                <w:rFonts w:ascii="Arial" w:eastAsia="Times New Roman" w:hAnsi="Arial" w:cs="Arial"/>
                <w:b/>
                <w:sz w:val="20"/>
                <w:szCs w:val="20"/>
                <w:lang w:eastAsia="de-DE" w:bidi="pa-IN"/>
              </w:rPr>
              <w:t>e</w:t>
            </w:r>
          </w:p>
        </w:tc>
        <w:tc>
          <w:tcPr>
            <w:tcW w:w="6946" w:type="dxa"/>
            <w:shd w:val="clear" w:color="auto" w:fill="auto"/>
            <w:vAlign w:val="center"/>
          </w:tcPr>
          <w:p w14:paraId="7BCE385B" w14:textId="77777777" w:rsidR="00DD568F" w:rsidRDefault="00DD568F" w:rsidP="00466311">
            <w:pPr>
              <w:spacing w:after="100" w:line="300" w:lineRule="atLeast"/>
              <w:contextualSpacing/>
              <w:rPr>
                <w:rFonts w:ascii="Arial" w:eastAsia="Times New Roman" w:hAnsi="Arial" w:cs="Arial"/>
                <w:sz w:val="20"/>
                <w:szCs w:val="20"/>
                <w:lang w:eastAsia="de-DE" w:bidi="pa-IN"/>
              </w:rPr>
            </w:pPr>
            <w:r w:rsidRPr="00DD568F">
              <w:rPr>
                <w:rFonts w:ascii="Arial" w:eastAsia="Times New Roman" w:hAnsi="Arial" w:cs="Arial"/>
                <w:sz w:val="20"/>
                <w:szCs w:val="20"/>
                <w:lang w:eastAsia="de-DE" w:bidi="pa-IN"/>
              </w:rPr>
              <w:t xml:space="preserve">The main indicators are: </w:t>
            </w:r>
          </w:p>
          <w:p w14:paraId="441B1FDB" w14:textId="29218482" w:rsidR="00DD568F" w:rsidRPr="00587810" w:rsidRDefault="00BA426C" w:rsidP="00587810">
            <w:pPr>
              <w:pStyle w:val="Listeavsnitt"/>
              <w:numPr>
                <w:ilvl w:val="0"/>
                <w:numId w:val="33"/>
              </w:numPr>
              <w:spacing w:after="100" w:line="300" w:lineRule="atLeast"/>
              <w:rPr>
                <w:rFonts w:ascii="Arial" w:eastAsia="Times New Roman" w:hAnsi="Arial" w:cs="Arial"/>
                <w:sz w:val="20"/>
                <w:szCs w:val="20"/>
                <w:lang w:eastAsia="de-DE" w:bidi="pa-IN"/>
              </w:rPr>
            </w:pPr>
            <w:r>
              <w:rPr>
                <w:rFonts w:ascii="Arial" w:eastAsia="Times New Roman" w:hAnsi="Arial" w:cs="Arial"/>
                <w:sz w:val="20"/>
                <w:szCs w:val="20"/>
                <w:lang w:eastAsia="de-DE" w:bidi="pa-IN"/>
              </w:rPr>
              <w:t>The volume of institutions'</w:t>
            </w:r>
            <w:r w:rsidR="00DD568F" w:rsidRPr="00587810">
              <w:rPr>
                <w:rFonts w:ascii="Arial" w:eastAsia="Times New Roman" w:hAnsi="Arial" w:cs="Arial"/>
                <w:sz w:val="20"/>
                <w:szCs w:val="20"/>
                <w:lang w:eastAsia="de-DE" w:bidi="pa-IN"/>
              </w:rPr>
              <w:t xml:space="preserve"> commercial real estate lending relative to all lending </w:t>
            </w:r>
          </w:p>
          <w:p w14:paraId="6CCB3A7C" w14:textId="77777777" w:rsidR="00DD568F" w:rsidRPr="00587810" w:rsidRDefault="00DD568F" w:rsidP="00587810">
            <w:pPr>
              <w:pStyle w:val="Listeavsnitt"/>
              <w:numPr>
                <w:ilvl w:val="0"/>
                <w:numId w:val="33"/>
              </w:numPr>
              <w:spacing w:after="100" w:line="300" w:lineRule="atLeast"/>
              <w:rPr>
                <w:rFonts w:ascii="Arial" w:eastAsia="Times New Roman" w:hAnsi="Arial" w:cs="Arial"/>
                <w:sz w:val="20"/>
                <w:szCs w:val="20"/>
                <w:lang w:eastAsia="de-DE" w:bidi="pa-IN"/>
              </w:rPr>
            </w:pPr>
            <w:r w:rsidRPr="00587810">
              <w:rPr>
                <w:rFonts w:ascii="Arial" w:eastAsia="Times New Roman" w:hAnsi="Arial" w:cs="Arial"/>
                <w:sz w:val="20"/>
                <w:szCs w:val="20"/>
                <w:lang w:eastAsia="de-DE" w:bidi="pa-IN"/>
              </w:rPr>
              <w:lastRenderedPageBreak/>
              <w:t xml:space="preserve">Commercial real estate prices </w:t>
            </w:r>
          </w:p>
          <w:p w14:paraId="20BE3775" w14:textId="77777777" w:rsidR="00DD568F" w:rsidRPr="00587810" w:rsidRDefault="00DD568F" w:rsidP="00587810">
            <w:pPr>
              <w:pStyle w:val="Listeavsnitt"/>
              <w:numPr>
                <w:ilvl w:val="0"/>
                <w:numId w:val="33"/>
              </w:numPr>
              <w:spacing w:after="100" w:line="300" w:lineRule="atLeast"/>
              <w:rPr>
                <w:rFonts w:ascii="Arial" w:eastAsia="Times New Roman" w:hAnsi="Arial" w:cs="Arial"/>
                <w:sz w:val="20"/>
                <w:szCs w:val="20"/>
                <w:lang w:eastAsia="de-DE" w:bidi="pa-IN"/>
              </w:rPr>
            </w:pPr>
            <w:r w:rsidRPr="00587810">
              <w:rPr>
                <w:rFonts w:ascii="Arial" w:eastAsia="Times New Roman" w:hAnsi="Arial" w:cs="Arial"/>
                <w:sz w:val="20"/>
                <w:szCs w:val="20"/>
                <w:lang w:eastAsia="de-DE" w:bidi="pa-IN"/>
              </w:rPr>
              <w:t xml:space="preserve">Office rental prices </w:t>
            </w:r>
          </w:p>
          <w:p w14:paraId="08873116" w14:textId="77777777" w:rsidR="00DD568F" w:rsidRPr="00587810" w:rsidRDefault="00DD568F" w:rsidP="00587810">
            <w:pPr>
              <w:pStyle w:val="Listeavsnitt"/>
              <w:numPr>
                <w:ilvl w:val="0"/>
                <w:numId w:val="33"/>
              </w:numPr>
              <w:spacing w:after="100" w:line="300" w:lineRule="atLeast"/>
              <w:rPr>
                <w:rFonts w:ascii="Arial" w:eastAsia="Times New Roman" w:hAnsi="Arial" w:cs="Arial"/>
                <w:sz w:val="20"/>
                <w:szCs w:val="20"/>
                <w:lang w:eastAsia="de-DE" w:bidi="pa-IN"/>
              </w:rPr>
            </w:pPr>
            <w:r w:rsidRPr="00587810">
              <w:rPr>
                <w:rFonts w:ascii="Arial" w:eastAsia="Times New Roman" w:hAnsi="Arial" w:cs="Arial"/>
                <w:sz w:val="20"/>
                <w:szCs w:val="20"/>
                <w:lang w:eastAsia="de-DE" w:bidi="pa-IN"/>
              </w:rPr>
              <w:t xml:space="preserve">Banks' losses on commercial property loans in percent of gross lending </w:t>
            </w:r>
          </w:p>
          <w:p w14:paraId="6051FED9" w14:textId="77777777" w:rsidR="00DD568F" w:rsidRPr="00587810" w:rsidRDefault="00DD568F" w:rsidP="00587810">
            <w:pPr>
              <w:pStyle w:val="Listeavsnitt"/>
              <w:numPr>
                <w:ilvl w:val="0"/>
                <w:numId w:val="33"/>
              </w:numPr>
              <w:spacing w:after="100" w:line="300" w:lineRule="atLeast"/>
              <w:rPr>
                <w:rFonts w:ascii="Arial" w:eastAsia="Times New Roman" w:hAnsi="Arial" w:cs="Arial"/>
                <w:sz w:val="20"/>
                <w:szCs w:val="20"/>
                <w:lang w:eastAsia="de-DE" w:bidi="pa-IN"/>
              </w:rPr>
            </w:pPr>
            <w:r w:rsidRPr="00587810">
              <w:rPr>
                <w:rFonts w:ascii="Arial" w:eastAsia="Times New Roman" w:hAnsi="Arial" w:cs="Arial"/>
                <w:sz w:val="20"/>
                <w:szCs w:val="20"/>
                <w:lang w:eastAsia="de-DE" w:bidi="pa-IN"/>
              </w:rPr>
              <w:t xml:space="preserve">Loan-to-value ratio on commercial property </w:t>
            </w:r>
            <w:proofErr w:type="gramStart"/>
            <w:r w:rsidRPr="00587810">
              <w:rPr>
                <w:rFonts w:ascii="Arial" w:eastAsia="Times New Roman" w:hAnsi="Arial" w:cs="Arial"/>
                <w:sz w:val="20"/>
                <w:szCs w:val="20"/>
                <w:lang w:eastAsia="de-DE" w:bidi="pa-IN"/>
              </w:rPr>
              <w:t>loans</w:t>
            </w:r>
            <w:proofErr w:type="gramEnd"/>
            <w:r w:rsidRPr="00587810">
              <w:rPr>
                <w:rFonts w:ascii="Arial" w:eastAsia="Times New Roman" w:hAnsi="Arial" w:cs="Arial"/>
                <w:sz w:val="20"/>
                <w:szCs w:val="20"/>
                <w:lang w:eastAsia="de-DE" w:bidi="pa-IN"/>
              </w:rPr>
              <w:t xml:space="preserve"> </w:t>
            </w:r>
          </w:p>
          <w:p w14:paraId="4A98EB41" w14:textId="77777777" w:rsidR="00DD568F" w:rsidRPr="00587810" w:rsidRDefault="00DD568F" w:rsidP="00587810">
            <w:pPr>
              <w:pStyle w:val="Listeavsnitt"/>
              <w:numPr>
                <w:ilvl w:val="0"/>
                <w:numId w:val="33"/>
              </w:numPr>
              <w:spacing w:after="100" w:line="300" w:lineRule="atLeast"/>
              <w:rPr>
                <w:rFonts w:ascii="Arial" w:eastAsia="Times New Roman" w:hAnsi="Arial" w:cs="Arial"/>
                <w:sz w:val="20"/>
                <w:szCs w:val="20"/>
                <w:lang w:eastAsia="de-DE" w:bidi="pa-IN"/>
              </w:rPr>
            </w:pPr>
            <w:r w:rsidRPr="00587810">
              <w:rPr>
                <w:rFonts w:ascii="Arial" w:eastAsia="Times New Roman" w:hAnsi="Arial" w:cs="Arial"/>
                <w:sz w:val="20"/>
                <w:szCs w:val="20"/>
                <w:lang w:eastAsia="de-DE" w:bidi="pa-IN"/>
              </w:rPr>
              <w:t xml:space="preserve">Average risk weights for real estate exposures in IRB institutions </w:t>
            </w:r>
          </w:p>
          <w:p w14:paraId="58BC5666" w14:textId="21E01639" w:rsidR="00466311" w:rsidRPr="00D406C5" w:rsidRDefault="00DD568F" w:rsidP="00466311">
            <w:pPr>
              <w:spacing w:after="100" w:line="300" w:lineRule="atLeast"/>
              <w:contextualSpacing/>
              <w:rPr>
                <w:rFonts w:ascii="Arial" w:eastAsia="Times New Roman" w:hAnsi="Arial" w:cs="Arial"/>
                <w:sz w:val="20"/>
                <w:szCs w:val="20"/>
                <w:lang w:eastAsia="de-DE" w:bidi="pa-IN"/>
              </w:rPr>
            </w:pPr>
            <w:r w:rsidRPr="00DD568F">
              <w:rPr>
                <w:rFonts w:ascii="Arial" w:eastAsia="Times New Roman" w:hAnsi="Arial" w:cs="Arial"/>
                <w:sz w:val="20"/>
                <w:szCs w:val="20"/>
                <w:lang w:eastAsia="de-DE" w:bidi="pa-IN"/>
              </w:rPr>
              <w:t>Data files are available upon request.</w:t>
            </w:r>
          </w:p>
        </w:tc>
      </w:tr>
      <w:tr w:rsidR="00466311" w:rsidRPr="00D406C5" w14:paraId="69A71772" w14:textId="77777777" w:rsidTr="00033412">
        <w:trPr>
          <w:trHeight w:val="1122"/>
        </w:trPr>
        <w:tc>
          <w:tcPr>
            <w:tcW w:w="2518" w:type="dxa"/>
            <w:shd w:val="clear" w:color="auto" w:fill="auto"/>
            <w:vAlign w:val="center"/>
          </w:tcPr>
          <w:p w14:paraId="04CDCBFA" w14:textId="528D94CC" w:rsidR="00466311" w:rsidRPr="00D406C5" w:rsidRDefault="00466311" w:rsidP="00466311">
            <w:pPr>
              <w:spacing w:after="100"/>
              <w:rPr>
                <w:rFonts w:ascii="Arial" w:eastAsia="Times New Roman" w:hAnsi="Arial" w:cs="Arial"/>
                <w:b/>
                <w:sz w:val="20"/>
                <w:szCs w:val="20"/>
                <w:lang w:eastAsia="de-DE" w:bidi="pa-IN"/>
              </w:rPr>
            </w:pPr>
            <w:permStart w:id="1090260473" w:edGrp="everyone" w:colFirst="1" w:colLast="1"/>
            <w:permEnd w:id="1953659885"/>
            <w:r>
              <w:rPr>
                <w:rFonts w:ascii="Arial" w:eastAsia="Times New Roman" w:hAnsi="Arial" w:cs="Arial"/>
                <w:b/>
                <w:sz w:val="20"/>
                <w:szCs w:val="20"/>
                <w:lang w:eastAsia="de-DE" w:bidi="pa-IN"/>
              </w:rPr>
              <w:lastRenderedPageBreak/>
              <w:t>4</w:t>
            </w:r>
            <w:r w:rsidRPr="00D406C5">
              <w:rPr>
                <w:rFonts w:ascii="Arial" w:eastAsia="Times New Roman" w:hAnsi="Arial" w:cs="Arial"/>
                <w:b/>
                <w:sz w:val="20"/>
                <w:szCs w:val="20"/>
                <w:lang w:eastAsia="de-DE" w:bidi="pa-IN"/>
              </w:rPr>
              <w:t xml:space="preserve">.4 Justification </w:t>
            </w:r>
            <w:r w:rsidR="006A740A">
              <w:rPr>
                <w:rFonts w:ascii="Arial" w:eastAsia="Times New Roman" w:hAnsi="Arial" w:cs="Arial"/>
                <w:b/>
                <w:sz w:val="20"/>
                <w:szCs w:val="20"/>
                <w:lang w:eastAsia="de-DE" w:bidi="pa-IN"/>
              </w:rPr>
              <w:t>for</w:t>
            </w:r>
            <w:r>
              <w:rPr>
                <w:rFonts w:ascii="Arial" w:eastAsia="Times New Roman" w:hAnsi="Arial" w:cs="Arial"/>
                <w:b/>
                <w:sz w:val="20"/>
                <w:szCs w:val="20"/>
                <w:lang w:eastAsia="de-DE" w:bidi="pa-IN"/>
              </w:rPr>
              <w:t xml:space="preserve"> the </w:t>
            </w:r>
            <w:r w:rsidRPr="00D406C5">
              <w:rPr>
                <w:rFonts w:ascii="Arial" w:eastAsia="Times New Roman" w:hAnsi="Arial" w:cs="Arial"/>
                <w:b/>
                <w:sz w:val="20"/>
                <w:szCs w:val="20"/>
                <w:lang w:eastAsia="de-DE" w:bidi="pa-IN"/>
              </w:rPr>
              <w:t>stricter national</w:t>
            </w:r>
            <w:r w:rsidR="00C370EE">
              <w:rPr>
                <w:rFonts w:ascii="Arial" w:eastAsia="Times New Roman" w:hAnsi="Arial" w:cs="Arial"/>
                <w:b/>
                <w:sz w:val="20"/>
                <w:szCs w:val="20"/>
                <w:lang w:eastAsia="de-DE" w:bidi="pa-IN"/>
              </w:rPr>
              <w:t xml:space="preserve"> </w:t>
            </w:r>
            <w:r w:rsidRPr="00D406C5">
              <w:rPr>
                <w:rFonts w:ascii="Arial" w:eastAsia="Times New Roman" w:hAnsi="Arial" w:cs="Arial"/>
                <w:b/>
                <w:sz w:val="20"/>
                <w:szCs w:val="20"/>
                <w:lang w:eastAsia="de-DE" w:bidi="pa-IN"/>
              </w:rPr>
              <w:t xml:space="preserve">measure </w:t>
            </w:r>
          </w:p>
          <w:p w14:paraId="6616E852" w14:textId="1C922C48" w:rsidR="00466311" w:rsidRPr="00D406C5" w:rsidRDefault="00466311" w:rsidP="00466311">
            <w:pPr>
              <w:spacing w:after="100"/>
              <w:rPr>
                <w:rFonts w:ascii="Arial" w:eastAsia="Times New Roman" w:hAnsi="Arial" w:cs="Arial"/>
                <w:b/>
                <w:sz w:val="20"/>
                <w:szCs w:val="20"/>
                <w:lang w:eastAsia="de-DE" w:bidi="pa-IN"/>
              </w:rPr>
            </w:pPr>
            <w:r>
              <w:rPr>
                <w:rFonts w:ascii="Arial" w:eastAsia="Times New Roman" w:hAnsi="Arial" w:cs="Arial"/>
                <w:b/>
                <w:sz w:val="20"/>
                <w:szCs w:val="20"/>
                <w:lang w:eastAsia="de-DE" w:bidi="pa-IN"/>
              </w:rPr>
              <w:t>(</w:t>
            </w:r>
            <w:r w:rsidRPr="00D406C5">
              <w:rPr>
                <w:rFonts w:ascii="Arial" w:eastAsia="Times New Roman" w:hAnsi="Arial" w:cs="Arial"/>
                <w:b/>
                <w:sz w:val="20"/>
                <w:szCs w:val="20"/>
                <w:lang w:eastAsia="de-DE" w:bidi="pa-IN"/>
              </w:rPr>
              <w:t>Article 458</w:t>
            </w:r>
            <w:r>
              <w:rPr>
                <w:rFonts w:ascii="Arial" w:eastAsia="Times New Roman" w:hAnsi="Arial" w:cs="Arial"/>
                <w:b/>
                <w:sz w:val="20"/>
                <w:szCs w:val="20"/>
                <w:lang w:eastAsia="de-DE" w:bidi="pa-IN"/>
              </w:rPr>
              <w:t>(2)</w:t>
            </w:r>
            <w:r w:rsidRPr="00D406C5">
              <w:rPr>
                <w:rFonts w:ascii="Arial" w:eastAsia="Times New Roman" w:hAnsi="Arial" w:cs="Arial"/>
                <w:b/>
                <w:sz w:val="20"/>
                <w:szCs w:val="20"/>
                <w:lang w:eastAsia="de-DE" w:bidi="pa-IN"/>
              </w:rPr>
              <w:t>(c)</w:t>
            </w:r>
            <w:r>
              <w:rPr>
                <w:rFonts w:ascii="Arial" w:eastAsia="Times New Roman" w:hAnsi="Arial" w:cs="Arial"/>
                <w:b/>
                <w:sz w:val="20"/>
                <w:szCs w:val="20"/>
                <w:lang w:eastAsia="de-DE" w:bidi="pa-IN"/>
              </w:rPr>
              <w:t xml:space="preserve"> CRR)</w:t>
            </w:r>
          </w:p>
        </w:tc>
        <w:tc>
          <w:tcPr>
            <w:tcW w:w="6946" w:type="dxa"/>
            <w:shd w:val="clear" w:color="auto" w:fill="auto"/>
            <w:vAlign w:val="center"/>
          </w:tcPr>
          <w:p w14:paraId="57D39452" w14:textId="77777777" w:rsidR="0066115E" w:rsidRPr="0066115E" w:rsidRDefault="0066115E" w:rsidP="00C707A8">
            <w:pPr>
              <w:spacing w:after="100"/>
              <w:rPr>
                <w:rFonts w:ascii="Arial" w:hAnsi="Arial" w:cs="Arial"/>
                <w:b/>
                <w:bCs/>
                <w:sz w:val="20"/>
                <w:szCs w:val="20"/>
              </w:rPr>
            </w:pPr>
            <w:r w:rsidRPr="0066115E">
              <w:rPr>
                <w:rFonts w:ascii="Arial" w:hAnsi="Arial" w:cs="Arial"/>
                <w:b/>
                <w:bCs/>
                <w:sz w:val="20"/>
                <w:szCs w:val="20"/>
              </w:rPr>
              <w:t xml:space="preserve">Objective </w:t>
            </w:r>
          </w:p>
          <w:p w14:paraId="44D0322B" w14:textId="6ADA0238" w:rsidR="0066115E" w:rsidRDefault="0066115E" w:rsidP="00C707A8">
            <w:pPr>
              <w:spacing w:after="100"/>
              <w:rPr>
                <w:rFonts w:ascii="Arial" w:hAnsi="Arial" w:cs="Arial"/>
                <w:sz w:val="20"/>
                <w:szCs w:val="20"/>
              </w:rPr>
            </w:pPr>
            <w:r w:rsidRPr="0066115E">
              <w:rPr>
                <w:rFonts w:ascii="Arial" w:hAnsi="Arial" w:cs="Arial"/>
                <w:sz w:val="20"/>
                <w:szCs w:val="20"/>
              </w:rPr>
              <w:t>The measure will ensure that all Norwegian IRB institutions employ appropriate risk weights at the portfolio level for their commercial real estate exposures in Norway, given the prevailing systemic risks associated with these exposures. The proposed measure function</w:t>
            </w:r>
            <w:r w:rsidR="00BA426C">
              <w:rPr>
                <w:rFonts w:ascii="Arial" w:hAnsi="Arial" w:cs="Arial"/>
                <w:sz w:val="20"/>
                <w:szCs w:val="20"/>
              </w:rPr>
              <w:t>s</w:t>
            </w:r>
            <w:r w:rsidRPr="0066115E">
              <w:rPr>
                <w:rFonts w:ascii="Arial" w:hAnsi="Arial" w:cs="Arial"/>
                <w:sz w:val="20"/>
                <w:szCs w:val="20"/>
              </w:rPr>
              <w:t xml:space="preserve"> as a backstop for uncertainty in IRB models, stemming from data largely being collected over periods of positive economic development. </w:t>
            </w:r>
          </w:p>
          <w:p w14:paraId="57D50AD9" w14:textId="4E6D25AF" w:rsidR="0066115E" w:rsidRPr="0066115E" w:rsidRDefault="0066115E" w:rsidP="00C707A8">
            <w:pPr>
              <w:spacing w:after="100"/>
              <w:rPr>
                <w:rFonts w:ascii="Arial" w:hAnsi="Arial" w:cs="Arial"/>
                <w:b/>
                <w:bCs/>
                <w:sz w:val="20"/>
                <w:szCs w:val="20"/>
              </w:rPr>
            </w:pPr>
            <w:r w:rsidRPr="0066115E">
              <w:rPr>
                <w:rFonts w:ascii="Arial" w:hAnsi="Arial" w:cs="Arial"/>
                <w:b/>
                <w:bCs/>
                <w:sz w:val="20"/>
                <w:szCs w:val="20"/>
              </w:rPr>
              <w:t xml:space="preserve">Other measures </w:t>
            </w:r>
            <w:proofErr w:type="gramStart"/>
            <w:r w:rsidRPr="0066115E">
              <w:rPr>
                <w:rFonts w:ascii="Arial" w:hAnsi="Arial" w:cs="Arial"/>
                <w:b/>
                <w:bCs/>
                <w:sz w:val="20"/>
                <w:szCs w:val="20"/>
              </w:rPr>
              <w:t>considered</w:t>
            </w:r>
            <w:proofErr w:type="gramEnd"/>
            <w:r w:rsidRPr="0066115E">
              <w:rPr>
                <w:rFonts w:ascii="Arial" w:hAnsi="Arial" w:cs="Arial"/>
                <w:b/>
                <w:bCs/>
                <w:sz w:val="20"/>
                <w:szCs w:val="20"/>
              </w:rPr>
              <w:t xml:space="preserve"> </w:t>
            </w:r>
          </w:p>
          <w:p w14:paraId="62694418" w14:textId="77777777" w:rsidR="00BA426C" w:rsidRDefault="0066115E" w:rsidP="00C707A8">
            <w:pPr>
              <w:spacing w:after="100"/>
              <w:rPr>
                <w:rFonts w:ascii="Arial" w:hAnsi="Arial" w:cs="Arial"/>
                <w:sz w:val="20"/>
                <w:szCs w:val="20"/>
              </w:rPr>
            </w:pPr>
            <w:r w:rsidRPr="0066115E">
              <w:rPr>
                <w:rFonts w:ascii="Arial" w:hAnsi="Arial" w:cs="Arial"/>
                <w:i/>
                <w:iCs/>
                <w:sz w:val="20"/>
                <w:szCs w:val="20"/>
              </w:rPr>
              <w:t>Article 133</w:t>
            </w:r>
            <w:r w:rsidRPr="0066115E">
              <w:rPr>
                <w:rFonts w:ascii="Arial" w:hAnsi="Arial" w:cs="Arial"/>
                <w:sz w:val="20"/>
                <w:szCs w:val="20"/>
              </w:rPr>
              <w:t xml:space="preserve"> of the CRD allows for requiring a systemic risk buffer to target long-term systemic risks. The Ministry of Finance has set a buffer requirement at a level which is commensurate with the level and intensity of such risks in the Norwegian financial system. While structural and cyclical systemic risks may not always be easily distinguishable, the risk-weight floor for commercial real estate exposures is primarily intended to mitigate risks associated with potential asset bubbles and financial imbalances, which have </w:t>
            </w:r>
            <w:r w:rsidR="00BA426C" w:rsidRPr="00BA426C">
              <w:rPr>
                <w:rFonts w:ascii="Arial" w:hAnsi="Arial" w:cs="Arial"/>
                <w:sz w:val="20"/>
                <w:szCs w:val="20"/>
              </w:rPr>
              <w:t>built up over many years in the Norwegian economy.</w:t>
            </w:r>
            <w:r w:rsidRPr="0066115E">
              <w:rPr>
                <w:rFonts w:ascii="Arial" w:hAnsi="Arial" w:cs="Arial"/>
                <w:sz w:val="20"/>
                <w:szCs w:val="20"/>
              </w:rPr>
              <w:t xml:space="preserve"> </w:t>
            </w:r>
          </w:p>
          <w:p w14:paraId="5BE36DE1" w14:textId="046FF7EB" w:rsidR="00466311" w:rsidRDefault="0066115E" w:rsidP="00C707A8">
            <w:pPr>
              <w:spacing w:after="100"/>
              <w:rPr>
                <w:rFonts w:ascii="Arial" w:hAnsi="Arial" w:cs="Arial"/>
                <w:sz w:val="20"/>
                <w:szCs w:val="20"/>
              </w:rPr>
            </w:pPr>
            <w:r w:rsidRPr="0066115E">
              <w:rPr>
                <w:rFonts w:ascii="Arial" w:hAnsi="Arial" w:cs="Arial"/>
                <w:sz w:val="20"/>
                <w:szCs w:val="20"/>
              </w:rPr>
              <w:t>Although systemic risk buffers may apply specifically to real estate exposures, they would not ensure that the increased risks in the real estate markets are reflected in the risk weighted exposure amounts underlying the capital and buffer requirements.</w:t>
            </w:r>
            <w:r w:rsidR="00BA426C">
              <w:rPr>
                <w:rFonts w:ascii="Arial" w:hAnsi="Arial" w:cs="Arial"/>
                <w:sz w:val="20"/>
                <w:szCs w:val="20"/>
              </w:rPr>
              <w:t xml:space="preserve"> </w:t>
            </w:r>
            <w:r w:rsidRPr="0066115E">
              <w:rPr>
                <w:rFonts w:ascii="Arial" w:hAnsi="Arial" w:cs="Arial"/>
                <w:sz w:val="20"/>
                <w:szCs w:val="20"/>
              </w:rPr>
              <w:t xml:space="preserve">As cyclical systemic risks are particularly present and elevated </w:t>
            </w:r>
            <w:proofErr w:type="gramStart"/>
            <w:r w:rsidRPr="0066115E">
              <w:rPr>
                <w:rFonts w:ascii="Arial" w:hAnsi="Arial" w:cs="Arial"/>
                <w:sz w:val="20"/>
                <w:szCs w:val="20"/>
              </w:rPr>
              <w:t>in regard to</w:t>
            </w:r>
            <w:proofErr w:type="gramEnd"/>
            <w:r w:rsidRPr="0066115E">
              <w:rPr>
                <w:rFonts w:ascii="Arial" w:hAnsi="Arial" w:cs="Arial"/>
                <w:sz w:val="20"/>
                <w:szCs w:val="20"/>
              </w:rPr>
              <w:t xml:space="preserve"> real estate exposures,</w:t>
            </w:r>
            <w:r w:rsidR="00BA426C">
              <w:rPr>
                <w:rFonts w:ascii="Arial" w:hAnsi="Arial" w:cs="Arial"/>
                <w:sz w:val="20"/>
                <w:szCs w:val="20"/>
              </w:rPr>
              <w:t xml:space="preserve"> </w:t>
            </w:r>
            <w:r w:rsidRPr="0066115E">
              <w:rPr>
                <w:rFonts w:ascii="Arial" w:hAnsi="Arial" w:cs="Arial"/>
                <w:sz w:val="20"/>
                <w:szCs w:val="20"/>
              </w:rPr>
              <w:t>IRB risk weight floors would be the more efficient tools to apply in the current environment.</w:t>
            </w:r>
            <w:r w:rsidR="00BA426C">
              <w:rPr>
                <w:rFonts w:ascii="Arial" w:hAnsi="Arial" w:cs="Arial"/>
                <w:sz w:val="20"/>
                <w:szCs w:val="20"/>
              </w:rPr>
              <w:t xml:space="preserve"> </w:t>
            </w:r>
            <w:r w:rsidR="00BA426C" w:rsidRPr="00BA426C">
              <w:rPr>
                <w:rFonts w:ascii="Arial" w:hAnsi="Arial" w:cs="Arial"/>
                <w:sz w:val="20"/>
                <w:szCs w:val="20"/>
              </w:rPr>
              <w:t>Heightened systemic risk buffer rates would disproportionately affect institutions with proper risk weights for the commercial real estate portfolio and would thus be less targeted and have unintended consequences.</w:t>
            </w:r>
          </w:p>
          <w:p w14:paraId="6360C14D" w14:textId="56144834" w:rsidR="009E432A" w:rsidRDefault="009E432A" w:rsidP="00C707A8">
            <w:pPr>
              <w:spacing w:after="100"/>
              <w:rPr>
                <w:rFonts w:ascii="Arial" w:hAnsi="Arial" w:cs="Arial"/>
                <w:sz w:val="20"/>
                <w:szCs w:val="20"/>
              </w:rPr>
            </w:pPr>
            <w:r w:rsidRPr="009E432A">
              <w:rPr>
                <w:rFonts w:ascii="Arial" w:hAnsi="Arial" w:cs="Arial"/>
                <w:i/>
                <w:iCs/>
                <w:sz w:val="20"/>
                <w:szCs w:val="20"/>
              </w:rPr>
              <w:t>Article 136</w:t>
            </w:r>
            <w:r w:rsidRPr="009E432A">
              <w:rPr>
                <w:rFonts w:ascii="Arial" w:hAnsi="Arial" w:cs="Arial"/>
                <w:sz w:val="20"/>
                <w:szCs w:val="20"/>
              </w:rPr>
              <w:t xml:space="preserve"> of the CRD requires the setting of a countercyclical capital buffer to address time-varying systemic risks. The buffer rate in Norway has been 2.5 pct. </w:t>
            </w:r>
            <w:r w:rsidR="00BA426C">
              <w:rPr>
                <w:rFonts w:ascii="Arial" w:hAnsi="Arial" w:cs="Arial"/>
                <w:sz w:val="20"/>
                <w:szCs w:val="20"/>
              </w:rPr>
              <w:t xml:space="preserve">since </w:t>
            </w:r>
            <w:r w:rsidRPr="009E432A">
              <w:rPr>
                <w:rFonts w:ascii="Arial" w:hAnsi="Arial" w:cs="Arial"/>
                <w:sz w:val="20"/>
                <w:szCs w:val="20"/>
              </w:rPr>
              <w:t>31 March 2023</w:t>
            </w:r>
            <w:r w:rsidR="00BA426C">
              <w:rPr>
                <w:rFonts w:ascii="Arial" w:hAnsi="Arial" w:cs="Arial"/>
                <w:sz w:val="20"/>
                <w:szCs w:val="20"/>
              </w:rPr>
              <w:t>.</w:t>
            </w:r>
            <w:r w:rsidRPr="009E432A">
              <w:rPr>
                <w:rFonts w:ascii="Arial" w:hAnsi="Arial" w:cs="Arial"/>
                <w:sz w:val="20"/>
                <w:szCs w:val="20"/>
              </w:rPr>
              <w:t xml:space="preserve"> </w:t>
            </w:r>
            <w:r w:rsidR="00BA426C">
              <w:rPr>
                <w:rFonts w:ascii="Arial" w:hAnsi="Arial" w:cs="Arial"/>
                <w:sz w:val="20"/>
                <w:szCs w:val="20"/>
              </w:rPr>
              <w:t>T</w:t>
            </w:r>
            <w:r w:rsidRPr="009E432A">
              <w:rPr>
                <w:rFonts w:ascii="Arial" w:hAnsi="Arial" w:cs="Arial"/>
                <w:sz w:val="20"/>
                <w:szCs w:val="20"/>
              </w:rPr>
              <w:t xml:space="preserve">he countercyclical capital buffer does not target commercial real estate </w:t>
            </w:r>
            <w:proofErr w:type="gramStart"/>
            <w:r w:rsidRPr="009E432A">
              <w:rPr>
                <w:rFonts w:ascii="Arial" w:hAnsi="Arial" w:cs="Arial"/>
                <w:sz w:val="20"/>
                <w:szCs w:val="20"/>
              </w:rPr>
              <w:t>exposures in particular, and</w:t>
            </w:r>
            <w:proofErr w:type="gramEnd"/>
            <w:r w:rsidRPr="009E432A">
              <w:rPr>
                <w:rFonts w:ascii="Arial" w:hAnsi="Arial" w:cs="Arial"/>
                <w:sz w:val="20"/>
                <w:szCs w:val="20"/>
              </w:rPr>
              <w:t xml:space="preserve"> it does not promote an adequate level of average risk weights across all IRB institutions in Norway.</w:t>
            </w:r>
          </w:p>
          <w:p w14:paraId="2AFB4A3A" w14:textId="77777777" w:rsidR="00C233D8" w:rsidRPr="00C233D8" w:rsidRDefault="00C233D8" w:rsidP="00C233D8">
            <w:pPr>
              <w:spacing w:after="100"/>
              <w:rPr>
                <w:rFonts w:ascii="Arial" w:hAnsi="Arial" w:cs="Arial"/>
                <w:b/>
                <w:bCs/>
                <w:sz w:val="20"/>
                <w:szCs w:val="20"/>
              </w:rPr>
            </w:pPr>
            <w:r w:rsidRPr="00C233D8">
              <w:rPr>
                <w:rFonts w:ascii="Arial" w:hAnsi="Arial" w:cs="Arial"/>
                <w:b/>
                <w:bCs/>
                <w:sz w:val="20"/>
                <w:szCs w:val="20"/>
              </w:rPr>
              <w:t xml:space="preserve">Output </w:t>
            </w:r>
            <w:proofErr w:type="gramStart"/>
            <w:r w:rsidRPr="00C233D8">
              <w:rPr>
                <w:rFonts w:ascii="Arial" w:hAnsi="Arial" w:cs="Arial"/>
                <w:b/>
                <w:bCs/>
                <w:sz w:val="20"/>
                <w:szCs w:val="20"/>
              </w:rPr>
              <w:t>floor</w:t>
            </w:r>
            <w:proofErr w:type="gramEnd"/>
          </w:p>
          <w:p w14:paraId="5A2F74F7" w14:textId="055B608D" w:rsidR="001753C4" w:rsidRPr="00C233D8" w:rsidRDefault="00C233D8" w:rsidP="00C233D8">
            <w:pPr>
              <w:spacing w:after="100"/>
              <w:rPr>
                <w:rFonts w:ascii="Arial" w:hAnsi="Arial" w:cs="Arial"/>
                <w:sz w:val="20"/>
                <w:szCs w:val="20"/>
              </w:rPr>
            </w:pPr>
            <w:r w:rsidRPr="00C233D8">
              <w:rPr>
                <w:rFonts w:ascii="Arial" w:hAnsi="Arial" w:cs="Arial"/>
                <w:sz w:val="20"/>
                <w:szCs w:val="20"/>
              </w:rPr>
              <w:t xml:space="preserve">Regulation EU 1623/2024 introduces an output-floor for total risk weighted assets (TREA) equal to 50 percent of the TREA calculated without the use of internal models (S-TREA) at the date of entry into force of the regulation. The output floor will increase to 72,5 percent of S-TREA from the year 2030 onwards. The output floor addresses the issue of potential underestimation of risk-weights using internal models but is not targeted at credit risk in the commercial real-estate market as the output floors concerns all areas of risk and all portfolios. The isolated effect on the commercial real estate portfolio </w:t>
            </w:r>
            <w:r w:rsidRPr="00C233D8">
              <w:rPr>
                <w:rFonts w:ascii="Arial" w:hAnsi="Arial" w:cs="Arial"/>
                <w:sz w:val="20"/>
                <w:szCs w:val="20"/>
              </w:rPr>
              <w:lastRenderedPageBreak/>
              <w:t>would thus depend on properties of the institutions business profile and use of internal models that is not directly related to risks in the commercial real estate market.</w:t>
            </w:r>
          </w:p>
        </w:tc>
      </w:tr>
      <w:permEnd w:id="1090260473"/>
      <w:tr w:rsidR="00466311" w:rsidRPr="00D406C5" w14:paraId="645C5A94" w14:textId="77777777" w:rsidTr="00033412">
        <w:trPr>
          <w:trHeight w:val="561"/>
        </w:trPr>
        <w:tc>
          <w:tcPr>
            <w:tcW w:w="9464" w:type="dxa"/>
            <w:gridSpan w:val="2"/>
            <w:shd w:val="clear" w:color="auto" w:fill="BFBFBF"/>
            <w:vAlign w:val="center"/>
          </w:tcPr>
          <w:p w14:paraId="4A3B69F3" w14:textId="0361371E" w:rsidR="00466311" w:rsidRDefault="00466311" w:rsidP="001048DB">
            <w:pPr>
              <w:keepNext/>
              <w:numPr>
                <w:ilvl w:val="0"/>
                <w:numId w:val="5"/>
              </w:numPr>
              <w:spacing w:after="0" w:line="240" w:lineRule="auto"/>
              <w:contextualSpacing/>
              <w:rPr>
                <w:rFonts w:ascii="Arial" w:hAnsi="Arial" w:cs="Arial"/>
                <w:b/>
                <w:sz w:val="20"/>
                <w:szCs w:val="20"/>
              </w:rPr>
            </w:pPr>
            <w:r>
              <w:rPr>
                <w:rFonts w:ascii="Arial" w:hAnsi="Arial" w:cs="Arial"/>
                <w:b/>
                <w:sz w:val="20"/>
                <w:szCs w:val="20"/>
              </w:rPr>
              <w:lastRenderedPageBreak/>
              <w:t>Sufficiency, consistency and non-overlap of the policy response</w:t>
            </w:r>
          </w:p>
        </w:tc>
      </w:tr>
      <w:tr w:rsidR="003955DB" w:rsidRPr="00D406C5" w14:paraId="570099ED" w14:textId="77777777" w:rsidTr="00033412">
        <w:trPr>
          <w:trHeight w:val="1122"/>
        </w:trPr>
        <w:tc>
          <w:tcPr>
            <w:tcW w:w="2518" w:type="dxa"/>
            <w:shd w:val="clear" w:color="auto" w:fill="auto"/>
          </w:tcPr>
          <w:p w14:paraId="5E76BB3D" w14:textId="77777777" w:rsidR="003955DB" w:rsidRPr="003D150F" w:rsidRDefault="003955DB" w:rsidP="003955DB">
            <w:pPr>
              <w:spacing w:before="60" w:after="60" w:line="288" w:lineRule="auto"/>
              <w:rPr>
                <w:rFonts w:ascii="Arial" w:hAnsi="Arial" w:cs="Arial"/>
                <w:b/>
                <w:sz w:val="20"/>
                <w:szCs w:val="20"/>
              </w:rPr>
            </w:pPr>
            <w:permStart w:id="355809934" w:edGrp="everyone" w:colFirst="1" w:colLast="1"/>
          </w:p>
          <w:p w14:paraId="0BF9F94A" w14:textId="77777777" w:rsidR="003955DB" w:rsidRPr="003D150F" w:rsidRDefault="003955DB" w:rsidP="003955DB">
            <w:pPr>
              <w:spacing w:before="60" w:after="60" w:line="288" w:lineRule="auto"/>
              <w:rPr>
                <w:rFonts w:ascii="Arial" w:hAnsi="Arial" w:cs="Arial"/>
                <w:b/>
                <w:sz w:val="20"/>
                <w:szCs w:val="20"/>
              </w:rPr>
            </w:pPr>
          </w:p>
          <w:p w14:paraId="4E03FCA4" w14:textId="0FDD5577" w:rsidR="003955DB" w:rsidRPr="003D150F" w:rsidRDefault="003955DB" w:rsidP="003955DB">
            <w:pPr>
              <w:spacing w:before="60" w:after="60" w:line="288" w:lineRule="auto"/>
              <w:rPr>
                <w:rFonts w:ascii="Arial" w:eastAsia="Times New Roman" w:hAnsi="Arial" w:cs="Arial"/>
                <w:b/>
                <w:sz w:val="20"/>
                <w:szCs w:val="20"/>
                <w:lang w:eastAsia="en-GB"/>
              </w:rPr>
            </w:pPr>
            <w:r w:rsidRPr="003D150F">
              <w:rPr>
                <w:rFonts w:ascii="Arial" w:hAnsi="Arial" w:cs="Arial"/>
                <w:b/>
                <w:sz w:val="20"/>
                <w:szCs w:val="20"/>
              </w:rPr>
              <w:t>5.1 Sufficiency of the policy response</w:t>
            </w:r>
          </w:p>
        </w:tc>
        <w:tc>
          <w:tcPr>
            <w:tcW w:w="6946" w:type="dxa"/>
            <w:shd w:val="clear" w:color="auto" w:fill="auto"/>
          </w:tcPr>
          <w:p w14:paraId="3AEDFC9B" w14:textId="43C54ACB" w:rsidR="003955DB" w:rsidRPr="003955DB" w:rsidRDefault="009E432A" w:rsidP="00BF2DB6">
            <w:pPr>
              <w:jc w:val="both"/>
              <w:rPr>
                <w:rFonts w:ascii="Arial" w:hAnsi="Arial" w:cs="Arial"/>
                <w:sz w:val="20"/>
                <w:szCs w:val="20"/>
              </w:rPr>
            </w:pPr>
            <w:r w:rsidRPr="009E432A">
              <w:rPr>
                <w:rFonts w:ascii="Arial" w:hAnsi="Arial" w:cs="Arial"/>
                <w:sz w:val="20"/>
                <w:szCs w:val="20"/>
              </w:rPr>
              <w:t>The measure will contribute to resilience in the Norwegian financial system, by maintaining corporate real estate risk weights at sufficiently prudential levels.</w:t>
            </w:r>
          </w:p>
        </w:tc>
      </w:tr>
      <w:tr w:rsidR="003955DB" w:rsidRPr="00D406C5" w14:paraId="5C61CBC5" w14:textId="77777777" w:rsidTr="00033412">
        <w:trPr>
          <w:trHeight w:val="1122"/>
        </w:trPr>
        <w:tc>
          <w:tcPr>
            <w:tcW w:w="2518" w:type="dxa"/>
            <w:shd w:val="clear" w:color="auto" w:fill="auto"/>
          </w:tcPr>
          <w:p w14:paraId="56B6E823" w14:textId="77777777" w:rsidR="003955DB" w:rsidRPr="003D150F" w:rsidRDefault="003955DB" w:rsidP="003955DB">
            <w:pPr>
              <w:spacing w:after="0" w:line="240" w:lineRule="auto"/>
              <w:rPr>
                <w:rFonts w:ascii="Arial" w:hAnsi="Arial" w:cs="Arial"/>
                <w:b/>
                <w:sz w:val="20"/>
                <w:szCs w:val="20"/>
              </w:rPr>
            </w:pPr>
            <w:permStart w:id="946228456" w:edGrp="everyone" w:colFirst="1" w:colLast="1"/>
          </w:p>
          <w:permEnd w:id="355809934"/>
          <w:p w14:paraId="41F47589" w14:textId="77777777" w:rsidR="003955DB" w:rsidRPr="003D150F" w:rsidRDefault="003955DB" w:rsidP="003955DB">
            <w:pPr>
              <w:spacing w:after="0" w:line="240" w:lineRule="auto"/>
              <w:rPr>
                <w:rFonts w:ascii="Arial" w:hAnsi="Arial" w:cs="Arial"/>
                <w:b/>
                <w:sz w:val="20"/>
                <w:szCs w:val="20"/>
              </w:rPr>
            </w:pPr>
          </w:p>
          <w:p w14:paraId="5A4DD50C" w14:textId="77777777" w:rsidR="003955DB" w:rsidRPr="003D150F" w:rsidRDefault="003955DB" w:rsidP="003955DB">
            <w:pPr>
              <w:spacing w:after="0" w:line="240" w:lineRule="auto"/>
              <w:rPr>
                <w:rFonts w:ascii="Arial" w:hAnsi="Arial" w:cs="Arial"/>
                <w:b/>
                <w:sz w:val="20"/>
                <w:szCs w:val="20"/>
              </w:rPr>
            </w:pPr>
          </w:p>
          <w:p w14:paraId="76F303C0" w14:textId="77777777" w:rsidR="003955DB" w:rsidRPr="003D150F" w:rsidRDefault="003955DB" w:rsidP="003955DB">
            <w:pPr>
              <w:spacing w:after="0" w:line="240" w:lineRule="auto"/>
              <w:rPr>
                <w:rFonts w:ascii="Arial" w:hAnsi="Arial" w:cs="Arial"/>
                <w:b/>
                <w:sz w:val="20"/>
                <w:szCs w:val="20"/>
              </w:rPr>
            </w:pPr>
          </w:p>
          <w:p w14:paraId="63E3C725" w14:textId="6EF277AC" w:rsidR="003955DB" w:rsidRPr="003D150F" w:rsidRDefault="003955DB" w:rsidP="003955DB">
            <w:pPr>
              <w:spacing w:after="0" w:line="240" w:lineRule="auto"/>
              <w:rPr>
                <w:rFonts w:ascii="Arial" w:hAnsi="Arial" w:cs="Arial"/>
                <w:b/>
                <w:sz w:val="20"/>
                <w:szCs w:val="20"/>
              </w:rPr>
            </w:pPr>
            <w:r w:rsidRPr="003D150F">
              <w:rPr>
                <w:rFonts w:ascii="Arial" w:hAnsi="Arial" w:cs="Arial"/>
                <w:b/>
                <w:sz w:val="20"/>
                <w:szCs w:val="20"/>
              </w:rPr>
              <w:t>5.2 Consistency of</w:t>
            </w:r>
            <w:r w:rsidR="00776A8C">
              <w:rPr>
                <w:rFonts w:ascii="Arial" w:hAnsi="Arial" w:cs="Arial"/>
                <w:b/>
                <w:sz w:val="20"/>
                <w:szCs w:val="20"/>
              </w:rPr>
              <w:t xml:space="preserve"> </w:t>
            </w:r>
            <w:r w:rsidRPr="003D150F">
              <w:rPr>
                <w:rFonts w:ascii="Arial" w:hAnsi="Arial" w:cs="Arial"/>
                <w:b/>
                <w:sz w:val="20"/>
                <w:szCs w:val="20"/>
              </w:rPr>
              <w:t xml:space="preserve">application of the policy response </w:t>
            </w:r>
          </w:p>
          <w:p w14:paraId="3BE20B83" w14:textId="0B9E65E0" w:rsidR="003955DB" w:rsidRPr="003D150F" w:rsidRDefault="003955DB" w:rsidP="003955DB">
            <w:pPr>
              <w:rPr>
                <w:rFonts w:ascii="Arial" w:hAnsi="Arial" w:cs="Arial"/>
                <w:b/>
                <w:bCs/>
                <w:sz w:val="20"/>
                <w:szCs w:val="20"/>
              </w:rPr>
            </w:pPr>
          </w:p>
        </w:tc>
        <w:tc>
          <w:tcPr>
            <w:tcW w:w="6946" w:type="dxa"/>
            <w:shd w:val="clear" w:color="auto" w:fill="auto"/>
          </w:tcPr>
          <w:p w14:paraId="389AEAB6" w14:textId="77777777" w:rsidR="009E432A" w:rsidRDefault="009E432A" w:rsidP="00BF2DB6">
            <w:pPr>
              <w:jc w:val="both"/>
              <w:rPr>
                <w:rFonts w:ascii="Arial" w:hAnsi="Arial" w:cs="Arial"/>
                <w:sz w:val="20"/>
                <w:szCs w:val="20"/>
              </w:rPr>
            </w:pPr>
            <w:r w:rsidRPr="009E432A">
              <w:rPr>
                <w:rFonts w:ascii="Arial" w:hAnsi="Arial" w:cs="Arial"/>
                <w:sz w:val="20"/>
                <w:szCs w:val="20"/>
              </w:rPr>
              <w:t xml:space="preserve">The measure is consistent with other measures implemented by the Ministry of Finance and Finanstilsynet aiming to maintain or increase the resistance in the financial sector. </w:t>
            </w:r>
          </w:p>
          <w:p w14:paraId="5D55EC50" w14:textId="77777777" w:rsidR="00C233D8" w:rsidRDefault="00C233D8" w:rsidP="00BF576A">
            <w:pPr>
              <w:jc w:val="both"/>
              <w:rPr>
                <w:rFonts w:ascii="Arial" w:hAnsi="Arial" w:cs="Arial"/>
                <w:sz w:val="20"/>
                <w:szCs w:val="20"/>
              </w:rPr>
            </w:pPr>
            <w:r w:rsidRPr="00C233D8">
              <w:rPr>
                <w:rFonts w:ascii="Arial" w:hAnsi="Arial" w:cs="Arial"/>
                <w:sz w:val="20"/>
                <w:szCs w:val="20"/>
              </w:rPr>
              <w:t xml:space="preserve">Pursuant to article 124 of the CRR, the Ministry of Finance has decided to change the risk weight for corporate real estate exposures, which currently is set at 100 pct. for institutions using the Standard Approach for credit risk. When CRR 3 enters into force in Norway, the risk weights set out in CRR art. 126 (2) will apply to all corporate real estate exposures. This entails that risk weights will vary from 70 to 110 per cent, dependent on the ETV of the exposure. This is considered adequate considering the current risks associated with the Norwegian corporate real estate market. </w:t>
            </w:r>
          </w:p>
          <w:p w14:paraId="4F5C8F01" w14:textId="77777777" w:rsidR="00B975A0" w:rsidRDefault="009E432A" w:rsidP="00B975A0">
            <w:pPr>
              <w:jc w:val="both"/>
              <w:rPr>
                <w:rFonts w:ascii="Arial" w:hAnsi="Arial" w:cs="Arial"/>
                <w:sz w:val="20"/>
                <w:szCs w:val="20"/>
              </w:rPr>
            </w:pPr>
            <w:r w:rsidRPr="009E432A">
              <w:rPr>
                <w:rFonts w:ascii="Arial" w:hAnsi="Arial" w:cs="Arial"/>
                <w:sz w:val="20"/>
                <w:szCs w:val="20"/>
              </w:rPr>
              <w:t xml:space="preserve">Moreover, the measure is consistent with </w:t>
            </w:r>
            <w:proofErr w:type="spellStart"/>
            <w:r w:rsidRPr="009E432A">
              <w:rPr>
                <w:rFonts w:ascii="Arial" w:hAnsi="Arial" w:cs="Arial"/>
                <w:sz w:val="20"/>
                <w:szCs w:val="20"/>
              </w:rPr>
              <w:t>Finanstilsynet's</w:t>
            </w:r>
            <w:proofErr w:type="spellEnd"/>
            <w:r w:rsidRPr="009E432A">
              <w:rPr>
                <w:rFonts w:ascii="Arial" w:hAnsi="Arial" w:cs="Arial"/>
                <w:sz w:val="20"/>
                <w:szCs w:val="20"/>
              </w:rPr>
              <w:t xml:space="preserve"> general practices for IRB-supervision</w:t>
            </w:r>
            <w:r w:rsidR="00C233D8">
              <w:rPr>
                <w:rFonts w:ascii="Arial" w:hAnsi="Arial" w:cs="Arial"/>
                <w:sz w:val="20"/>
                <w:szCs w:val="20"/>
              </w:rPr>
              <w:t xml:space="preserve">, </w:t>
            </w:r>
            <w:r w:rsidR="00C233D8" w:rsidRPr="00C233D8">
              <w:rPr>
                <w:rFonts w:ascii="Arial" w:hAnsi="Arial" w:cs="Arial"/>
                <w:sz w:val="20"/>
                <w:szCs w:val="20"/>
              </w:rPr>
              <w:t xml:space="preserve">which </w:t>
            </w:r>
            <w:proofErr w:type="gramStart"/>
            <w:r w:rsidR="00C233D8" w:rsidRPr="00C233D8">
              <w:rPr>
                <w:rFonts w:ascii="Arial" w:hAnsi="Arial" w:cs="Arial"/>
                <w:sz w:val="20"/>
                <w:szCs w:val="20"/>
              </w:rPr>
              <w:t>takes into account</w:t>
            </w:r>
            <w:proofErr w:type="gramEnd"/>
            <w:r w:rsidRPr="009E432A">
              <w:rPr>
                <w:rFonts w:ascii="Arial" w:hAnsi="Arial" w:cs="Arial"/>
                <w:sz w:val="20"/>
                <w:szCs w:val="20"/>
              </w:rPr>
              <w:t xml:space="preserve"> the considerable uncertainty regarding the institutions' data, which primarily cover a positive period for the Norwegian economy.</w:t>
            </w:r>
            <w:r w:rsidR="00B975A0" w:rsidRPr="009E432A">
              <w:rPr>
                <w:rFonts w:ascii="Arial" w:hAnsi="Arial" w:cs="Arial"/>
                <w:sz w:val="20"/>
                <w:szCs w:val="20"/>
              </w:rPr>
              <w:t xml:space="preserve"> </w:t>
            </w:r>
          </w:p>
          <w:p w14:paraId="0DA70B1B" w14:textId="3CD4EB88" w:rsidR="003955DB" w:rsidRPr="003955DB" w:rsidRDefault="009E432A" w:rsidP="00B975A0">
            <w:pPr>
              <w:jc w:val="both"/>
              <w:rPr>
                <w:rFonts w:ascii="Arial" w:hAnsi="Arial" w:cs="Arial"/>
                <w:sz w:val="20"/>
                <w:szCs w:val="20"/>
              </w:rPr>
            </w:pPr>
            <w:r w:rsidRPr="009E432A">
              <w:rPr>
                <w:rFonts w:ascii="Arial" w:hAnsi="Arial" w:cs="Arial"/>
                <w:sz w:val="20"/>
                <w:szCs w:val="20"/>
              </w:rPr>
              <w:t>To ensure consistency across member states and across institutions operating in the Norwegian market, it is important that the risk weight floor also applies to foreign institutions operating in Norway.</w:t>
            </w:r>
          </w:p>
        </w:tc>
      </w:tr>
      <w:tr w:rsidR="003955DB" w:rsidRPr="00D406C5" w14:paraId="2CD4A94F" w14:textId="77777777" w:rsidTr="00E30F38">
        <w:trPr>
          <w:trHeight w:val="557"/>
        </w:trPr>
        <w:tc>
          <w:tcPr>
            <w:tcW w:w="2518" w:type="dxa"/>
            <w:shd w:val="clear" w:color="auto" w:fill="auto"/>
          </w:tcPr>
          <w:p w14:paraId="17FF08CE" w14:textId="77777777" w:rsidR="003955DB" w:rsidRPr="003D150F" w:rsidRDefault="003955DB" w:rsidP="003955DB">
            <w:pPr>
              <w:spacing w:after="0" w:line="240" w:lineRule="auto"/>
              <w:rPr>
                <w:rFonts w:ascii="Arial" w:hAnsi="Arial" w:cs="Arial"/>
                <w:b/>
                <w:bCs/>
                <w:sz w:val="20"/>
                <w:szCs w:val="20"/>
              </w:rPr>
            </w:pPr>
            <w:permStart w:id="1468339690" w:edGrp="everyone" w:colFirst="1" w:colLast="1"/>
            <w:permEnd w:id="946228456"/>
          </w:p>
          <w:p w14:paraId="2E0179B7" w14:textId="77777777" w:rsidR="003955DB" w:rsidRPr="003D150F" w:rsidRDefault="003955DB" w:rsidP="003955DB">
            <w:pPr>
              <w:spacing w:after="0" w:line="240" w:lineRule="auto"/>
              <w:rPr>
                <w:rFonts w:ascii="Arial" w:hAnsi="Arial" w:cs="Arial"/>
                <w:b/>
                <w:bCs/>
                <w:sz w:val="20"/>
                <w:szCs w:val="20"/>
              </w:rPr>
            </w:pPr>
          </w:p>
          <w:p w14:paraId="09A721C6" w14:textId="77777777" w:rsidR="003955DB" w:rsidRPr="003D150F" w:rsidRDefault="003955DB" w:rsidP="003955DB">
            <w:pPr>
              <w:spacing w:after="0" w:line="240" w:lineRule="auto"/>
              <w:rPr>
                <w:rFonts w:ascii="Arial" w:hAnsi="Arial" w:cs="Arial"/>
                <w:b/>
                <w:bCs/>
                <w:sz w:val="20"/>
                <w:szCs w:val="20"/>
              </w:rPr>
            </w:pPr>
          </w:p>
          <w:p w14:paraId="6BC7568F" w14:textId="77777777" w:rsidR="003955DB" w:rsidRPr="003D150F" w:rsidRDefault="003955DB" w:rsidP="003955DB">
            <w:pPr>
              <w:spacing w:after="0" w:line="240" w:lineRule="auto"/>
              <w:rPr>
                <w:rFonts w:ascii="Arial" w:hAnsi="Arial" w:cs="Arial"/>
                <w:b/>
                <w:bCs/>
                <w:sz w:val="20"/>
                <w:szCs w:val="20"/>
              </w:rPr>
            </w:pPr>
          </w:p>
          <w:p w14:paraId="33C96DCE" w14:textId="59509D8A" w:rsidR="003955DB" w:rsidRPr="003D150F" w:rsidRDefault="003955DB" w:rsidP="003955DB">
            <w:pPr>
              <w:rPr>
                <w:rFonts w:ascii="Arial" w:hAnsi="Arial" w:cs="Arial"/>
                <w:b/>
                <w:bCs/>
                <w:sz w:val="20"/>
                <w:szCs w:val="20"/>
              </w:rPr>
            </w:pPr>
            <w:r w:rsidRPr="003D150F">
              <w:rPr>
                <w:rFonts w:ascii="Arial" w:hAnsi="Arial" w:cs="Arial"/>
                <w:b/>
                <w:bCs/>
                <w:sz w:val="20"/>
                <w:szCs w:val="20"/>
              </w:rPr>
              <w:t>5</w:t>
            </w:r>
            <w:r w:rsidRPr="003D150F">
              <w:rPr>
                <w:rFonts w:ascii="Arial" w:hAnsi="Arial" w:cs="Arial"/>
                <w:b/>
                <w:sz w:val="20"/>
                <w:szCs w:val="20"/>
              </w:rPr>
              <w:t>.3 Non-overlap of the policy response</w:t>
            </w:r>
          </w:p>
        </w:tc>
        <w:tc>
          <w:tcPr>
            <w:tcW w:w="6946" w:type="dxa"/>
            <w:shd w:val="clear" w:color="auto" w:fill="auto"/>
          </w:tcPr>
          <w:p w14:paraId="55861A3D" w14:textId="2541A7F0" w:rsidR="00431F63" w:rsidRDefault="00F2363A" w:rsidP="00F2363A">
            <w:pPr>
              <w:spacing w:after="0"/>
              <w:rPr>
                <w:rFonts w:ascii="Arial" w:hAnsi="Arial" w:cs="Arial"/>
                <w:sz w:val="20"/>
                <w:szCs w:val="20"/>
              </w:rPr>
            </w:pPr>
            <w:r w:rsidRPr="00F2363A">
              <w:rPr>
                <w:rFonts w:ascii="Arial" w:hAnsi="Arial" w:cs="Arial"/>
                <w:sz w:val="20"/>
                <w:szCs w:val="20"/>
              </w:rPr>
              <w:t>The risk</w:t>
            </w:r>
            <w:r w:rsidR="00B975A0">
              <w:rPr>
                <w:rFonts w:ascii="Arial" w:hAnsi="Arial" w:cs="Arial"/>
                <w:sz w:val="20"/>
                <w:szCs w:val="20"/>
              </w:rPr>
              <w:t xml:space="preserve"> </w:t>
            </w:r>
            <w:r w:rsidRPr="00F2363A">
              <w:rPr>
                <w:rFonts w:ascii="Arial" w:hAnsi="Arial" w:cs="Arial"/>
                <w:sz w:val="20"/>
                <w:szCs w:val="20"/>
              </w:rPr>
              <w:t xml:space="preserve">weight floor is non-overlapping but complementary to the level of the systemic risk buffer requirement. The Ministry of Finance has set a systemic risk buffer requirement at a level which is commensurate with the level and intensity of structural long-term risks in the Norwegian financial system. </w:t>
            </w:r>
          </w:p>
          <w:p w14:paraId="214953A0" w14:textId="77777777" w:rsidR="00431F63" w:rsidRDefault="00431F63" w:rsidP="00F2363A">
            <w:pPr>
              <w:spacing w:after="0"/>
              <w:rPr>
                <w:rFonts w:ascii="Arial" w:hAnsi="Arial" w:cs="Arial"/>
                <w:sz w:val="20"/>
                <w:szCs w:val="20"/>
              </w:rPr>
            </w:pPr>
          </w:p>
          <w:p w14:paraId="03C4F9CC" w14:textId="09A76CC0" w:rsidR="00E2508B" w:rsidRDefault="00F2363A" w:rsidP="00F2363A">
            <w:pPr>
              <w:spacing w:after="0"/>
              <w:rPr>
                <w:rFonts w:ascii="Arial" w:hAnsi="Arial" w:cs="Arial"/>
                <w:sz w:val="20"/>
                <w:szCs w:val="20"/>
              </w:rPr>
            </w:pPr>
            <w:r w:rsidRPr="00F2363A">
              <w:rPr>
                <w:rFonts w:ascii="Arial" w:hAnsi="Arial" w:cs="Arial"/>
                <w:sz w:val="20"/>
                <w:szCs w:val="20"/>
              </w:rPr>
              <w:t>While the structural and cyclical dimensions of systemic risk are not easily distinguishable, especially when it comes to debt and real estate prices, the risk</w:t>
            </w:r>
            <w:r w:rsidR="00B975A0">
              <w:rPr>
                <w:rFonts w:ascii="Arial" w:hAnsi="Arial" w:cs="Arial"/>
                <w:sz w:val="20"/>
                <w:szCs w:val="20"/>
              </w:rPr>
              <w:t xml:space="preserve"> </w:t>
            </w:r>
            <w:r w:rsidRPr="00F2363A">
              <w:rPr>
                <w:rFonts w:ascii="Arial" w:hAnsi="Arial" w:cs="Arial"/>
                <w:sz w:val="20"/>
                <w:szCs w:val="20"/>
              </w:rPr>
              <w:t xml:space="preserve">weight floor is primarily intended to mitigate the cyclical systemic risks associated with potential asset bubbles and financial imbalances related to the corporate real estate market, which have </w:t>
            </w:r>
            <w:r w:rsidR="00B975A0" w:rsidRPr="00B975A0">
              <w:rPr>
                <w:rFonts w:ascii="Arial" w:hAnsi="Arial" w:cs="Arial"/>
                <w:sz w:val="20"/>
                <w:szCs w:val="20"/>
              </w:rPr>
              <w:t>built up over many years in the Norwegian economy</w:t>
            </w:r>
            <w:r w:rsidRPr="00F2363A">
              <w:rPr>
                <w:rFonts w:ascii="Arial" w:hAnsi="Arial" w:cs="Arial"/>
                <w:sz w:val="20"/>
                <w:szCs w:val="20"/>
              </w:rPr>
              <w:t xml:space="preserve"> (see section 4.1). </w:t>
            </w:r>
          </w:p>
          <w:p w14:paraId="4C8064EA" w14:textId="77777777" w:rsidR="00E2508B" w:rsidRDefault="00E2508B" w:rsidP="00F2363A">
            <w:pPr>
              <w:spacing w:after="0"/>
              <w:rPr>
                <w:rFonts w:ascii="Arial" w:hAnsi="Arial" w:cs="Arial"/>
                <w:sz w:val="20"/>
                <w:szCs w:val="20"/>
              </w:rPr>
            </w:pPr>
          </w:p>
          <w:p w14:paraId="2AC042F0" w14:textId="2396A6D6" w:rsidR="00F2363A" w:rsidRPr="00F2363A" w:rsidRDefault="00F2363A" w:rsidP="00F2363A">
            <w:pPr>
              <w:spacing w:after="0"/>
              <w:rPr>
                <w:rFonts w:ascii="Arial" w:hAnsi="Arial" w:cs="Arial"/>
                <w:sz w:val="20"/>
                <w:szCs w:val="20"/>
              </w:rPr>
            </w:pPr>
            <w:r w:rsidRPr="00F2363A">
              <w:rPr>
                <w:rFonts w:ascii="Arial" w:hAnsi="Arial" w:cs="Arial"/>
                <w:sz w:val="20"/>
                <w:szCs w:val="20"/>
              </w:rPr>
              <w:t>The risk weight floor is also considered complementary insofar as the systemic risk buffer increases the pillar 1 capital requirement for all exposures in Norway, whereas the risk</w:t>
            </w:r>
            <w:r w:rsidR="00B975A0">
              <w:rPr>
                <w:rFonts w:ascii="Arial" w:hAnsi="Arial" w:cs="Arial"/>
                <w:sz w:val="20"/>
                <w:szCs w:val="20"/>
              </w:rPr>
              <w:t xml:space="preserve"> </w:t>
            </w:r>
            <w:r w:rsidRPr="00F2363A">
              <w:rPr>
                <w:rFonts w:ascii="Arial" w:hAnsi="Arial" w:cs="Arial"/>
                <w:sz w:val="20"/>
                <w:szCs w:val="20"/>
              </w:rPr>
              <w:t>weight floor is intended to help prevent underestimation of the risk-weighted exposures.</w:t>
            </w:r>
          </w:p>
        </w:tc>
      </w:tr>
      <w:permEnd w:id="1468339690"/>
      <w:tr w:rsidR="00466311" w:rsidRPr="00D406C5" w14:paraId="683EFD92" w14:textId="77777777" w:rsidTr="00033412">
        <w:trPr>
          <w:trHeight w:val="561"/>
        </w:trPr>
        <w:tc>
          <w:tcPr>
            <w:tcW w:w="9464" w:type="dxa"/>
            <w:gridSpan w:val="2"/>
            <w:shd w:val="clear" w:color="auto" w:fill="BFBFBF"/>
            <w:vAlign w:val="center"/>
          </w:tcPr>
          <w:p w14:paraId="75701769" w14:textId="77777777" w:rsidR="00466311" w:rsidRPr="00D406C5" w:rsidRDefault="00466311" w:rsidP="001048DB">
            <w:pPr>
              <w:keepNext/>
              <w:numPr>
                <w:ilvl w:val="0"/>
                <w:numId w:val="5"/>
              </w:numPr>
              <w:spacing w:after="0" w:line="240" w:lineRule="auto"/>
              <w:contextualSpacing/>
              <w:rPr>
                <w:rFonts w:ascii="Arial" w:hAnsi="Arial" w:cs="Arial"/>
                <w:b/>
                <w:sz w:val="20"/>
                <w:szCs w:val="20"/>
              </w:rPr>
            </w:pPr>
            <w:r>
              <w:rPr>
                <w:rFonts w:ascii="Arial" w:hAnsi="Arial" w:cs="Arial"/>
                <w:b/>
                <w:sz w:val="20"/>
                <w:szCs w:val="20"/>
              </w:rPr>
              <w:lastRenderedPageBreak/>
              <w:t>Cross-border and cross-sector impact of the measure</w:t>
            </w:r>
          </w:p>
        </w:tc>
      </w:tr>
      <w:tr w:rsidR="00466311" w:rsidRPr="00174EBB" w14:paraId="485EB564" w14:textId="77777777" w:rsidTr="009D72BB">
        <w:trPr>
          <w:trHeight w:val="4379"/>
        </w:trPr>
        <w:tc>
          <w:tcPr>
            <w:tcW w:w="2518" w:type="dxa"/>
            <w:shd w:val="clear" w:color="auto" w:fill="auto"/>
            <w:vAlign w:val="center"/>
          </w:tcPr>
          <w:p w14:paraId="5392AF91" w14:textId="3EE1A4DA" w:rsidR="00466311" w:rsidRPr="00174EBB" w:rsidRDefault="00466311" w:rsidP="00466311">
            <w:pPr>
              <w:spacing w:after="100"/>
              <w:rPr>
                <w:rFonts w:ascii="Arial" w:eastAsia="Times New Roman" w:hAnsi="Arial" w:cs="Arial"/>
                <w:b/>
                <w:sz w:val="20"/>
                <w:szCs w:val="20"/>
                <w:lang w:eastAsia="de-DE" w:bidi="pa-IN"/>
              </w:rPr>
            </w:pPr>
            <w:permStart w:id="1055740087" w:edGrp="everyone" w:colFirst="1" w:colLast="1"/>
            <w:r>
              <w:rPr>
                <w:rFonts w:ascii="Arial" w:eastAsia="Times New Roman" w:hAnsi="Arial" w:cs="Arial"/>
                <w:b/>
                <w:sz w:val="20"/>
                <w:szCs w:val="20"/>
                <w:lang w:eastAsia="de-DE" w:bidi="pa-IN"/>
              </w:rPr>
              <w:t>6</w:t>
            </w:r>
            <w:r w:rsidRPr="00174EBB">
              <w:rPr>
                <w:rFonts w:ascii="Arial" w:eastAsia="Times New Roman" w:hAnsi="Arial" w:cs="Arial"/>
                <w:b/>
                <w:sz w:val="20"/>
                <w:szCs w:val="20"/>
                <w:lang w:eastAsia="de-DE" w:bidi="pa-IN"/>
              </w:rPr>
              <w:t>.</w:t>
            </w:r>
            <w:r>
              <w:rPr>
                <w:rFonts w:ascii="Arial" w:eastAsia="Times New Roman" w:hAnsi="Arial" w:cs="Arial"/>
                <w:b/>
                <w:sz w:val="20"/>
                <w:szCs w:val="20"/>
                <w:lang w:eastAsia="de-DE" w:bidi="pa-IN"/>
              </w:rPr>
              <w:t>1</w:t>
            </w:r>
            <w:r w:rsidRPr="00174EBB">
              <w:rPr>
                <w:rFonts w:ascii="Arial" w:eastAsia="Times New Roman" w:hAnsi="Arial" w:cs="Arial"/>
                <w:b/>
                <w:sz w:val="20"/>
                <w:szCs w:val="20"/>
                <w:lang w:eastAsia="de-DE" w:bidi="pa-IN"/>
              </w:rPr>
              <w:t xml:space="preserve"> Assessment of </w:t>
            </w:r>
            <w:r>
              <w:rPr>
                <w:rFonts w:ascii="Arial" w:eastAsia="Times New Roman" w:hAnsi="Arial" w:cs="Arial"/>
                <w:b/>
                <w:sz w:val="20"/>
                <w:szCs w:val="20"/>
                <w:lang w:eastAsia="de-DE" w:bidi="pa-IN"/>
              </w:rPr>
              <w:t xml:space="preserve">cross-border effects and </w:t>
            </w:r>
            <w:r w:rsidRPr="00174EBB">
              <w:rPr>
                <w:rFonts w:ascii="Arial" w:eastAsia="Times New Roman" w:hAnsi="Arial" w:cs="Arial"/>
                <w:b/>
                <w:sz w:val="20"/>
                <w:szCs w:val="20"/>
                <w:lang w:eastAsia="de-DE" w:bidi="pa-IN"/>
              </w:rPr>
              <w:t xml:space="preserve">the likely impact on the </w:t>
            </w:r>
            <w:r w:rsidR="00AD321C">
              <w:rPr>
                <w:rFonts w:ascii="Arial" w:eastAsia="Times New Roman" w:hAnsi="Arial" w:cs="Arial"/>
                <w:b/>
                <w:sz w:val="20"/>
                <w:szCs w:val="20"/>
                <w:lang w:eastAsia="de-DE" w:bidi="pa-IN"/>
              </w:rPr>
              <w:t>I</w:t>
            </w:r>
            <w:r w:rsidRPr="00174EBB">
              <w:rPr>
                <w:rFonts w:ascii="Arial" w:eastAsia="Times New Roman" w:hAnsi="Arial" w:cs="Arial"/>
                <w:b/>
                <w:sz w:val="20"/>
                <w:szCs w:val="20"/>
                <w:lang w:eastAsia="de-DE" w:bidi="pa-IN"/>
              </w:rPr>
              <w:t xml:space="preserve">nternal </w:t>
            </w:r>
            <w:r w:rsidR="00AD321C">
              <w:rPr>
                <w:rFonts w:ascii="Arial" w:eastAsia="Times New Roman" w:hAnsi="Arial" w:cs="Arial"/>
                <w:b/>
                <w:sz w:val="20"/>
                <w:szCs w:val="20"/>
                <w:lang w:eastAsia="de-DE" w:bidi="pa-IN"/>
              </w:rPr>
              <w:t>M</w:t>
            </w:r>
            <w:r w:rsidRPr="00174EBB">
              <w:rPr>
                <w:rFonts w:ascii="Arial" w:eastAsia="Times New Roman" w:hAnsi="Arial" w:cs="Arial"/>
                <w:b/>
                <w:sz w:val="20"/>
                <w:szCs w:val="20"/>
                <w:lang w:eastAsia="de-DE" w:bidi="pa-IN"/>
              </w:rPr>
              <w:t>arket</w:t>
            </w:r>
          </w:p>
          <w:p w14:paraId="3D662C3C" w14:textId="717E02DA" w:rsidR="00466311" w:rsidRPr="00174EBB" w:rsidRDefault="00466311" w:rsidP="00466311">
            <w:pPr>
              <w:spacing w:after="100"/>
              <w:rPr>
                <w:rFonts w:ascii="Arial" w:eastAsia="Times New Roman" w:hAnsi="Arial" w:cs="Arial"/>
                <w:b/>
                <w:sz w:val="20"/>
                <w:szCs w:val="20"/>
                <w:lang w:eastAsia="de-DE" w:bidi="pa-IN"/>
              </w:rPr>
            </w:pPr>
            <w:r w:rsidRPr="00174EBB">
              <w:rPr>
                <w:rFonts w:ascii="Arial" w:eastAsia="Times New Roman" w:hAnsi="Arial" w:cs="Arial"/>
                <w:b/>
                <w:sz w:val="20"/>
                <w:szCs w:val="20"/>
                <w:lang w:eastAsia="de-DE" w:bidi="pa-IN"/>
              </w:rPr>
              <w:t>(Article 458(2)(f) CRR</w:t>
            </w:r>
            <w:r>
              <w:rPr>
                <w:rFonts w:ascii="Arial" w:eastAsia="Times New Roman" w:hAnsi="Arial" w:cs="Arial"/>
                <w:b/>
                <w:sz w:val="20"/>
                <w:szCs w:val="20"/>
                <w:lang w:eastAsia="de-DE" w:bidi="pa-IN"/>
              </w:rPr>
              <w:t xml:space="preserve"> and Recommendation ESRB/</w:t>
            </w:r>
            <w:r w:rsidRPr="00B41EEB">
              <w:rPr>
                <w:rFonts w:ascii="Arial" w:eastAsia="Times New Roman" w:hAnsi="Arial" w:cs="Arial"/>
                <w:b/>
                <w:sz w:val="20"/>
                <w:szCs w:val="20"/>
                <w:lang w:eastAsia="de-DE" w:bidi="pa-IN"/>
              </w:rPr>
              <w:t>2015/</w:t>
            </w:r>
            <w:r w:rsidRPr="00285710">
              <w:rPr>
                <w:rFonts w:ascii="Arial" w:eastAsia="Times New Roman" w:hAnsi="Arial" w:cs="Arial"/>
                <w:b/>
                <w:sz w:val="20"/>
                <w:szCs w:val="20"/>
                <w:lang w:eastAsia="de-DE" w:bidi="pa-IN"/>
              </w:rPr>
              <w:t>2</w:t>
            </w:r>
            <w:r w:rsidR="001D1FCB">
              <w:rPr>
                <w:rStyle w:val="Fotnotereferanse"/>
                <w:rFonts w:ascii="Arial" w:eastAsia="Times New Roman" w:hAnsi="Arial"/>
                <w:b/>
                <w:sz w:val="18"/>
                <w:szCs w:val="18"/>
                <w:lang w:eastAsia="de-DE" w:bidi="pa-IN"/>
              </w:rPr>
              <w:footnoteReference w:id="9"/>
            </w:r>
            <w:r w:rsidRPr="00B41EEB">
              <w:rPr>
                <w:rFonts w:ascii="Arial" w:eastAsia="Times New Roman" w:hAnsi="Arial" w:cs="Arial"/>
                <w:b/>
                <w:sz w:val="20"/>
                <w:szCs w:val="20"/>
                <w:lang w:eastAsia="de-DE" w:bidi="pa-IN"/>
              </w:rPr>
              <w:t>)</w:t>
            </w:r>
          </w:p>
        </w:tc>
        <w:tc>
          <w:tcPr>
            <w:tcW w:w="6946" w:type="dxa"/>
            <w:shd w:val="clear" w:color="auto" w:fill="auto"/>
            <w:vAlign w:val="center"/>
          </w:tcPr>
          <w:p w14:paraId="2C976DDE" w14:textId="53BFF543" w:rsidR="00466311" w:rsidRPr="00174EBB" w:rsidDel="00416D9F" w:rsidRDefault="006F7FDC" w:rsidP="00696752">
            <w:pPr>
              <w:spacing w:after="100"/>
              <w:contextualSpacing/>
              <w:rPr>
                <w:rFonts w:ascii="Arial" w:hAnsi="Arial" w:cs="Arial"/>
                <w:sz w:val="20"/>
                <w:szCs w:val="20"/>
              </w:rPr>
            </w:pPr>
            <w:r w:rsidRPr="00CE396A">
              <w:rPr>
                <w:rFonts w:ascii="Arial" w:eastAsia="Times New Roman" w:hAnsi="Arial" w:cs="Arial"/>
                <w:sz w:val="20"/>
                <w:szCs w:val="20"/>
                <w:lang w:eastAsia="de-DE" w:bidi="pa-IN"/>
              </w:rPr>
              <w:t>The measure will promote domestic financial stability in Norway by</w:t>
            </w:r>
            <w:r w:rsidR="00B975A0">
              <w:rPr>
                <w:rFonts w:ascii="Arial" w:eastAsia="Times New Roman" w:hAnsi="Arial" w:cs="Arial"/>
                <w:sz w:val="20"/>
                <w:szCs w:val="20"/>
                <w:lang w:eastAsia="de-DE" w:bidi="pa-IN"/>
              </w:rPr>
              <w:t xml:space="preserve"> </w:t>
            </w:r>
            <w:r w:rsidRPr="00CE396A">
              <w:rPr>
                <w:rFonts w:ascii="Arial" w:eastAsia="Times New Roman" w:hAnsi="Arial" w:cs="Arial"/>
                <w:sz w:val="20"/>
                <w:szCs w:val="20"/>
                <w:lang w:eastAsia="de-DE" w:bidi="pa-IN"/>
              </w:rPr>
              <w:t>contributing to an average risk-</w:t>
            </w:r>
            <w:r w:rsidR="00950727" w:rsidRPr="00CE396A">
              <w:rPr>
                <w:rFonts w:ascii="Arial" w:eastAsia="Times New Roman" w:hAnsi="Arial" w:cs="Arial"/>
                <w:sz w:val="20"/>
                <w:szCs w:val="20"/>
                <w:lang w:eastAsia="de-DE" w:bidi="pa-IN"/>
              </w:rPr>
              <w:t>weight</w:t>
            </w:r>
            <w:r w:rsidRPr="00CE396A">
              <w:rPr>
                <w:rFonts w:ascii="Arial" w:eastAsia="Times New Roman" w:hAnsi="Arial" w:cs="Arial"/>
                <w:sz w:val="20"/>
                <w:szCs w:val="20"/>
                <w:lang w:eastAsia="de-DE" w:bidi="pa-IN"/>
              </w:rPr>
              <w:t xml:space="preserve"> of </w:t>
            </w:r>
            <w:r w:rsidR="00950727" w:rsidRPr="00CE396A">
              <w:rPr>
                <w:rFonts w:ascii="Arial" w:eastAsia="Times New Roman" w:hAnsi="Arial" w:cs="Arial"/>
                <w:sz w:val="20"/>
                <w:szCs w:val="20"/>
                <w:lang w:eastAsia="de-DE" w:bidi="pa-IN"/>
              </w:rPr>
              <w:t>residential</w:t>
            </w:r>
            <w:r w:rsidRPr="00CE396A">
              <w:rPr>
                <w:rFonts w:ascii="Arial" w:eastAsia="Times New Roman" w:hAnsi="Arial" w:cs="Arial"/>
                <w:sz w:val="20"/>
                <w:szCs w:val="20"/>
                <w:lang w:eastAsia="de-DE" w:bidi="pa-IN"/>
              </w:rPr>
              <w:t xml:space="preserve"> real estate exposures that is considered appropriate in the current risk environment. If authorities of other EEA states reciprocate the measure, it may have a positive impact on other EEA markets where the relevant institutions have activities, since it could increase institutions’ loss-absorbing capacity related to Norwegian credit exposures. A misalignment of risks and loss-absorbing capital associated with the Nordic institutions’ Norwegian operations may have repercussions for the institutions’ ability to serve other markets. For several institutions domiciled in other Nordic countries, lending in the Norwegian market constitutes a significant portion of their total lending. </w:t>
            </w:r>
            <w:r w:rsidR="00950727" w:rsidRPr="00CE396A">
              <w:rPr>
                <w:rFonts w:ascii="Arial" w:eastAsia="Times New Roman" w:hAnsi="Arial" w:cs="Arial"/>
                <w:sz w:val="20"/>
                <w:szCs w:val="20"/>
                <w:lang w:eastAsia="de-DE" w:bidi="pa-IN"/>
              </w:rPr>
              <w:t>Reference</w:t>
            </w:r>
            <w:r w:rsidRPr="00CE396A">
              <w:rPr>
                <w:rFonts w:ascii="Arial" w:eastAsia="Times New Roman" w:hAnsi="Arial" w:cs="Arial"/>
                <w:sz w:val="20"/>
                <w:szCs w:val="20"/>
                <w:lang w:eastAsia="de-DE" w:bidi="pa-IN"/>
              </w:rPr>
              <w:t xml:space="preserve"> is </w:t>
            </w:r>
            <w:r w:rsidR="00950727" w:rsidRPr="00CE396A">
              <w:rPr>
                <w:rFonts w:ascii="Arial" w:eastAsia="Times New Roman" w:hAnsi="Arial" w:cs="Arial"/>
                <w:sz w:val="20"/>
                <w:szCs w:val="20"/>
                <w:lang w:eastAsia="de-DE" w:bidi="pa-IN"/>
              </w:rPr>
              <w:t>made to the</w:t>
            </w:r>
            <w:r w:rsidRPr="00CE396A">
              <w:rPr>
                <w:rFonts w:ascii="Arial" w:eastAsia="Times New Roman" w:hAnsi="Arial" w:cs="Arial"/>
                <w:sz w:val="20"/>
                <w:szCs w:val="20"/>
                <w:lang w:eastAsia="de-DE" w:bidi="pa-IN"/>
              </w:rPr>
              <w:t xml:space="preserve"> MoU signed by the relevant Nordic ministries in 2016, which acknowledges ESRB recommendations as a “minimum standard for reciprocity in macro-prudential matters”.</w:t>
            </w:r>
            <w:r w:rsidR="00BD04EC">
              <w:rPr>
                <w:rStyle w:val="Fotnotereferanse"/>
                <w:rFonts w:ascii="Arial" w:eastAsia="Times New Roman" w:hAnsi="Arial" w:cs="Arial"/>
                <w:sz w:val="20"/>
                <w:szCs w:val="20"/>
                <w:lang w:eastAsia="de-DE" w:bidi="pa-IN"/>
              </w:rPr>
              <w:footnoteReference w:id="10"/>
            </w:r>
          </w:p>
        </w:tc>
      </w:tr>
      <w:tr w:rsidR="00466311" w:rsidRPr="00070540" w14:paraId="62D8B83C" w14:textId="77777777" w:rsidTr="00357F12">
        <w:trPr>
          <w:trHeight w:val="1706"/>
        </w:trPr>
        <w:tc>
          <w:tcPr>
            <w:tcW w:w="2518" w:type="dxa"/>
            <w:shd w:val="clear" w:color="auto" w:fill="auto"/>
            <w:vAlign w:val="center"/>
          </w:tcPr>
          <w:p w14:paraId="74618BB3" w14:textId="77777777" w:rsidR="00466311" w:rsidRPr="00174EBB" w:rsidRDefault="00466311" w:rsidP="00466311">
            <w:pPr>
              <w:spacing w:after="100"/>
              <w:rPr>
                <w:rFonts w:ascii="Arial" w:eastAsia="Times New Roman" w:hAnsi="Arial" w:cs="Arial"/>
                <w:b/>
                <w:sz w:val="20"/>
                <w:szCs w:val="20"/>
                <w:lang w:eastAsia="de-DE" w:bidi="pa-IN"/>
              </w:rPr>
            </w:pPr>
            <w:permStart w:id="1346197895" w:edGrp="everyone" w:colFirst="1" w:colLast="1"/>
            <w:permEnd w:id="1055740087"/>
            <w:r>
              <w:rPr>
                <w:rFonts w:ascii="Arial" w:eastAsia="Times New Roman" w:hAnsi="Arial" w:cs="Arial"/>
                <w:b/>
                <w:sz w:val="20"/>
                <w:szCs w:val="20"/>
                <w:lang w:eastAsia="de-DE" w:bidi="pa-IN"/>
              </w:rPr>
              <w:t>6</w:t>
            </w:r>
            <w:r w:rsidRPr="00174EBB">
              <w:rPr>
                <w:rFonts w:ascii="Arial" w:eastAsia="Times New Roman" w:hAnsi="Arial" w:cs="Arial"/>
                <w:b/>
                <w:sz w:val="20"/>
                <w:szCs w:val="20"/>
                <w:lang w:eastAsia="de-DE" w:bidi="pa-IN"/>
              </w:rPr>
              <w:t>.</w:t>
            </w:r>
            <w:r>
              <w:rPr>
                <w:rFonts w:ascii="Arial" w:eastAsia="Times New Roman" w:hAnsi="Arial" w:cs="Arial"/>
                <w:b/>
                <w:sz w:val="20"/>
                <w:szCs w:val="20"/>
                <w:lang w:eastAsia="de-DE" w:bidi="pa-IN"/>
              </w:rPr>
              <w:t>2</w:t>
            </w:r>
            <w:r w:rsidRPr="00174EBB">
              <w:rPr>
                <w:rFonts w:ascii="Arial" w:eastAsia="Times New Roman" w:hAnsi="Arial" w:cs="Arial"/>
                <w:b/>
                <w:sz w:val="20"/>
                <w:szCs w:val="20"/>
                <w:lang w:eastAsia="de-DE" w:bidi="pa-IN"/>
              </w:rPr>
              <w:t xml:space="preserve"> Assessment of leakages</w:t>
            </w:r>
            <w:r>
              <w:rPr>
                <w:rFonts w:ascii="Arial" w:eastAsia="Times New Roman" w:hAnsi="Arial" w:cs="Arial"/>
                <w:b/>
                <w:sz w:val="20"/>
                <w:szCs w:val="20"/>
                <w:lang w:eastAsia="de-DE" w:bidi="pa-IN"/>
              </w:rPr>
              <w:t xml:space="preserve"> and regulatory arbitrage within the notifying Member State</w:t>
            </w:r>
          </w:p>
        </w:tc>
        <w:tc>
          <w:tcPr>
            <w:tcW w:w="6946" w:type="dxa"/>
            <w:shd w:val="clear" w:color="auto" w:fill="auto"/>
          </w:tcPr>
          <w:p w14:paraId="3316725F" w14:textId="77777777" w:rsidR="00B7514E" w:rsidRDefault="00B7514E" w:rsidP="00466311">
            <w:pPr>
              <w:spacing w:after="100"/>
              <w:rPr>
                <w:rFonts w:ascii="Arial" w:eastAsia="Times New Roman" w:hAnsi="Arial" w:cs="Arial"/>
                <w:sz w:val="20"/>
                <w:szCs w:val="20"/>
                <w:lang w:eastAsia="de-DE" w:bidi="pa-IN"/>
              </w:rPr>
            </w:pPr>
            <w:r w:rsidRPr="00B7514E">
              <w:rPr>
                <w:rFonts w:ascii="Arial" w:eastAsia="Times New Roman" w:hAnsi="Arial" w:cs="Arial"/>
                <w:sz w:val="20"/>
                <w:szCs w:val="20"/>
                <w:lang w:eastAsia="de-DE" w:bidi="pa-IN"/>
              </w:rPr>
              <w:t>The measure is not expected to contribute to leakages or regulatory arbitrage within the Norwegian financial system. Experiences with current capital levels in Norwegian institutions do not suggest that there is significant potential for migration to “shadow banking” or other sectors of the financial system. The scope for regulatory arbitrage is generally very limited within the Norwegian financial system, owed to a consistent adherence to the principle of “same risk, same regulation”.</w:t>
            </w:r>
          </w:p>
          <w:p w14:paraId="7E06B849" w14:textId="1CDA3EB1" w:rsidR="00466311" w:rsidRPr="00070540" w:rsidRDefault="00B7514E" w:rsidP="00466311">
            <w:pPr>
              <w:spacing w:after="100"/>
              <w:rPr>
                <w:rFonts w:ascii="Arial" w:eastAsia="Times New Roman" w:hAnsi="Arial" w:cs="Arial"/>
                <w:sz w:val="20"/>
                <w:szCs w:val="20"/>
                <w:lang w:eastAsia="de-DE" w:bidi="pa-IN"/>
              </w:rPr>
            </w:pPr>
            <w:r w:rsidRPr="00B7514E">
              <w:rPr>
                <w:rFonts w:ascii="Arial" w:eastAsia="Times New Roman" w:hAnsi="Arial" w:cs="Arial"/>
                <w:sz w:val="20"/>
                <w:szCs w:val="20"/>
                <w:lang w:eastAsia="de-DE" w:bidi="pa-IN"/>
              </w:rPr>
              <w:t>If domestic macroprudential policy measures are not reciprocated, however, there may be risks associated with leakage from the domestic financial system to other EEA systems. The effectiveness of the measures would then be undermined.</w:t>
            </w:r>
          </w:p>
        </w:tc>
      </w:tr>
      <w:tr w:rsidR="00466311" w:rsidRPr="00070540" w14:paraId="28C5D7C2" w14:textId="77777777" w:rsidTr="00357F12">
        <w:trPr>
          <w:trHeight w:val="2256"/>
        </w:trPr>
        <w:tc>
          <w:tcPr>
            <w:tcW w:w="2518" w:type="dxa"/>
            <w:shd w:val="clear" w:color="auto" w:fill="auto"/>
            <w:vAlign w:val="center"/>
          </w:tcPr>
          <w:p w14:paraId="2B72AD1B" w14:textId="7E5416A6" w:rsidR="00466311" w:rsidRPr="000C2119" w:rsidRDefault="00466311" w:rsidP="00466311">
            <w:pPr>
              <w:spacing w:before="120" w:after="120"/>
              <w:rPr>
                <w:rFonts w:ascii="Arial" w:eastAsia="Times New Roman" w:hAnsi="Arial" w:cs="Arial"/>
                <w:b/>
                <w:sz w:val="20"/>
                <w:szCs w:val="20"/>
                <w:lang w:eastAsia="de-DE" w:bidi="pa-IN"/>
              </w:rPr>
            </w:pPr>
            <w:permStart w:id="1786252147" w:edGrp="everyone" w:colFirst="1" w:colLast="1"/>
            <w:permEnd w:id="1346197895"/>
            <w:r w:rsidRPr="000C2119">
              <w:rPr>
                <w:rFonts w:ascii="Arial" w:eastAsia="Times New Roman" w:hAnsi="Arial" w:cs="Arial"/>
                <w:b/>
                <w:sz w:val="20"/>
                <w:szCs w:val="20"/>
                <w:lang w:eastAsia="de-DE" w:bidi="pa-IN"/>
              </w:rPr>
              <w:t>6.3 R</w:t>
            </w:r>
            <w:r>
              <w:rPr>
                <w:rFonts w:ascii="Arial" w:eastAsia="Times New Roman" w:hAnsi="Arial" w:cs="Arial"/>
                <w:b/>
                <w:sz w:val="20"/>
                <w:szCs w:val="20"/>
                <w:lang w:eastAsia="de-DE" w:bidi="pa-IN"/>
              </w:rPr>
              <w:t>equest for r</w:t>
            </w:r>
            <w:r w:rsidRPr="000C2119">
              <w:rPr>
                <w:rFonts w:ascii="Arial" w:eastAsia="Times New Roman" w:hAnsi="Arial" w:cs="Arial"/>
                <w:b/>
                <w:sz w:val="20"/>
                <w:szCs w:val="20"/>
                <w:lang w:eastAsia="de-DE" w:bidi="pa-IN"/>
              </w:rPr>
              <w:t>eciprocation by other Member States</w:t>
            </w:r>
          </w:p>
          <w:p w14:paraId="18C19B0E" w14:textId="46C91FC4" w:rsidR="00466311" w:rsidRPr="00174EBB" w:rsidRDefault="00466311" w:rsidP="00466311">
            <w:pPr>
              <w:spacing w:after="100"/>
              <w:rPr>
                <w:rFonts w:ascii="Arial" w:eastAsia="Times New Roman" w:hAnsi="Arial" w:cs="Arial"/>
                <w:b/>
                <w:sz w:val="20"/>
                <w:szCs w:val="20"/>
                <w:lang w:eastAsia="de-DE" w:bidi="pa-IN"/>
              </w:rPr>
            </w:pPr>
            <w:r w:rsidRPr="000C2119">
              <w:rPr>
                <w:rFonts w:ascii="Arial" w:eastAsia="Times New Roman" w:hAnsi="Arial" w:cs="Arial"/>
                <w:b/>
                <w:sz w:val="20"/>
                <w:szCs w:val="20"/>
                <w:lang w:eastAsia="de-DE" w:bidi="pa-IN"/>
              </w:rPr>
              <w:t xml:space="preserve">(Article </w:t>
            </w:r>
            <w:r w:rsidRPr="00174EBB">
              <w:rPr>
                <w:rFonts w:ascii="Arial" w:eastAsia="Times New Roman" w:hAnsi="Arial" w:cs="Arial"/>
                <w:b/>
                <w:sz w:val="20"/>
                <w:szCs w:val="20"/>
                <w:lang w:eastAsia="de-DE" w:bidi="pa-IN"/>
              </w:rPr>
              <w:t>458(8) CRR</w:t>
            </w:r>
            <w:r w:rsidRPr="000C2119">
              <w:rPr>
                <w:rFonts w:ascii="Arial" w:eastAsia="Times New Roman" w:hAnsi="Arial" w:cs="Arial"/>
                <w:b/>
                <w:sz w:val="20"/>
                <w:szCs w:val="20"/>
                <w:lang w:eastAsia="de-DE" w:bidi="pa-IN"/>
              </w:rPr>
              <w:t xml:space="preserve"> and Recommendation ESRB/2015/2)</w:t>
            </w:r>
          </w:p>
        </w:tc>
        <w:tc>
          <w:tcPr>
            <w:tcW w:w="6946" w:type="dxa"/>
            <w:shd w:val="clear" w:color="auto" w:fill="auto"/>
            <w:vAlign w:val="center"/>
          </w:tcPr>
          <w:p w14:paraId="5D4D9D74" w14:textId="1FAC2BC6" w:rsidR="00466311" w:rsidRDefault="00466311" w:rsidP="00466311">
            <w:pPr>
              <w:spacing w:after="100"/>
              <w:rPr>
                <w:rFonts w:ascii="Arial" w:eastAsia="Times New Roman" w:hAnsi="Arial" w:cs="Arial"/>
                <w:sz w:val="20"/>
                <w:szCs w:val="20"/>
                <w:lang w:eastAsia="de-DE" w:bidi="pa-IN"/>
              </w:rPr>
            </w:pPr>
            <w:r w:rsidRPr="001A665A">
              <w:rPr>
                <w:rFonts w:ascii="Arial" w:eastAsia="Times New Roman" w:hAnsi="Arial" w:cs="Arial"/>
                <w:sz w:val="20"/>
                <w:szCs w:val="20"/>
                <w:lang w:eastAsia="de-DE" w:bidi="pa-IN"/>
              </w:rPr>
              <w:t>Do</w:t>
            </w:r>
            <w:r w:rsidR="00851091">
              <w:rPr>
                <w:rFonts w:ascii="Arial" w:eastAsia="Times New Roman" w:hAnsi="Arial" w:cs="Arial"/>
                <w:sz w:val="20"/>
                <w:szCs w:val="20"/>
                <w:lang w:eastAsia="de-DE" w:bidi="pa-IN"/>
              </w:rPr>
              <w:t xml:space="preserve"> you</w:t>
            </w:r>
            <w:r w:rsidRPr="001A665A">
              <w:rPr>
                <w:rFonts w:ascii="Arial" w:eastAsia="Times New Roman" w:hAnsi="Arial" w:cs="Arial"/>
                <w:sz w:val="20"/>
                <w:szCs w:val="20"/>
                <w:lang w:eastAsia="de-DE" w:bidi="pa-IN"/>
              </w:rPr>
              <w:t xml:space="preserve"> intend to </w:t>
            </w:r>
            <w:r w:rsidR="00166C46">
              <w:rPr>
                <w:rFonts w:ascii="Arial" w:eastAsia="Times New Roman" w:hAnsi="Arial" w:cs="Arial"/>
                <w:sz w:val="20"/>
                <w:szCs w:val="20"/>
                <w:lang w:eastAsia="de-DE" w:bidi="pa-IN"/>
              </w:rPr>
              <w:t>ask</w:t>
            </w:r>
            <w:r w:rsidR="00166C46" w:rsidRPr="001A665A">
              <w:rPr>
                <w:rFonts w:ascii="Arial" w:eastAsia="Times New Roman" w:hAnsi="Arial" w:cs="Arial"/>
                <w:sz w:val="20"/>
                <w:szCs w:val="20"/>
                <w:lang w:eastAsia="de-DE" w:bidi="pa-IN"/>
              </w:rPr>
              <w:t xml:space="preserve"> </w:t>
            </w:r>
            <w:r w:rsidRPr="001A665A">
              <w:rPr>
                <w:rFonts w:ascii="Arial" w:eastAsia="Times New Roman" w:hAnsi="Arial" w:cs="Arial"/>
                <w:sz w:val="20"/>
                <w:szCs w:val="20"/>
                <w:lang w:eastAsia="de-DE" w:bidi="pa-IN"/>
              </w:rPr>
              <w:t>the ESRB to issue a recommendation to other Member States to reciprocate the measure in accordance with Article 458(8) CRR?</w:t>
            </w:r>
          </w:p>
          <w:p w14:paraId="56662C7F" w14:textId="59DB7AC8" w:rsidR="00466311" w:rsidRPr="004F576A" w:rsidRDefault="00301BB3" w:rsidP="005E6E93">
            <w:pPr>
              <w:spacing w:after="100"/>
              <w:rPr>
                <w:rFonts w:ascii="Arial" w:eastAsia="Times New Roman" w:hAnsi="Arial" w:cs="Arial"/>
                <w:sz w:val="20"/>
                <w:szCs w:val="20"/>
                <w:lang w:eastAsia="de-DE" w:bidi="pa-IN"/>
              </w:rPr>
            </w:pPr>
            <w:sdt>
              <w:sdtPr>
                <w:rPr>
                  <w:rFonts w:ascii="Arial" w:eastAsia="Times New Roman" w:hAnsi="Arial" w:cs="Arial"/>
                  <w:sz w:val="20"/>
                  <w:szCs w:val="20"/>
                  <w:lang w:eastAsia="de-DE" w:bidi="pa-IN"/>
                </w:rPr>
                <w:id w:val="-1606500379"/>
                <w:placeholder>
                  <w:docPart w:val="74DADADC5D06491D9DFBE65BCC32C818"/>
                </w:placeholder>
                <w:dropDownList>
                  <w:listItem w:value="Choose an item."/>
                  <w:listItem w:displayText="Yes" w:value="Yes"/>
                  <w:listItem w:displayText="No" w:value="No"/>
                  <w:listItem w:displayText="NA" w:value="NA"/>
                </w:dropDownList>
              </w:sdtPr>
              <w:sdtEndPr/>
              <w:sdtContent>
                <w:r w:rsidR="00B7514E">
                  <w:rPr>
                    <w:rFonts w:ascii="Arial" w:eastAsia="Times New Roman" w:hAnsi="Arial" w:cs="Arial"/>
                    <w:sz w:val="20"/>
                    <w:szCs w:val="20"/>
                    <w:lang w:eastAsia="de-DE" w:bidi="pa-IN"/>
                  </w:rPr>
                  <w:t>Yes</w:t>
                </w:r>
              </w:sdtContent>
            </w:sdt>
          </w:p>
        </w:tc>
      </w:tr>
      <w:tr w:rsidR="00466311" w:rsidRPr="00070540" w14:paraId="32EE4E1C" w14:textId="23A137E9" w:rsidTr="00357F12">
        <w:trPr>
          <w:trHeight w:val="3676"/>
        </w:trPr>
        <w:tc>
          <w:tcPr>
            <w:tcW w:w="2518" w:type="dxa"/>
            <w:shd w:val="clear" w:color="auto" w:fill="auto"/>
            <w:vAlign w:val="center"/>
          </w:tcPr>
          <w:p w14:paraId="0958D309" w14:textId="51C69115" w:rsidR="00466311" w:rsidRDefault="00466311" w:rsidP="00466311">
            <w:pPr>
              <w:spacing w:after="100"/>
              <w:rPr>
                <w:rFonts w:ascii="Arial" w:eastAsia="Times New Roman" w:hAnsi="Arial" w:cs="Arial"/>
                <w:b/>
                <w:sz w:val="20"/>
                <w:szCs w:val="20"/>
                <w:lang w:eastAsia="de-DE" w:bidi="pa-IN"/>
              </w:rPr>
            </w:pPr>
            <w:permStart w:id="2069122259" w:edGrp="everyone" w:colFirst="1" w:colLast="1"/>
            <w:permEnd w:id="1786252147"/>
          </w:p>
          <w:p w14:paraId="586D88BE" w14:textId="46DEA7E2" w:rsidR="00466311" w:rsidRPr="00174EBB" w:rsidRDefault="00466311" w:rsidP="00466311">
            <w:pPr>
              <w:spacing w:after="100"/>
              <w:rPr>
                <w:rFonts w:ascii="Arial" w:eastAsia="Times New Roman" w:hAnsi="Arial" w:cs="Arial"/>
                <w:b/>
                <w:sz w:val="20"/>
                <w:szCs w:val="20"/>
                <w:lang w:eastAsia="de-DE" w:bidi="pa-IN"/>
              </w:rPr>
            </w:pPr>
            <w:r>
              <w:rPr>
                <w:rFonts w:ascii="Arial" w:eastAsia="Times New Roman" w:hAnsi="Arial" w:cs="Arial"/>
                <w:b/>
                <w:sz w:val="20"/>
                <w:szCs w:val="20"/>
                <w:lang w:eastAsia="de-DE" w:bidi="pa-IN"/>
              </w:rPr>
              <w:t>6.4</w:t>
            </w:r>
            <w:r w:rsidRPr="00174EBB">
              <w:rPr>
                <w:rFonts w:ascii="Arial" w:eastAsia="Times New Roman" w:hAnsi="Arial" w:cs="Arial"/>
                <w:b/>
                <w:sz w:val="20"/>
                <w:szCs w:val="20"/>
                <w:lang w:eastAsia="de-DE" w:bidi="pa-IN"/>
              </w:rPr>
              <w:t xml:space="preserve"> </w:t>
            </w:r>
            <w:r>
              <w:rPr>
                <w:rFonts w:ascii="Arial" w:eastAsia="Times New Roman" w:hAnsi="Arial" w:cs="Arial"/>
                <w:b/>
                <w:sz w:val="20"/>
                <w:szCs w:val="20"/>
                <w:lang w:eastAsia="de-DE" w:bidi="pa-IN"/>
              </w:rPr>
              <w:t xml:space="preserve">Justification </w:t>
            </w:r>
            <w:r w:rsidR="004A0391">
              <w:rPr>
                <w:rFonts w:ascii="Arial" w:eastAsia="Times New Roman" w:hAnsi="Arial" w:cs="Arial"/>
                <w:b/>
                <w:sz w:val="20"/>
                <w:szCs w:val="20"/>
                <w:lang w:eastAsia="de-DE" w:bidi="pa-IN"/>
              </w:rPr>
              <w:t xml:space="preserve">for </w:t>
            </w:r>
            <w:r>
              <w:rPr>
                <w:rFonts w:ascii="Arial" w:eastAsia="Times New Roman" w:hAnsi="Arial" w:cs="Arial"/>
                <w:b/>
                <w:sz w:val="20"/>
                <w:szCs w:val="20"/>
                <w:lang w:eastAsia="de-DE" w:bidi="pa-IN"/>
              </w:rPr>
              <w:t xml:space="preserve">the request for </w:t>
            </w:r>
            <w:r w:rsidR="00166C46">
              <w:rPr>
                <w:rFonts w:ascii="Arial" w:eastAsia="Times New Roman" w:hAnsi="Arial" w:cs="Arial"/>
                <w:b/>
                <w:sz w:val="20"/>
                <w:szCs w:val="20"/>
                <w:lang w:eastAsia="de-DE" w:bidi="pa-IN"/>
              </w:rPr>
              <w:t>r</w:t>
            </w:r>
            <w:r>
              <w:rPr>
                <w:rFonts w:ascii="Arial" w:eastAsia="Times New Roman" w:hAnsi="Arial" w:cs="Arial"/>
                <w:b/>
                <w:sz w:val="20"/>
                <w:szCs w:val="20"/>
                <w:lang w:eastAsia="de-DE" w:bidi="pa-IN"/>
              </w:rPr>
              <w:t>eciprocation by</w:t>
            </w:r>
            <w:r w:rsidRPr="00174EBB">
              <w:rPr>
                <w:rFonts w:ascii="Arial" w:eastAsia="Times New Roman" w:hAnsi="Arial" w:cs="Arial"/>
                <w:b/>
                <w:sz w:val="20"/>
                <w:szCs w:val="20"/>
                <w:lang w:eastAsia="de-DE" w:bidi="pa-IN"/>
              </w:rPr>
              <w:t xml:space="preserve"> other Member States</w:t>
            </w:r>
          </w:p>
          <w:p w14:paraId="5D81ED32" w14:textId="6E068AE6" w:rsidR="00466311" w:rsidRDefault="00466311" w:rsidP="00466311">
            <w:pPr>
              <w:spacing w:before="120" w:after="120"/>
              <w:rPr>
                <w:rFonts w:ascii="Arial" w:eastAsia="Times New Roman" w:hAnsi="Arial" w:cs="Arial"/>
                <w:b/>
                <w:sz w:val="20"/>
                <w:szCs w:val="20"/>
                <w:lang w:eastAsia="de-DE" w:bidi="pa-IN"/>
              </w:rPr>
            </w:pPr>
            <w:r w:rsidRPr="00174EBB">
              <w:rPr>
                <w:rFonts w:ascii="Arial" w:eastAsia="Times New Roman" w:hAnsi="Arial" w:cs="Arial"/>
                <w:b/>
                <w:sz w:val="20"/>
                <w:szCs w:val="20"/>
                <w:lang w:eastAsia="de-DE" w:bidi="pa-IN"/>
              </w:rPr>
              <w:t>(Article 458(8) CRR</w:t>
            </w:r>
            <w:r>
              <w:rPr>
                <w:rFonts w:ascii="Arial" w:eastAsia="Times New Roman" w:hAnsi="Arial" w:cs="Arial"/>
                <w:b/>
                <w:sz w:val="20"/>
                <w:szCs w:val="20"/>
                <w:lang w:eastAsia="de-DE" w:bidi="pa-IN"/>
              </w:rPr>
              <w:t xml:space="preserve"> </w:t>
            </w:r>
            <w:r w:rsidRPr="005D28CF">
              <w:rPr>
                <w:rFonts w:ascii="Arial" w:eastAsia="Times New Roman" w:hAnsi="Arial" w:cs="Arial"/>
                <w:b/>
                <w:sz w:val="20"/>
                <w:szCs w:val="20"/>
                <w:lang w:eastAsia="de-DE" w:bidi="pa-IN"/>
              </w:rPr>
              <w:t>and Recommendation ESRB/2015/2</w:t>
            </w:r>
            <w:r w:rsidRPr="00174EBB">
              <w:rPr>
                <w:rFonts w:ascii="Arial" w:eastAsia="Times New Roman" w:hAnsi="Arial" w:cs="Arial"/>
                <w:b/>
                <w:sz w:val="20"/>
                <w:szCs w:val="20"/>
                <w:lang w:eastAsia="de-DE" w:bidi="pa-IN"/>
              </w:rPr>
              <w:t>)</w:t>
            </w:r>
          </w:p>
          <w:p w14:paraId="544A956D" w14:textId="508674FD" w:rsidR="00466311" w:rsidRPr="000C2119" w:rsidRDefault="00466311" w:rsidP="00466311">
            <w:pPr>
              <w:spacing w:before="120" w:after="120"/>
              <w:rPr>
                <w:rFonts w:ascii="Arial" w:eastAsia="Times New Roman" w:hAnsi="Arial" w:cs="Arial"/>
                <w:b/>
                <w:sz w:val="20"/>
                <w:szCs w:val="20"/>
                <w:lang w:eastAsia="de-DE" w:bidi="pa-IN"/>
              </w:rPr>
            </w:pPr>
          </w:p>
        </w:tc>
        <w:tc>
          <w:tcPr>
            <w:tcW w:w="6946" w:type="dxa"/>
            <w:shd w:val="clear" w:color="auto" w:fill="auto"/>
            <w:vAlign w:val="center"/>
          </w:tcPr>
          <w:p w14:paraId="10DE0D63" w14:textId="77777777" w:rsidR="002B2CD2" w:rsidRDefault="002B2CD2" w:rsidP="00466311">
            <w:pPr>
              <w:spacing w:after="100"/>
              <w:rPr>
                <w:rFonts w:ascii="Arial" w:eastAsia="Times New Roman" w:hAnsi="Arial" w:cs="Arial"/>
                <w:sz w:val="20"/>
                <w:szCs w:val="20"/>
                <w:lang w:eastAsia="de-DE" w:bidi="pa-IN"/>
              </w:rPr>
            </w:pPr>
            <w:r w:rsidRPr="002B2CD2">
              <w:rPr>
                <w:rFonts w:ascii="Arial" w:eastAsia="Times New Roman" w:hAnsi="Arial" w:cs="Arial"/>
                <w:sz w:val="20"/>
                <w:szCs w:val="20"/>
                <w:lang w:eastAsia="de-DE" w:bidi="pa-IN"/>
              </w:rPr>
              <w:t xml:space="preserve">The measure comprises a floor for average risk weights of 35 pct. for Norwegian corporate real estate exposures. </w:t>
            </w:r>
          </w:p>
          <w:p w14:paraId="69D90C91" w14:textId="6E79C0F8" w:rsidR="002B2CD2" w:rsidRDefault="002B2CD2" w:rsidP="00466311">
            <w:pPr>
              <w:spacing w:after="100"/>
              <w:rPr>
                <w:rFonts w:ascii="Arial" w:eastAsia="Times New Roman" w:hAnsi="Arial" w:cs="Arial"/>
                <w:sz w:val="20"/>
                <w:szCs w:val="20"/>
                <w:lang w:eastAsia="de-DE" w:bidi="pa-IN"/>
              </w:rPr>
            </w:pPr>
            <w:r w:rsidRPr="002B2CD2">
              <w:rPr>
                <w:rFonts w:ascii="Arial" w:eastAsia="Times New Roman" w:hAnsi="Arial" w:cs="Arial"/>
                <w:sz w:val="20"/>
                <w:szCs w:val="20"/>
                <w:lang w:eastAsia="de-DE" w:bidi="pa-IN"/>
              </w:rPr>
              <w:t xml:space="preserve">Institutions established in other Member States have significant exposures and activities in the Norwegian lending market and should be subject to the same requirements as Norwegian institutions. </w:t>
            </w:r>
          </w:p>
          <w:p w14:paraId="6BB357B1" w14:textId="77777777" w:rsidR="007A0B37" w:rsidRDefault="002B2CD2" w:rsidP="00466311">
            <w:pPr>
              <w:spacing w:after="100"/>
              <w:rPr>
                <w:rFonts w:ascii="Arial" w:eastAsia="Times New Roman" w:hAnsi="Arial" w:cs="Arial"/>
                <w:sz w:val="20"/>
                <w:szCs w:val="20"/>
                <w:lang w:eastAsia="de-DE" w:bidi="pa-IN"/>
              </w:rPr>
            </w:pPr>
            <w:r w:rsidRPr="002B2CD2">
              <w:rPr>
                <w:rFonts w:ascii="Arial" w:eastAsia="Times New Roman" w:hAnsi="Arial" w:cs="Arial"/>
                <w:sz w:val="20"/>
                <w:szCs w:val="20"/>
                <w:lang w:eastAsia="de-DE" w:bidi="pa-IN"/>
              </w:rPr>
              <w:t xml:space="preserve">Lending from branches of banks from other Nordic countries constitutes around 1/3 of the Norwegian bank lending market. In an integrated financial system like the Nordic banking market, strong policy coordination is needed to ensure the effectiveness of national macroprudential policies. </w:t>
            </w:r>
          </w:p>
          <w:p w14:paraId="6A9A93D3" w14:textId="7082F9BA" w:rsidR="002B2CD2" w:rsidRDefault="002B2CD2" w:rsidP="00466311">
            <w:pPr>
              <w:spacing w:after="100"/>
              <w:rPr>
                <w:rFonts w:ascii="Arial" w:eastAsia="Times New Roman" w:hAnsi="Arial" w:cs="Arial"/>
                <w:sz w:val="20"/>
                <w:szCs w:val="20"/>
                <w:lang w:eastAsia="de-DE" w:bidi="pa-IN"/>
              </w:rPr>
            </w:pPr>
            <w:r w:rsidRPr="002B2CD2">
              <w:rPr>
                <w:rFonts w:ascii="Arial" w:eastAsia="Times New Roman" w:hAnsi="Arial" w:cs="Arial"/>
                <w:sz w:val="20"/>
                <w:szCs w:val="20"/>
                <w:lang w:eastAsia="de-DE" w:bidi="pa-IN"/>
              </w:rPr>
              <w:t xml:space="preserve">Coordination based on the competence of national authorities to assess which macroprudential measures are necessary to facilitate financial stability given national vulnerabilities, is a matter of common interest. Reciprocity will be crucial </w:t>
            </w:r>
            <w:proofErr w:type="gramStart"/>
            <w:r w:rsidRPr="002B2CD2">
              <w:rPr>
                <w:rFonts w:ascii="Arial" w:eastAsia="Times New Roman" w:hAnsi="Arial" w:cs="Arial"/>
                <w:sz w:val="20"/>
                <w:szCs w:val="20"/>
                <w:lang w:eastAsia="de-DE" w:bidi="pa-IN"/>
              </w:rPr>
              <w:t>in order to</w:t>
            </w:r>
            <w:proofErr w:type="gramEnd"/>
            <w:r w:rsidRPr="002B2CD2">
              <w:rPr>
                <w:rFonts w:ascii="Arial" w:eastAsia="Times New Roman" w:hAnsi="Arial" w:cs="Arial"/>
                <w:sz w:val="20"/>
                <w:szCs w:val="20"/>
                <w:lang w:eastAsia="de-DE" w:bidi="pa-IN"/>
              </w:rPr>
              <w:t xml:space="preserve"> avoid leakages and regulatory arbitrage, in addition to ensuring that the foreign institutions’ loss-absorbing capacity is aligned with their risk exposure in the Norwegian market. </w:t>
            </w:r>
          </w:p>
          <w:p w14:paraId="14B66288" w14:textId="49C6C9F2" w:rsidR="002B2CD2" w:rsidRDefault="002B2CD2" w:rsidP="00466311">
            <w:pPr>
              <w:spacing w:after="100"/>
              <w:rPr>
                <w:rFonts w:ascii="Arial" w:eastAsia="Times New Roman" w:hAnsi="Arial" w:cs="Arial"/>
                <w:sz w:val="20"/>
                <w:szCs w:val="20"/>
                <w:lang w:eastAsia="de-DE" w:bidi="pa-IN"/>
              </w:rPr>
            </w:pPr>
            <w:r w:rsidRPr="002B2CD2">
              <w:rPr>
                <w:rFonts w:ascii="Arial" w:eastAsia="Times New Roman" w:hAnsi="Arial" w:cs="Arial"/>
                <w:sz w:val="20"/>
                <w:szCs w:val="20"/>
                <w:lang w:eastAsia="de-DE" w:bidi="pa-IN"/>
              </w:rPr>
              <w:t>ESRB</w:t>
            </w:r>
            <w:r w:rsidR="00447B4B">
              <w:rPr>
                <w:rFonts w:ascii="Arial" w:eastAsia="Times New Roman" w:hAnsi="Arial" w:cs="Arial"/>
                <w:sz w:val="20"/>
                <w:szCs w:val="20"/>
                <w:lang w:eastAsia="de-DE" w:bidi="pa-IN"/>
              </w:rPr>
              <w:t xml:space="preserve"> </w:t>
            </w:r>
            <w:r w:rsidR="00696752" w:rsidRPr="00696752">
              <w:rPr>
                <w:rFonts w:ascii="Arial" w:eastAsia="Times New Roman" w:hAnsi="Arial" w:cs="Arial"/>
                <w:sz w:val="20"/>
                <w:szCs w:val="20"/>
                <w:lang w:eastAsia="de-DE" w:bidi="pa-IN"/>
              </w:rPr>
              <w:t xml:space="preserve">has previously </w:t>
            </w:r>
            <w:r w:rsidRPr="002B2CD2">
              <w:rPr>
                <w:rFonts w:ascii="Arial" w:eastAsia="Times New Roman" w:hAnsi="Arial" w:cs="Arial"/>
                <w:sz w:val="20"/>
                <w:szCs w:val="20"/>
                <w:lang w:eastAsia="de-DE" w:bidi="pa-IN"/>
              </w:rPr>
              <w:t xml:space="preserve">recommended reciprocation of the current Norwegian risk-weight floor at 35 pct. for corporate real estate exposures in Norway, which is now extended at the same level with this review. </w:t>
            </w:r>
          </w:p>
          <w:p w14:paraId="4C534E43" w14:textId="679B1682" w:rsidR="00466311" w:rsidRPr="006C31D3" w:rsidRDefault="002B2CD2" w:rsidP="00466311">
            <w:pPr>
              <w:spacing w:after="100"/>
              <w:rPr>
                <w:rFonts w:ascii="Arial" w:eastAsia="Times New Roman" w:hAnsi="Arial" w:cs="Arial"/>
                <w:sz w:val="20"/>
                <w:szCs w:val="20"/>
                <w:lang w:eastAsia="de-DE" w:bidi="pa-IN"/>
              </w:rPr>
            </w:pPr>
            <w:r w:rsidRPr="002B2CD2">
              <w:rPr>
                <w:rFonts w:ascii="Arial" w:eastAsia="Times New Roman" w:hAnsi="Arial" w:cs="Arial"/>
                <w:sz w:val="20"/>
                <w:szCs w:val="20"/>
                <w:lang w:eastAsia="de-DE" w:bidi="pa-IN"/>
              </w:rPr>
              <w:t xml:space="preserve">The materiality threshold for reciprocation of the current risk-weight floor was set to 1 per cent (7.6 bn. NOK) of gross collateralised commercial real estate lending to Norwegian customers, adjusted to account for branches' share of total lending in Norway, confer the Ministry of Finance’s letter to the ESRB of 2 February 2021. The Ministry of Finance proposes to maintain the materiality threshold at </w:t>
            </w:r>
            <w:r w:rsidR="00456C81">
              <w:rPr>
                <w:rFonts w:ascii="Arial" w:eastAsia="Times New Roman" w:hAnsi="Arial" w:cs="Arial"/>
                <w:sz w:val="20"/>
                <w:szCs w:val="20"/>
                <w:lang w:eastAsia="de-DE" w:bidi="pa-IN"/>
              </w:rPr>
              <w:t>1 per cent of gross collater</w:t>
            </w:r>
            <w:r w:rsidR="00587C2F">
              <w:rPr>
                <w:rFonts w:ascii="Arial" w:eastAsia="Times New Roman" w:hAnsi="Arial" w:cs="Arial"/>
                <w:sz w:val="20"/>
                <w:szCs w:val="20"/>
                <w:lang w:eastAsia="de-DE" w:bidi="pa-IN"/>
              </w:rPr>
              <w:t>alised commercial real estate lending to Norwegian customers</w:t>
            </w:r>
            <w:r w:rsidR="00247B88">
              <w:rPr>
                <w:rFonts w:ascii="Arial" w:eastAsia="Times New Roman" w:hAnsi="Arial" w:cs="Arial"/>
                <w:sz w:val="20"/>
                <w:szCs w:val="20"/>
                <w:lang w:eastAsia="de-DE" w:bidi="pa-IN"/>
              </w:rPr>
              <w:t xml:space="preserve">, corresponding to </w:t>
            </w:r>
            <w:r w:rsidRPr="002B2CD2">
              <w:rPr>
                <w:rFonts w:ascii="Arial" w:eastAsia="Times New Roman" w:hAnsi="Arial" w:cs="Arial"/>
                <w:sz w:val="20"/>
                <w:szCs w:val="20"/>
                <w:lang w:eastAsia="de-DE" w:bidi="pa-IN"/>
              </w:rPr>
              <w:t>NOK</w:t>
            </w:r>
            <w:r w:rsidR="00696752">
              <w:rPr>
                <w:rFonts w:ascii="Arial" w:eastAsia="Times New Roman" w:hAnsi="Arial" w:cs="Arial"/>
                <w:sz w:val="20"/>
                <w:szCs w:val="20"/>
                <w:lang w:eastAsia="de-DE" w:bidi="pa-IN"/>
              </w:rPr>
              <w:t xml:space="preserve"> 9.3</w:t>
            </w:r>
            <w:r w:rsidRPr="002B2CD2">
              <w:rPr>
                <w:rFonts w:ascii="Arial" w:eastAsia="Times New Roman" w:hAnsi="Arial" w:cs="Arial"/>
                <w:sz w:val="20"/>
                <w:szCs w:val="20"/>
                <w:lang w:eastAsia="de-DE" w:bidi="pa-IN"/>
              </w:rPr>
              <w:t xml:space="preserve"> </w:t>
            </w:r>
            <w:r w:rsidR="00696752" w:rsidRPr="00696752">
              <w:rPr>
                <w:rFonts w:ascii="Arial" w:eastAsia="Times New Roman" w:hAnsi="Arial" w:cs="Arial"/>
                <w:sz w:val="20"/>
                <w:szCs w:val="20"/>
                <w:lang w:eastAsia="de-DE" w:bidi="pa-IN"/>
              </w:rPr>
              <w:t xml:space="preserve">billion </w:t>
            </w:r>
            <w:r w:rsidR="009515AF">
              <w:rPr>
                <w:rFonts w:ascii="Arial" w:eastAsia="Times New Roman" w:hAnsi="Arial" w:cs="Arial"/>
                <w:sz w:val="20"/>
                <w:szCs w:val="20"/>
                <w:lang w:eastAsia="de-DE" w:bidi="pa-IN"/>
              </w:rPr>
              <w:t>as of 30 September 2024</w:t>
            </w:r>
            <w:r w:rsidRPr="002B2CD2">
              <w:rPr>
                <w:rFonts w:ascii="Arial" w:eastAsia="Times New Roman" w:hAnsi="Arial" w:cs="Arial"/>
                <w:sz w:val="20"/>
                <w:szCs w:val="20"/>
                <w:lang w:eastAsia="de-DE" w:bidi="pa-IN"/>
              </w:rPr>
              <w:t>.</w:t>
            </w:r>
          </w:p>
        </w:tc>
      </w:tr>
      <w:permEnd w:id="2069122259"/>
      <w:tr w:rsidR="00466311" w:rsidRPr="00D406C5" w14:paraId="2CC3133D" w14:textId="77777777" w:rsidTr="00033412">
        <w:trPr>
          <w:trHeight w:val="503"/>
        </w:trPr>
        <w:tc>
          <w:tcPr>
            <w:tcW w:w="9464" w:type="dxa"/>
            <w:gridSpan w:val="2"/>
            <w:shd w:val="clear" w:color="auto" w:fill="BFBFBF"/>
            <w:vAlign w:val="center"/>
          </w:tcPr>
          <w:p w14:paraId="48F2FC3A" w14:textId="77777777" w:rsidR="00466311" w:rsidRPr="00D406C5" w:rsidRDefault="00466311" w:rsidP="001048DB">
            <w:pPr>
              <w:numPr>
                <w:ilvl w:val="0"/>
                <w:numId w:val="5"/>
              </w:numPr>
              <w:spacing w:after="0" w:line="240" w:lineRule="auto"/>
              <w:contextualSpacing/>
              <w:rPr>
                <w:rFonts w:ascii="Arial" w:hAnsi="Arial" w:cs="Arial"/>
                <w:b/>
                <w:sz w:val="20"/>
                <w:szCs w:val="20"/>
              </w:rPr>
            </w:pPr>
            <w:r w:rsidRPr="00D406C5">
              <w:rPr>
                <w:rFonts w:ascii="Arial" w:hAnsi="Arial" w:cs="Arial"/>
                <w:b/>
                <w:sz w:val="20"/>
                <w:szCs w:val="20"/>
              </w:rPr>
              <w:t>M</w:t>
            </w:r>
            <w:r>
              <w:rPr>
                <w:rFonts w:ascii="Arial" w:hAnsi="Arial" w:cs="Arial"/>
                <w:b/>
                <w:sz w:val="20"/>
                <w:szCs w:val="20"/>
              </w:rPr>
              <w:t>iscellaneous</w:t>
            </w:r>
            <w:r w:rsidRPr="00D406C5">
              <w:rPr>
                <w:rFonts w:ascii="Arial" w:hAnsi="Arial" w:cs="Arial"/>
                <w:b/>
                <w:sz w:val="20"/>
                <w:szCs w:val="20"/>
              </w:rPr>
              <w:t xml:space="preserve"> </w:t>
            </w:r>
          </w:p>
        </w:tc>
      </w:tr>
      <w:tr w:rsidR="00466311" w:rsidRPr="00D406C5" w14:paraId="0EA888D8" w14:textId="77777777" w:rsidTr="00033412">
        <w:trPr>
          <w:trHeight w:val="1012"/>
        </w:trPr>
        <w:tc>
          <w:tcPr>
            <w:tcW w:w="2518" w:type="dxa"/>
            <w:shd w:val="clear" w:color="auto" w:fill="auto"/>
            <w:vAlign w:val="center"/>
          </w:tcPr>
          <w:p w14:paraId="52C5E0A7" w14:textId="314D9A56" w:rsidR="00466311" w:rsidRPr="00D406C5" w:rsidRDefault="00466311" w:rsidP="00466311">
            <w:pPr>
              <w:spacing w:after="100"/>
              <w:rPr>
                <w:rFonts w:ascii="Arial" w:eastAsia="Times New Roman" w:hAnsi="Arial" w:cs="Arial"/>
                <w:sz w:val="20"/>
                <w:szCs w:val="20"/>
                <w:lang w:eastAsia="de-DE" w:bidi="pa-IN"/>
              </w:rPr>
            </w:pPr>
            <w:permStart w:id="368249289" w:edGrp="everyone" w:colFirst="1" w:colLast="1"/>
            <w:r>
              <w:rPr>
                <w:rFonts w:ascii="Arial" w:eastAsia="Times New Roman" w:hAnsi="Arial" w:cs="Arial"/>
                <w:b/>
                <w:sz w:val="20"/>
                <w:szCs w:val="20"/>
                <w:lang w:eastAsia="de-DE" w:bidi="pa-IN"/>
              </w:rPr>
              <w:t>7</w:t>
            </w:r>
            <w:r w:rsidRPr="00D406C5">
              <w:rPr>
                <w:rFonts w:ascii="Arial" w:eastAsia="Times New Roman" w:hAnsi="Arial" w:cs="Arial"/>
                <w:b/>
                <w:sz w:val="20"/>
                <w:szCs w:val="20"/>
                <w:lang w:eastAsia="de-DE" w:bidi="pa-IN"/>
              </w:rPr>
              <w:t>.</w:t>
            </w:r>
            <w:r>
              <w:rPr>
                <w:rFonts w:ascii="Arial" w:eastAsia="Times New Roman" w:hAnsi="Arial" w:cs="Arial"/>
                <w:b/>
                <w:sz w:val="20"/>
                <w:szCs w:val="20"/>
                <w:lang w:eastAsia="de-DE" w:bidi="pa-IN"/>
              </w:rPr>
              <w:t>1</w:t>
            </w:r>
            <w:r w:rsidRPr="00D406C5">
              <w:rPr>
                <w:rFonts w:ascii="Arial" w:eastAsia="Times New Roman" w:hAnsi="Arial" w:cs="Arial"/>
                <w:b/>
                <w:sz w:val="20"/>
                <w:szCs w:val="20"/>
                <w:lang w:eastAsia="de-DE" w:bidi="pa-IN"/>
              </w:rPr>
              <w:t xml:space="preserve"> Contact person(s)</w:t>
            </w:r>
            <w:r>
              <w:rPr>
                <w:rFonts w:ascii="Arial" w:eastAsia="Times New Roman" w:hAnsi="Arial" w:cs="Arial"/>
                <w:b/>
                <w:sz w:val="20"/>
                <w:szCs w:val="20"/>
                <w:lang w:eastAsia="de-DE" w:bidi="pa-IN"/>
              </w:rPr>
              <w:t>/mailbox</w:t>
            </w:r>
            <w:r w:rsidRPr="00D406C5">
              <w:rPr>
                <w:rFonts w:ascii="Arial" w:eastAsia="Times New Roman" w:hAnsi="Arial" w:cs="Arial"/>
                <w:b/>
                <w:sz w:val="20"/>
                <w:szCs w:val="20"/>
                <w:lang w:eastAsia="de-DE" w:bidi="pa-IN"/>
              </w:rPr>
              <w:t xml:space="preserve"> at notifying authority</w:t>
            </w:r>
          </w:p>
        </w:tc>
        <w:tc>
          <w:tcPr>
            <w:tcW w:w="6946" w:type="dxa"/>
            <w:shd w:val="clear" w:color="auto" w:fill="auto"/>
            <w:vAlign w:val="center"/>
          </w:tcPr>
          <w:p w14:paraId="071CE234" w14:textId="77777777" w:rsidR="00466311" w:rsidRDefault="00666EE4" w:rsidP="00466311">
            <w:pPr>
              <w:spacing w:after="100"/>
              <w:rPr>
                <w:rFonts w:ascii="Arial" w:eastAsia="Times New Roman" w:hAnsi="Arial" w:cs="Arial"/>
                <w:sz w:val="20"/>
                <w:szCs w:val="20"/>
                <w:lang w:eastAsia="de-DE" w:bidi="pa-IN"/>
              </w:rPr>
            </w:pPr>
            <w:r>
              <w:rPr>
                <w:rFonts w:ascii="Arial" w:eastAsia="Times New Roman" w:hAnsi="Arial" w:cs="Arial"/>
                <w:sz w:val="20"/>
                <w:szCs w:val="20"/>
                <w:lang w:eastAsia="de-DE" w:bidi="pa-IN"/>
              </w:rPr>
              <w:t>Tormod Fauske Tho</w:t>
            </w:r>
          </w:p>
          <w:p w14:paraId="08CCD0A8" w14:textId="77777777" w:rsidR="00666EE4" w:rsidRDefault="00666EE4" w:rsidP="00466311">
            <w:pPr>
              <w:spacing w:after="100"/>
              <w:rPr>
                <w:rFonts w:ascii="Arial" w:eastAsia="Times New Roman" w:hAnsi="Arial" w:cs="Arial"/>
                <w:sz w:val="20"/>
                <w:szCs w:val="20"/>
                <w:lang w:eastAsia="de-DE" w:bidi="pa-IN"/>
              </w:rPr>
            </w:pPr>
            <w:r>
              <w:rPr>
                <w:rFonts w:ascii="Arial" w:eastAsia="Times New Roman" w:hAnsi="Arial" w:cs="Arial"/>
                <w:sz w:val="20"/>
                <w:szCs w:val="20"/>
                <w:lang w:eastAsia="de-DE" w:bidi="pa-IN"/>
              </w:rPr>
              <w:t>Phone: +47 22 24 45 11 / +47 22 24 45 21</w:t>
            </w:r>
          </w:p>
          <w:p w14:paraId="4C525C37" w14:textId="7F90B20A" w:rsidR="004515FA" w:rsidRPr="00D406C5" w:rsidRDefault="004515FA" w:rsidP="00466311">
            <w:pPr>
              <w:spacing w:after="100"/>
              <w:rPr>
                <w:rFonts w:ascii="Arial" w:eastAsia="Times New Roman" w:hAnsi="Arial" w:cs="Arial"/>
                <w:sz w:val="20"/>
                <w:szCs w:val="20"/>
                <w:lang w:eastAsia="de-DE" w:bidi="pa-IN"/>
              </w:rPr>
            </w:pPr>
            <w:r>
              <w:rPr>
                <w:rFonts w:ascii="Arial" w:eastAsia="Times New Roman" w:hAnsi="Arial" w:cs="Arial"/>
                <w:sz w:val="20"/>
                <w:szCs w:val="20"/>
                <w:lang w:eastAsia="de-DE" w:bidi="pa-IN"/>
              </w:rPr>
              <w:t xml:space="preserve">E-mail: </w:t>
            </w:r>
            <w:hyperlink r:id="rId14" w:history="1">
              <w:r w:rsidRPr="00772C53">
                <w:rPr>
                  <w:rStyle w:val="Hyperkobling"/>
                  <w:rFonts w:ascii="Arial" w:eastAsia="Times New Roman" w:hAnsi="Arial" w:cs="Arial"/>
                  <w:sz w:val="20"/>
                  <w:szCs w:val="20"/>
                  <w:lang w:eastAsia="de-DE" w:bidi="pa-IN"/>
                </w:rPr>
                <w:t>tho@fin.dep.no</w:t>
              </w:r>
            </w:hyperlink>
            <w:r>
              <w:rPr>
                <w:rFonts w:ascii="Arial" w:eastAsia="Times New Roman" w:hAnsi="Arial" w:cs="Arial"/>
                <w:sz w:val="20"/>
                <w:szCs w:val="20"/>
                <w:lang w:eastAsia="de-DE" w:bidi="pa-IN"/>
              </w:rPr>
              <w:t xml:space="preserve"> </w:t>
            </w:r>
          </w:p>
        </w:tc>
      </w:tr>
      <w:tr w:rsidR="00466311" w:rsidRPr="00D406C5" w14:paraId="2182DC4A" w14:textId="77777777" w:rsidTr="00033412">
        <w:trPr>
          <w:trHeight w:val="1012"/>
        </w:trPr>
        <w:tc>
          <w:tcPr>
            <w:tcW w:w="2518" w:type="dxa"/>
            <w:shd w:val="clear" w:color="auto" w:fill="auto"/>
            <w:vAlign w:val="center"/>
          </w:tcPr>
          <w:p w14:paraId="7296784B" w14:textId="77777777" w:rsidR="00466311" w:rsidRPr="00D406C5" w:rsidRDefault="00466311" w:rsidP="00466311">
            <w:pPr>
              <w:spacing w:after="100"/>
              <w:rPr>
                <w:rFonts w:ascii="Arial" w:eastAsia="Times New Roman" w:hAnsi="Arial" w:cs="Arial"/>
                <w:b/>
                <w:sz w:val="20"/>
                <w:szCs w:val="20"/>
                <w:lang w:eastAsia="de-DE" w:bidi="pa-IN"/>
              </w:rPr>
            </w:pPr>
            <w:permStart w:id="1726758538" w:edGrp="everyone" w:colFirst="1" w:colLast="1"/>
            <w:permEnd w:id="368249289"/>
            <w:r>
              <w:rPr>
                <w:rFonts w:ascii="Arial" w:eastAsia="Times New Roman" w:hAnsi="Arial" w:cs="Arial"/>
                <w:b/>
                <w:sz w:val="20"/>
                <w:szCs w:val="20"/>
                <w:lang w:eastAsia="de-DE" w:bidi="pa-IN"/>
              </w:rPr>
              <w:t>7</w:t>
            </w:r>
            <w:r w:rsidRPr="00D406C5">
              <w:rPr>
                <w:rFonts w:ascii="Arial" w:eastAsia="Times New Roman" w:hAnsi="Arial" w:cs="Arial"/>
                <w:b/>
                <w:sz w:val="20"/>
                <w:szCs w:val="20"/>
                <w:lang w:eastAsia="de-DE" w:bidi="pa-IN"/>
              </w:rPr>
              <w:t>.</w:t>
            </w:r>
            <w:r>
              <w:rPr>
                <w:rFonts w:ascii="Arial" w:eastAsia="Times New Roman" w:hAnsi="Arial" w:cs="Arial"/>
                <w:b/>
                <w:sz w:val="20"/>
                <w:szCs w:val="20"/>
                <w:lang w:eastAsia="de-DE" w:bidi="pa-IN"/>
              </w:rPr>
              <w:t>2</w:t>
            </w:r>
            <w:r w:rsidRPr="00D406C5">
              <w:rPr>
                <w:rFonts w:ascii="Arial" w:eastAsia="Times New Roman" w:hAnsi="Arial" w:cs="Arial"/>
                <w:b/>
                <w:sz w:val="20"/>
                <w:szCs w:val="20"/>
                <w:lang w:eastAsia="de-DE" w:bidi="pa-IN"/>
              </w:rPr>
              <w:t xml:space="preserve"> Any other relevant information</w:t>
            </w:r>
          </w:p>
        </w:tc>
        <w:tc>
          <w:tcPr>
            <w:tcW w:w="6946" w:type="dxa"/>
            <w:shd w:val="clear" w:color="auto" w:fill="auto"/>
            <w:vAlign w:val="center"/>
          </w:tcPr>
          <w:p w14:paraId="1191CD6F" w14:textId="4532244C" w:rsidR="00466311" w:rsidRPr="00D406C5" w:rsidRDefault="004153AB" w:rsidP="00466311">
            <w:pPr>
              <w:spacing w:after="100"/>
              <w:rPr>
                <w:rFonts w:ascii="Arial" w:eastAsia="Times New Roman" w:hAnsi="Arial" w:cs="Arial"/>
                <w:sz w:val="20"/>
                <w:szCs w:val="20"/>
                <w:lang w:eastAsia="de-DE" w:bidi="pa-IN"/>
              </w:rPr>
            </w:pPr>
            <w:r w:rsidRPr="004153AB">
              <w:rPr>
                <w:rFonts w:ascii="Arial" w:eastAsia="Times New Roman" w:hAnsi="Arial" w:cs="Arial"/>
                <w:sz w:val="20"/>
                <w:szCs w:val="20"/>
                <w:lang w:eastAsia="de-DE" w:bidi="pa-IN"/>
              </w:rPr>
              <w:t>The Ministry of Finance has submitted another notification together with this Notification, which notifies the intended use of measures in accordance with Article 458 (10) of the CRR (a floor for average risk weights for residential real estate exposures).</w:t>
            </w:r>
          </w:p>
        </w:tc>
      </w:tr>
      <w:tr w:rsidR="00466311" w14:paraId="47CE1000" w14:textId="77777777" w:rsidTr="00F847CA">
        <w:trPr>
          <w:trHeight w:val="1012"/>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2C48DB45" w14:textId="77777777" w:rsidR="00466311" w:rsidRPr="00F847CA" w:rsidRDefault="00466311" w:rsidP="00466311">
            <w:pPr>
              <w:spacing w:after="100"/>
              <w:rPr>
                <w:rFonts w:ascii="Arial" w:eastAsia="Times New Roman" w:hAnsi="Arial" w:cs="Arial"/>
                <w:b/>
                <w:sz w:val="20"/>
                <w:szCs w:val="20"/>
                <w:lang w:eastAsia="de-DE" w:bidi="pa-IN"/>
              </w:rPr>
            </w:pPr>
            <w:permStart w:id="1209223174" w:edGrp="everyone" w:colFirst="1" w:colLast="1"/>
            <w:permEnd w:id="1726758538"/>
            <w:r w:rsidRPr="00F847CA">
              <w:rPr>
                <w:rFonts w:ascii="Arial" w:eastAsia="Times New Roman" w:hAnsi="Arial" w:cs="Arial"/>
                <w:b/>
                <w:sz w:val="20"/>
                <w:szCs w:val="20"/>
                <w:lang w:eastAsia="de-DE" w:bidi="pa-IN"/>
              </w:rPr>
              <w:t>7.3 Date of the notification</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0210BE90" w14:textId="076FE4B1" w:rsidR="00466311" w:rsidRPr="00F847CA" w:rsidRDefault="00466311" w:rsidP="00466311">
            <w:pPr>
              <w:spacing w:after="100"/>
              <w:rPr>
                <w:rFonts w:ascii="Arial" w:eastAsia="Times New Roman" w:hAnsi="Arial" w:cs="Arial"/>
                <w:sz w:val="20"/>
                <w:szCs w:val="20"/>
                <w:lang w:eastAsia="de-DE" w:bidi="pa-IN"/>
              </w:rPr>
            </w:pPr>
            <w:r w:rsidRPr="00F847CA">
              <w:rPr>
                <w:rFonts w:ascii="Arial" w:eastAsia="Times New Roman" w:hAnsi="Arial" w:cs="Arial"/>
                <w:sz w:val="20"/>
                <w:szCs w:val="20"/>
                <w:lang w:eastAsia="de-DE" w:bidi="pa-IN"/>
              </w:rPr>
              <w:t xml:space="preserve">Please provide the date </w:t>
            </w:r>
            <w:r w:rsidR="00166C46">
              <w:rPr>
                <w:rFonts w:ascii="Arial" w:eastAsia="Times New Roman" w:hAnsi="Arial" w:cs="Arial"/>
                <w:sz w:val="20"/>
                <w:szCs w:val="20"/>
                <w:lang w:eastAsia="de-DE" w:bidi="pa-IN"/>
              </w:rPr>
              <w:t xml:space="preserve">on which </w:t>
            </w:r>
            <w:r w:rsidRPr="00F847CA">
              <w:rPr>
                <w:rFonts w:ascii="Arial" w:eastAsia="Times New Roman" w:hAnsi="Arial" w:cs="Arial"/>
                <w:sz w:val="20"/>
                <w:szCs w:val="20"/>
                <w:lang w:eastAsia="de-DE" w:bidi="pa-IN"/>
              </w:rPr>
              <w:t>this notification was uploaded/sent.</w:t>
            </w:r>
          </w:p>
          <w:p w14:paraId="576B3B48" w14:textId="07D302F9" w:rsidR="00466311" w:rsidRPr="00F847CA" w:rsidRDefault="00301BB3" w:rsidP="00466311">
            <w:pPr>
              <w:spacing w:after="100"/>
              <w:rPr>
                <w:rFonts w:ascii="Arial" w:eastAsia="Times New Roman" w:hAnsi="Arial" w:cs="Arial"/>
                <w:sz w:val="20"/>
                <w:szCs w:val="20"/>
                <w:lang w:eastAsia="de-DE" w:bidi="pa-IN"/>
              </w:rPr>
            </w:pPr>
            <w:sdt>
              <w:sdtPr>
                <w:rPr>
                  <w:rFonts w:ascii="Arial" w:eastAsia="Times New Roman" w:hAnsi="Arial" w:cs="Arial"/>
                  <w:sz w:val="20"/>
                  <w:szCs w:val="20"/>
                  <w:lang w:eastAsia="de-DE" w:bidi="pa-IN"/>
                </w:rPr>
                <w:id w:val="1656486387"/>
                <w:placeholder>
                  <w:docPart w:val="AA91E6561464439AAA55492FCED57561"/>
                </w:placeholder>
                <w:date w:fullDate="2024-12-19T00:00:00Z">
                  <w:dateFormat w:val="dd/MM/yyyy"/>
                  <w:lid w:val="en-GB"/>
                  <w:storeMappedDataAs w:val="dateTime"/>
                  <w:calendar w:val="gregorian"/>
                </w:date>
              </w:sdtPr>
              <w:sdtEndPr/>
              <w:sdtContent>
                <w:r w:rsidR="00285403">
                  <w:rPr>
                    <w:rFonts w:ascii="Arial" w:eastAsia="Times New Roman" w:hAnsi="Arial" w:cs="Arial"/>
                    <w:sz w:val="20"/>
                    <w:szCs w:val="20"/>
                    <w:lang w:eastAsia="de-DE" w:bidi="pa-IN"/>
                  </w:rPr>
                  <w:t>19/12/2024</w:t>
                </w:r>
              </w:sdtContent>
            </w:sdt>
          </w:p>
        </w:tc>
      </w:tr>
      <w:permEnd w:id="1209223174"/>
    </w:tbl>
    <w:p w14:paraId="3449C8DE" w14:textId="77777777" w:rsidR="00033412" w:rsidRDefault="00033412"/>
    <w:sectPr w:rsidR="00033412" w:rsidSect="00033412">
      <w:footerReference w:type="default" r:id="rId15"/>
      <w:headerReference w:type="first" r:id="rId16"/>
      <w:footerReference w:type="first" r:id="rId17"/>
      <w:pgSz w:w="11906" w:h="16838"/>
      <w:pgMar w:top="1440"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11886" w14:textId="77777777" w:rsidR="00022DE5" w:rsidRDefault="00022DE5">
      <w:pPr>
        <w:spacing w:after="0" w:line="240" w:lineRule="auto"/>
      </w:pPr>
      <w:r>
        <w:separator/>
      </w:r>
    </w:p>
  </w:endnote>
  <w:endnote w:type="continuationSeparator" w:id="0">
    <w:p w14:paraId="3C08A842" w14:textId="77777777" w:rsidR="00022DE5" w:rsidRDefault="00022DE5">
      <w:pPr>
        <w:spacing w:after="0" w:line="240" w:lineRule="auto"/>
      </w:pPr>
      <w:r>
        <w:continuationSeparator/>
      </w:r>
    </w:p>
  </w:endnote>
  <w:endnote w:type="continuationNotice" w:id="1">
    <w:p w14:paraId="3122B6AB" w14:textId="77777777" w:rsidR="00022DE5" w:rsidRDefault="00022D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Raavi">
    <w:panose1 w:val="02000500000000000000"/>
    <w:charset w:val="00"/>
    <w:family w:val="swiss"/>
    <w:pitch w:val="variable"/>
    <w:sig w:usb0="0002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E83E2" w14:textId="44B36367" w:rsidR="00033412" w:rsidRDefault="00033412">
    <w:pPr>
      <w:pStyle w:val="Bunntekst"/>
      <w:jc w:val="center"/>
    </w:pPr>
    <w:r>
      <w:fldChar w:fldCharType="begin"/>
    </w:r>
    <w:r>
      <w:instrText xml:space="preserve"> PAGE   \* MERGEFORMAT </w:instrText>
    </w:r>
    <w:r>
      <w:fldChar w:fldCharType="separate"/>
    </w:r>
    <w:r>
      <w:rPr>
        <w:noProof/>
      </w:rPr>
      <w:t>2</w:t>
    </w:r>
    <w:r>
      <w:rPr>
        <w:noProof/>
      </w:rPr>
      <w:fldChar w:fldCharType="end"/>
    </w:r>
  </w:p>
  <w:p w14:paraId="14B62A74" w14:textId="77777777" w:rsidR="00033412" w:rsidRDefault="00033412">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403C0" w14:textId="6EBD62C0" w:rsidR="00033412" w:rsidRDefault="00033412">
    <w:pPr>
      <w:pStyle w:val="Bunntekst"/>
      <w:jc w:val="center"/>
    </w:pPr>
    <w:r>
      <w:fldChar w:fldCharType="begin"/>
    </w:r>
    <w:r>
      <w:instrText xml:space="preserve"> PAGE   \* MERGEFORMAT </w:instrText>
    </w:r>
    <w:r>
      <w:fldChar w:fldCharType="separate"/>
    </w:r>
    <w:r>
      <w:rPr>
        <w:noProof/>
      </w:rPr>
      <w:t>1</w:t>
    </w:r>
    <w:r>
      <w:rPr>
        <w:noProof/>
      </w:rPr>
      <w:fldChar w:fldCharType="end"/>
    </w:r>
  </w:p>
  <w:p w14:paraId="0A60BEAF" w14:textId="060EE414" w:rsidR="00033412" w:rsidRPr="00727070" w:rsidRDefault="00033412">
    <w:pPr>
      <w:pStyle w:val="Bunntekst"/>
      <w:rPr>
        <w:rFonts w:ascii="Arial" w:hAnsi="Arial" w:cs="Arial"/>
        <w:b/>
        <w:sz w:val="20"/>
      </w:rPr>
    </w:pPr>
    <w:r>
      <w:rPr>
        <w:rFonts w:ascii="Arial" w:hAnsi="Arial" w:cs="Arial"/>
        <w:b/>
        <w:sz w:val="20"/>
      </w:rPr>
      <w:t xml:space="preserve">Date of template version: </w:t>
    </w:r>
    <w:r w:rsidR="002C61AF">
      <w:rPr>
        <w:rFonts w:ascii="Arial" w:hAnsi="Arial" w:cs="Arial"/>
        <w:b/>
        <w:sz w:val="20"/>
      </w:rPr>
      <w:t>06</w:t>
    </w:r>
    <w:r>
      <w:rPr>
        <w:rFonts w:ascii="Arial" w:hAnsi="Arial" w:cs="Arial"/>
        <w:b/>
        <w:sz w:val="20"/>
      </w:rPr>
      <w:t>-0</w:t>
    </w:r>
    <w:r w:rsidR="002C61AF">
      <w:rPr>
        <w:rFonts w:ascii="Arial" w:hAnsi="Arial" w:cs="Arial"/>
        <w:b/>
        <w:sz w:val="20"/>
      </w:rPr>
      <w:t>8</w:t>
    </w:r>
    <w:r>
      <w:rPr>
        <w:rFonts w:ascii="Arial" w:hAnsi="Arial" w:cs="Arial"/>
        <w:b/>
        <w:sz w:val="20"/>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1CDBA" w14:textId="77777777" w:rsidR="00022DE5" w:rsidRDefault="00022DE5">
      <w:pPr>
        <w:spacing w:after="0" w:line="240" w:lineRule="auto"/>
      </w:pPr>
      <w:bookmarkStart w:id="0" w:name="_Hlk71621857"/>
      <w:bookmarkEnd w:id="0"/>
      <w:r>
        <w:separator/>
      </w:r>
    </w:p>
  </w:footnote>
  <w:footnote w:type="continuationSeparator" w:id="0">
    <w:p w14:paraId="64C39189" w14:textId="77777777" w:rsidR="00022DE5" w:rsidRDefault="00022DE5">
      <w:pPr>
        <w:spacing w:after="0" w:line="240" w:lineRule="auto"/>
      </w:pPr>
      <w:r>
        <w:continuationSeparator/>
      </w:r>
    </w:p>
  </w:footnote>
  <w:footnote w:type="continuationNotice" w:id="1">
    <w:p w14:paraId="1A5DFBAC" w14:textId="77777777" w:rsidR="00022DE5" w:rsidRDefault="00022DE5">
      <w:pPr>
        <w:spacing w:after="0" w:line="240" w:lineRule="auto"/>
      </w:pPr>
    </w:p>
  </w:footnote>
  <w:footnote w:id="2">
    <w:p w14:paraId="1355692A" w14:textId="36F51B37" w:rsidR="00033412" w:rsidRPr="001D0C14" w:rsidRDefault="00033412" w:rsidP="00265343">
      <w:pPr>
        <w:pStyle w:val="Fotnotetekst"/>
        <w:rPr>
          <w:i/>
          <w:lang w:val="en-US"/>
        </w:rPr>
      </w:pPr>
      <w:r w:rsidRPr="00926504">
        <w:rPr>
          <w:rStyle w:val="Fotnotereferanse"/>
          <w:rFonts w:ascii="Arial" w:hAnsi="Arial" w:cs="Arial"/>
          <w:sz w:val="17"/>
          <w:szCs w:val="17"/>
        </w:rPr>
        <w:footnoteRef/>
      </w:r>
      <w:r w:rsidRPr="00926504">
        <w:rPr>
          <w:rStyle w:val="Fotnotereferanse"/>
          <w:rFonts w:ascii="Arial" w:hAnsi="Arial" w:cs="Arial"/>
          <w:sz w:val="17"/>
          <w:szCs w:val="17"/>
        </w:rPr>
        <w:t xml:space="preserve"> </w:t>
      </w:r>
      <w:r w:rsidRPr="006C04E0">
        <w:rPr>
          <w:rFonts w:ascii="Arial" w:hAnsi="Arial" w:cs="Arial"/>
          <w:sz w:val="17"/>
          <w:szCs w:val="17"/>
          <w:shd w:val="clear" w:color="auto" w:fill="FFFFFF"/>
        </w:rPr>
        <w:t>Council Regulation (EU) No 1024/2013 of 15 October 2013 conferring specific tasks on the European Central Bank concerning policies relating to the prudential supervision of credit institutions (</w:t>
      </w:r>
      <w:r w:rsidRPr="001D0C14">
        <w:rPr>
          <w:rStyle w:val="Utheving"/>
          <w:rFonts w:ascii="Arial" w:hAnsi="Arial" w:cs="Arial"/>
          <w:i w:val="0"/>
          <w:iCs w:val="0"/>
          <w:sz w:val="17"/>
          <w:szCs w:val="17"/>
          <w:shd w:val="clear" w:color="auto" w:fill="FFFFFF"/>
        </w:rPr>
        <w:t>OJ L 287, 29.10.2013, p. 63).</w:t>
      </w:r>
    </w:p>
  </w:footnote>
  <w:footnote w:id="3">
    <w:p w14:paraId="1494A60C" w14:textId="3AFE7860" w:rsidR="00033412" w:rsidRDefault="00033412" w:rsidP="006C04E0">
      <w:pPr>
        <w:pStyle w:val="Fotnotetekst"/>
      </w:pPr>
      <w:r w:rsidRPr="00A3630B">
        <w:rPr>
          <w:rStyle w:val="Fotnotereferanse"/>
          <w:rFonts w:ascii="Arial" w:hAnsi="Arial" w:cs="Arial"/>
          <w:sz w:val="17"/>
          <w:szCs w:val="17"/>
        </w:rPr>
        <w:footnoteRef/>
      </w:r>
      <w:r w:rsidRPr="00C33793">
        <w:rPr>
          <w:rStyle w:val="Fotnotereferanse"/>
        </w:rPr>
        <w:t xml:space="preserve"> </w:t>
      </w:r>
      <w:r>
        <w:rPr>
          <w:rFonts w:ascii="Arial" w:hAnsi="Arial" w:cs="Arial"/>
          <w:sz w:val="17"/>
          <w:szCs w:val="17"/>
        </w:rPr>
        <w:t>On request by t</w:t>
      </w:r>
      <w:r w:rsidRPr="00C376F4">
        <w:rPr>
          <w:rFonts w:ascii="Arial" w:hAnsi="Arial" w:cs="Arial"/>
          <w:sz w:val="17"/>
          <w:szCs w:val="17"/>
        </w:rPr>
        <w:t xml:space="preserve">he notifying authority, </w:t>
      </w:r>
      <w:r>
        <w:rPr>
          <w:rFonts w:ascii="Arial" w:hAnsi="Arial" w:cs="Arial"/>
          <w:sz w:val="17"/>
          <w:szCs w:val="17"/>
        </w:rPr>
        <w:t xml:space="preserve">it may be agreed with </w:t>
      </w:r>
      <w:r w:rsidRPr="00C376F4">
        <w:rPr>
          <w:rFonts w:ascii="Arial" w:hAnsi="Arial" w:cs="Arial"/>
          <w:sz w:val="17"/>
          <w:szCs w:val="17"/>
        </w:rPr>
        <w:t xml:space="preserve">the Head of the ESRB Secretariat </w:t>
      </w:r>
      <w:r>
        <w:rPr>
          <w:rFonts w:ascii="Arial" w:hAnsi="Arial" w:cs="Arial"/>
          <w:sz w:val="17"/>
          <w:szCs w:val="17"/>
        </w:rPr>
        <w:t xml:space="preserve">that </w:t>
      </w:r>
      <w:r w:rsidRPr="00C376F4">
        <w:rPr>
          <w:rFonts w:ascii="Arial" w:hAnsi="Arial" w:cs="Arial"/>
          <w:sz w:val="17"/>
          <w:szCs w:val="17"/>
        </w:rPr>
        <w:t>this notification</w:t>
      </w:r>
      <w:r>
        <w:rPr>
          <w:rFonts w:ascii="Arial" w:hAnsi="Arial" w:cs="Arial"/>
          <w:sz w:val="17"/>
          <w:szCs w:val="17"/>
        </w:rPr>
        <w:t>,</w:t>
      </w:r>
      <w:r w:rsidRPr="00C376F4">
        <w:rPr>
          <w:rFonts w:ascii="Arial" w:hAnsi="Arial" w:cs="Arial"/>
          <w:sz w:val="17"/>
          <w:szCs w:val="17"/>
        </w:rPr>
        <w:t xml:space="preserve"> </w:t>
      </w:r>
      <w:r>
        <w:rPr>
          <w:rFonts w:ascii="Arial" w:hAnsi="Arial" w:cs="Arial"/>
          <w:sz w:val="17"/>
          <w:szCs w:val="17"/>
        </w:rPr>
        <w:t xml:space="preserve">or a part thereof, </w:t>
      </w:r>
      <w:r w:rsidRPr="00C376F4">
        <w:rPr>
          <w:rFonts w:ascii="Arial" w:hAnsi="Arial" w:cs="Arial"/>
          <w:sz w:val="17"/>
          <w:szCs w:val="17"/>
        </w:rPr>
        <w:t>should not be published</w:t>
      </w:r>
      <w:r>
        <w:rPr>
          <w:rFonts w:ascii="Arial" w:hAnsi="Arial" w:cs="Arial"/>
          <w:sz w:val="17"/>
          <w:szCs w:val="17"/>
        </w:rPr>
        <w:t xml:space="preserve"> for reasons of confidentiality o</w:t>
      </w:r>
      <w:r w:rsidR="00A121B3">
        <w:rPr>
          <w:rFonts w:ascii="Arial" w:hAnsi="Arial" w:cs="Arial"/>
          <w:sz w:val="17"/>
          <w:szCs w:val="17"/>
        </w:rPr>
        <w:t>r</w:t>
      </w:r>
      <w:r>
        <w:rPr>
          <w:rFonts w:ascii="Arial" w:hAnsi="Arial" w:cs="Arial"/>
          <w:sz w:val="17"/>
          <w:szCs w:val="17"/>
        </w:rPr>
        <w:t xml:space="preserve"> financial stability.</w:t>
      </w:r>
    </w:p>
  </w:footnote>
  <w:footnote w:id="4">
    <w:p w14:paraId="13BD1596" w14:textId="5BA19D6C" w:rsidR="002C2783" w:rsidRDefault="002C2783" w:rsidP="002C2783">
      <w:pPr>
        <w:pStyle w:val="Fotnotetekst"/>
      </w:pPr>
      <w:r>
        <w:rPr>
          <w:rStyle w:val="Fotnotereferanse"/>
        </w:rPr>
        <w:footnoteRef/>
      </w:r>
      <w:r>
        <w:t xml:space="preserve"> Andersen, Henrik (2019), </w:t>
      </w:r>
      <w:hyperlink r:id="rId1" w:history="1">
        <w:r w:rsidRPr="00DB652A">
          <w:rPr>
            <w:rStyle w:val="Hyperkobling"/>
          </w:rPr>
          <w:t>How much CET1 capital must banks set aside for commercial real estate exposures?</w:t>
        </w:r>
      </w:hyperlink>
    </w:p>
    <w:p w14:paraId="1DB3BF36" w14:textId="57F1C680" w:rsidR="002C2783" w:rsidRPr="00DB652A" w:rsidRDefault="002C2783" w:rsidP="002C2783">
      <w:pPr>
        <w:pStyle w:val="Fotnotetekst"/>
      </w:pPr>
      <w:proofErr w:type="spellStart"/>
      <w:r>
        <w:t>Norges</w:t>
      </w:r>
      <w:proofErr w:type="spellEnd"/>
      <w:r>
        <w:t xml:space="preserve"> Bank Staff Memo 10/2019.</w:t>
      </w:r>
    </w:p>
  </w:footnote>
  <w:footnote w:id="5">
    <w:p w14:paraId="55CD29C7" w14:textId="5BC71FF0" w:rsidR="00FC791A" w:rsidRPr="00FC791A" w:rsidRDefault="00FC791A">
      <w:pPr>
        <w:pStyle w:val="Fotnotetekst"/>
      </w:pPr>
      <w:r>
        <w:rPr>
          <w:rStyle w:val="Fotnotereferanse"/>
        </w:rPr>
        <w:footnoteRef/>
      </w:r>
      <w:r>
        <w:t xml:space="preserve"> </w:t>
      </w:r>
      <w:proofErr w:type="spellStart"/>
      <w:r>
        <w:t>Finanstilsynet's</w:t>
      </w:r>
      <w:proofErr w:type="spellEnd"/>
      <w:r>
        <w:t xml:space="preserve"> </w:t>
      </w:r>
      <w:hyperlink r:id="rId2" w:history="1">
        <w:r w:rsidR="00BD4E07" w:rsidRPr="000E2328">
          <w:rPr>
            <w:rStyle w:val="Hyperkobling"/>
          </w:rPr>
          <w:t>Financial Outlook June 2024</w:t>
        </w:r>
      </w:hyperlink>
      <w:r w:rsidR="00BD4E07">
        <w:t xml:space="preserve"> and </w:t>
      </w:r>
      <w:hyperlink r:id="rId3" w:history="1">
        <w:r w:rsidR="001E26A1" w:rsidRPr="00B15C72">
          <w:rPr>
            <w:rStyle w:val="Hyperkobling"/>
          </w:rPr>
          <w:t>Financial Outlook December 2024</w:t>
        </w:r>
      </w:hyperlink>
      <w:r w:rsidR="00BD4E07">
        <w:t xml:space="preserve"> </w:t>
      </w:r>
      <w:r w:rsidR="001E26A1">
        <w:t xml:space="preserve">and </w:t>
      </w:r>
      <w:proofErr w:type="spellStart"/>
      <w:r w:rsidR="001E26A1">
        <w:t>Norges</w:t>
      </w:r>
      <w:proofErr w:type="spellEnd"/>
      <w:r w:rsidR="001E26A1">
        <w:t xml:space="preserve"> Bank's </w:t>
      </w:r>
      <w:hyperlink r:id="rId4" w:history="1">
        <w:r w:rsidR="004547B8">
          <w:rPr>
            <w:rStyle w:val="Hyperkobling"/>
          </w:rPr>
          <w:t>Financial Stability Report 2024 H1</w:t>
        </w:r>
      </w:hyperlink>
      <w:r w:rsidR="003E7280">
        <w:t xml:space="preserve"> and </w:t>
      </w:r>
      <w:hyperlink r:id="rId5" w:history="1">
        <w:r w:rsidR="009928DD" w:rsidRPr="00990564">
          <w:rPr>
            <w:rStyle w:val="Hyperkobling"/>
          </w:rPr>
          <w:t>Financial Stability Report H2</w:t>
        </w:r>
      </w:hyperlink>
      <w:r w:rsidR="009928DD">
        <w:rPr>
          <w:rStyle w:val="Hyperkobling"/>
        </w:rPr>
        <w:t>.</w:t>
      </w:r>
      <w:r w:rsidR="00BD4E07">
        <w:t xml:space="preserve">     </w:t>
      </w:r>
    </w:p>
  </w:footnote>
  <w:footnote w:id="6">
    <w:p w14:paraId="1D51F523" w14:textId="168085CB" w:rsidR="00792C1A" w:rsidRPr="00792C1A" w:rsidRDefault="00792C1A">
      <w:pPr>
        <w:pStyle w:val="Fotnotetekst"/>
      </w:pPr>
      <w:r>
        <w:rPr>
          <w:rStyle w:val="Fotnotereferanse"/>
        </w:rPr>
        <w:footnoteRef/>
      </w:r>
      <w:r>
        <w:t xml:space="preserve"> See </w:t>
      </w:r>
      <w:proofErr w:type="spellStart"/>
      <w:r>
        <w:t>Norges</w:t>
      </w:r>
      <w:proofErr w:type="spellEnd"/>
      <w:r>
        <w:t xml:space="preserve"> Bank's </w:t>
      </w:r>
      <w:hyperlink r:id="rId6" w:history="1">
        <w:r w:rsidRPr="00990564">
          <w:rPr>
            <w:rStyle w:val="Hyperkobling"/>
          </w:rPr>
          <w:t>Financial Stability Report H2</w:t>
        </w:r>
      </w:hyperlink>
      <w:r>
        <w:rPr>
          <w:rStyle w:val="Hyperkobling"/>
        </w:rPr>
        <w:t>.</w:t>
      </w:r>
    </w:p>
  </w:footnote>
  <w:footnote w:id="7">
    <w:p w14:paraId="531085C9" w14:textId="6F53ED3C" w:rsidR="00792C1A" w:rsidRPr="00792C1A" w:rsidRDefault="00792C1A">
      <w:pPr>
        <w:pStyle w:val="Fotnotetekst"/>
      </w:pPr>
      <w:r>
        <w:rPr>
          <w:rStyle w:val="Fotnotereferanse"/>
        </w:rPr>
        <w:footnoteRef/>
      </w:r>
      <w:r>
        <w:t xml:space="preserve"> See </w:t>
      </w:r>
      <w:hyperlink r:id="rId7" w:history="1">
        <w:r>
          <w:rPr>
            <w:rStyle w:val="Hyperkobling"/>
          </w:rPr>
          <w:t>Norway: 2024 Article IV Consultation-Press Release; Staff Report; and Statement by the Executive Director for Norway</w:t>
        </w:r>
      </w:hyperlink>
      <w:r>
        <w:t xml:space="preserve">, IMF Country Report No. 2024/297 </w:t>
      </w:r>
    </w:p>
  </w:footnote>
  <w:footnote w:id="8">
    <w:p w14:paraId="22F96D35" w14:textId="7F91D30A" w:rsidR="00D42230" w:rsidRPr="00DD01F5" w:rsidRDefault="00D42230">
      <w:pPr>
        <w:pStyle w:val="Fotnotetekst"/>
        <w:rPr>
          <w:sz w:val="17"/>
          <w:szCs w:val="17"/>
        </w:rPr>
      </w:pPr>
      <w:r w:rsidRPr="00DD01F5">
        <w:rPr>
          <w:rStyle w:val="Fotnotereferanse"/>
          <w:sz w:val="17"/>
          <w:szCs w:val="17"/>
        </w:rPr>
        <w:footnoteRef/>
      </w:r>
      <w:r w:rsidRPr="00DD01F5">
        <w:rPr>
          <w:sz w:val="17"/>
          <w:szCs w:val="17"/>
        </w:rPr>
        <w:t xml:space="preserve"> </w:t>
      </w:r>
      <w:r w:rsidR="00544143" w:rsidRPr="00DD01F5">
        <w:rPr>
          <w:sz w:val="17"/>
          <w:szCs w:val="17"/>
        </w:rPr>
        <w:t xml:space="preserve">See </w:t>
      </w:r>
      <w:proofErr w:type="spellStart"/>
      <w:r w:rsidR="00544143" w:rsidRPr="00DD01F5">
        <w:rPr>
          <w:sz w:val="17"/>
          <w:szCs w:val="17"/>
        </w:rPr>
        <w:t>Finanstilsynet's</w:t>
      </w:r>
      <w:proofErr w:type="spellEnd"/>
      <w:r w:rsidR="00544143" w:rsidRPr="00DD01F5">
        <w:rPr>
          <w:sz w:val="17"/>
          <w:szCs w:val="17"/>
        </w:rPr>
        <w:t xml:space="preserve"> </w:t>
      </w:r>
      <w:hyperlink r:id="rId8" w:history="1">
        <w:r w:rsidR="00544143" w:rsidRPr="00DD01F5">
          <w:rPr>
            <w:rStyle w:val="Hyperkobling"/>
            <w:sz w:val="17"/>
            <w:szCs w:val="17"/>
          </w:rPr>
          <w:t>Financial Outlook June 2024</w:t>
        </w:r>
      </w:hyperlink>
    </w:p>
  </w:footnote>
  <w:footnote w:id="9">
    <w:p w14:paraId="743CC6C9" w14:textId="77777777" w:rsidR="001D1FCB" w:rsidRPr="00625100" w:rsidRDefault="001D1FCB" w:rsidP="001D1FCB">
      <w:pPr>
        <w:pStyle w:val="Fotnotetekst"/>
      </w:pPr>
      <w:r w:rsidRPr="001E50E6">
        <w:rPr>
          <w:rStyle w:val="Fotnotereferanse"/>
          <w:rFonts w:ascii="Arial" w:hAnsi="Arial" w:cs="Arial"/>
          <w:sz w:val="17"/>
          <w:szCs w:val="17"/>
        </w:rPr>
        <w:footnoteRef/>
      </w:r>
      <w:r w:rsidRPr="001E50E6">
        <w:rPr>
          <w:rStyle w:val="Fotnotereferanse"/>
          <w:rFonts w:ascii="Arial" w:hAnsi="Arial" w:cs="Arial"/>
          <w:sz w:val="17"/>
          <w:szCs w:val="17"/>
        </w:rPr>
        <w:t xml:space="preserve"> </w:t>
      </w:r>
      <w:r w:rsidRPr="00FA12CE">
        <w:rPr>
          <w:rFonts w:ascii="Arial" w:hAnsi="Arial" w:cs="Arial"/>
          <w:sz w:val="17"/>
          <w:szCs w:val="17"/>
        </w:rPr>
        <w:t>Recommendation of the European Systemic Risk Board of 15 December 2015 on the assessment of cross-border effects of and voluntary reciprocity for macroprudential policy measures (ESRB/2015/3) (OJ C 97, 12.3.2016, p. 9).</w:t>
      </w:r>
    </w:p>
  </w:footnote>
  <w:footnote w:id="10">
    <w:p w14:paraId="52E091BF" w14:textId="6EAE73CE" w:rsidR="00BD04EC" w:rsidRPr="00BD04EC" w:rsidRDefault="00BD04EC">
      <w:pPr>
        <w:pStyle w:val="Fotnotetekst"/>
      </w:pPr>
      <w:r>
        <w:rPr>
          <w:rStyle w:val="Fotnotereferanse"/>
        </w:rPr>
        <w:footnoteRef/>
      </w:r>
      <w:r>
        <w:t xml:space="preserve"> </w:t>
      </w:r>
      <w:hyperlink r:id="rId9" w:history="1">
        <w:r w:rsidRPr="00FF146F">
          <w:rPr>
            <w:rStyle w:val="Hyperkobling"/>
            <w:rFonts w:ascii="Arial" w:hAnsi="Arial" w:cs="Arial"/>
            <w:sz w:val="17"/>
            <w:szCs w:val="17"/>
          </w:rPr>
          <w:t xml:space="preserve">Memorandum of understanding between the Finnish, Norwegian and Swedish Ministries of Finance and the Danish Ministry of Business on cooperation regarding significant branches of cross-border banking groups </w:t>
        </w:r>
      </w:hyperlink>
      <w:r w:rsidRPr="00FF146F">
        <w:rPr>
          <w:rFonts w:ascii="Arial" w:hAnsi="Arial" w:cs="Arial"/>
          <w:sz w:val="17"/>
          <w:szCs w:val="17"/>
        </w:rPr>
        <w:t>, published on the Ministry of Finance website on 19 December 2016</w:t>
      </w:r>
      <w:r>
        <w:rPr>
          <w:rFonts w:ascii="Arial" w:hAnsi="Arial" w:cs="Arial"/>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C0459" w14:textId="789123E5" w:rsidR="00033412" w:rsidRDefault="00033412" w:rsidP="004C1A87">
    <w:pPr>
      <w:pStyle w:val="Topptekst"/>
      <w:tabs>
        <w:tab w:val="clear" w:pos="4513"/>
      </w:tabs>
    </w:pPr>
    <w:r>
      <w:rPr>
        <w:noProof/>
        <w:lang w:val="de-DE" w:eastAsia="de-DE"/>
      </w:rPr>
      <w:drawing>
        <wp:inline distT="0" distB="0" distL="0" distR="0" wp14:anchorId="77E5D3DC" wp14:editId="46FD9023">
          <wp:extent cx="2221818" cy="403225"/>
          <wp:effectExtent l="0" t="0" r="0" b="0"/>
          <wp:docPr id="2" name="Picture 2" descr="ESRB_Logo_EN-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ESRB_Logo_EN-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60652" cy="464718"/>
                  </a:xfrm>
                  <a:prstGeom prst="rect">
                    <a:avLst/>
                  </a:prstGeom>
                  <a:noFill/>
                  <a:ln>
                    <a:noFill/>
                  </a:ln>
                </pic:spPr>
              </pic:pic>
            </a:graphicData>
          </a:graphic>
        </wp:inline>
      </w:drawing>
    </w:r>
    <w:r>
      <w:t xml:space="preserve">     </w:t>
    </w:r>
    <w:r>
      <w:tab/>
      <w:t xml:space="preserve">               </w:t>
    </w:r>
    <w:r w:rsidRPr="00C559BE">
      <w:rPr>
        <w:noProof/>
        <w:lang w:val="de-DE" w:eastAsia="de-DE"/>
      </w:rPr>
      <w:drawing>
        <wp:inline distT="0" distB="0" distL="0" distR="0" wp14:anchorId="088F7A3E" wp14:editId="035142BE">
          <wp:extent cx="1501096" cy="739791"/>
          <wp:effectExtent l="0" t="0" r="0" b="0"/>
          <wp:docPr id="10" name="Picture 1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2"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01096" cy="73979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50370"/>
    <w:multiLevelType w:val="hybridMultilevel"/>
    <w:tmpl w:val="77D48B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40C04"/>
    <w:multiLevelType w:val="hybridMultilevel"/>
    <w:tmpl w:val="0A7ECDC4"/>
    <w:lvl w:ilvl="0" w:tplc="3DF0976C">
      <w:numFmt w:val="bullet"/>
      <w:lvlText w:val="-"/>
      <w:lvlJc w:val="left"/>
      <w:pPr>
        <w:ind w:left="360" w:hanging="360"/>
      </w:pPr>
      <w:rPr>
        <w:rFonts w:ascii="Arial" w:eastAsia="Times New Roman" w:hAnsi="Arial" w:cs="Arial" w:hint="default"/>
        <w:b w:val="0"/>
        <w:bCs w:val="0"/>
        <w:sz w:val="18"/>
        <w:szCs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8B1134"/>
    <w:multiLevelType w:val="hybridMultilevel"/>
    <w:tmpl w:val="AAB8E2D0"/>
    <w:lvl w:ilvl="0" w:tplc="D6C2739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9632EB"/>
    <w:multiLevelType w:val="hybridMultilevel"/>
    <w:tmpl w:val="FB4401D2"/>
    <w:lvl w:ilvl="0" w:tplc="D9C6FFEE">
      <w:start w:val="1"/>
      <w:numFmt w:val="lowerRoman"/>
      <w:lvlText w:val="(%1)"/>
      <w:lvlJc w:val="righ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FA1369E"/>
    <w:multiLevelType w:val="hybridMultilevel"/>
    <w:tmpl w:val="2506B3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AD3C0D"/>
    <w:multiLevelType w:val="hybridMultilevel"/>
    <w:tmpl w:val="A81A8E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583E34"/>
    <w:multiLevelType w:val="hybridMultilevel"/>
    <w:tmpl w:val="581EEBC0"/>
    <w:lvl w:ilvl="0" w:tplc="DAA22C9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E76393"/>
    <w:multiLevelType w:val="hybridMultilevel"/>
    <w:tmpl w:val="ACE44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2D0F7D"/>
    <w:multiLevelType w:val="hybridMultilevel"/>
    <w:tmpl w:val="A412EB8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1A8E72D7"/>
    <w:multiLevelType w:val="hybridMultilevel"/>
    <w:tmpl w:val="DDA0D7CE"/>
    <w:lvl w:ilvl="0" w:tplc="08090019">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0B04903"/>
    <w:multiLevelType w:val="hybridMultilevel"/>
    <w:tmpl w:val="7FDCBE06"/>
    <w:lvl w:ilvl="0" w:tplc="DAA22C98">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1EA3481"/>
    <w:multiLevelType w:val="multilevel"/>
    <w:tmpl w:val="E4B6C93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23802DD"/>
    <w:multiLevelType w:val="hybridMultilevel"/>
    <w:tmpl w:val="20F48450"/>
    <w:lvl w:ilvl="0" w:tplc="0C070001">
      <w:start w:val="1"/>
      <w:numFmt w:val="bullet"/>
      <w:lvlText w:val=""/>
      <w:lvlJc w:val="left"/>
      <w:pPr>
        <w:ind w:left="1080" w:hanging="360"/>
      </w:pPr>
      <w:rPr>
        <w:rFonts w:ascii="Symbol" w:hAnsi="Symbol" w:hint="default"/>
      </w:rPr>
    </w:lvl>
    <w:lvl w:ilvl="1" w:tplc="0C070003">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3" w15:restartNumberingAfterBreak="0">
    <w:nsid w:val="2341217B"/>
    <w:multiLevelType w:val="hybridMultilevel"/>
    <w:tmpl w:val="4508BB14"/>
    <w:lvl w:ilvl="0" w:tplc="DAA22C9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A1447B"/>
    <w:multiLevelType w:val="hybridMultilevel"/>
    <w:tmpl w:val="EE0A7B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A82FCA"/>
    <w:multiLevelType w:val="hybridMultilevel"/>
    <w:tmpl w:val="1644A86C"/>
    <w:lvl w:ilvl="0" w:tplc="18EA3204">
      <w:start w:val="1"/>
      <w:numFmt w:val="lowerRoman"/>
      <w:lvlText w:val="(%1)"/>
      <w:lvlJc w:val="left"/>
      <w:pPr>
        <w:ind w:left="896" w:hanging="720"/>
      </w:pPr>
      <w:rPr>
        <w:rFonts w:hint="default"/>
      </w:rPr>
    </w:lvl>
    <w:lvl w:ilvl="1" w:tplc="08090019" w:tentative="1">
      <w:start w:val="1"/>
      <w:numFmt w:val="lowerLetter"/>
      <w:lvlText w:val="%2."/>
      <w:lvlJc w:val="left"/>
      <w:pPr>
        <w:ind w:left="1256" w:hanging="360"/>
      </w:pPr>
    </w:lvl>
    <w:lvl w:ilvl="2" w:tplc="0809001B" w:tentative="1">
      <w:start w:val="1"/>
      <w:numFmt w:val="lowerRoman"/>
      <w:lvlText w:val="%3."/>
      <w:lvlJc w:val="right"/>
      <w:pPr>
        <w:ind w:left="1976" w:hanging="180"/>
      </w:pPr>
    </w:lvl>
    <w:lvl w:ilvl="3" w:tplc="0809000F" w:tentative="1">
      <w:start w:val="1"/>
      <w:numFmt w:val="decimal"/>
      <w:lvlText w:val="%4."/>
      <w:lvlJc w:val="left"/>
      <w:pPr>
        <w:ind w:left="2696" w:hanging="360"/>
      </w:pPr>
    </w:lvl>
    <w:lvl w:ilvl="4" w:tplc="08090019" w:tentative="1">
      <w:start w:val="1"/>
      <w:numFmt w:val="lowerLetter"/>
      <w:lvlText w:val="%5."/>
      <w:lvlJc w:val="left"/>
      <w:pPr>
        <w:ind w:left="3416" w:hanging="360"/>
      </w:pPr>
    </w:lvl>
    <w:lvl w:ilvl="5" w:tplc="0809001B" w:tentative="1">
      <w:start w:val="1"/>
      <w:numFmt w:val="lowerRoman"/>
      <w:lvlText w:val="%6."/>
      <w:lvlJc w:val="right"/>
      <w:pPr>
        <w:ind w:left="4136" w:hanging="180"/>
      </w:pPr>
    </w:lvl>
    <w:lvl w:ilvl="6" w:tplc="0809000F" w:tentative="1">
      <w:start w:val="1"/>
      <w:numFmt w:val="decimal"/>
      <w:lvlText w:val="%7."/>
      <w:lvlJc w:val="left"/>
      <w:pPr>
        <w:ind w:left="4856" w:hanging="360"/>
      </w:pPr>
    </w:lvl>
    <w:lvl w:ilvl="7" w:tplc="08090019" w:tentative="1">
      <w:start w:val="1"/>
      <w:numFmt w:val="lowerLetter"/>
      <w:lvlText w:val="%8."/>
      <w:lvlJc w:val="left"/>
      <w:pPr>
        <w:ind w:left="5576" w:hanging="360"/>
      </w:pPr>
    </w:lvl>
    <w:lvl w:ilvl="8" w:tplc="0809001B" w:tentative="1">
      <w:start w:val="1"/>
      <w:numFmt w:val="lowerRoman"/>
      <w:lvlText w:val="%9."/>
      <w:lvlJc w:val="right"/>
      <w:pPr>
        <w:ind w:left="6296" w:hanging="180"/>
      </w:pPr>
    </w:lvl>
  </w:abstractNum>
  <w:abstractNum w:abstractNumId="16" w15:restartNumberingAfterBreak="0">
    <w:nsid w:val="298C2270"/>
    <w:multiLevelType w:val="hybridMultilevel"/>
    <w:tmpl w:val="BDB673F2"/>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start w:val="1"/>
      <w:numFmt w:val="bullet"/>
      <w:lvlText w:val=""/>
      <w:lvlJc w:val="left"/>
      <w:pPr>
        <w:ind w:left="2930" w:hanging="360"/>
      </w:pPr>
      <w:rPr>
        <w:rFonts w:ascii="Symbol" w:hAnsi="Symbol" w:hint="default"/>
      </w:rPr>
    </w:lvl>
    <w:lvl w:ilvl="4" w:tplc="08090003">
      <w:start w:val="1"/>
      <w:numFmt w:val="bullet"/>
      <w:lvlText w:val="o"/>
      <w:lvlJc w:val="left"/>
      <w:pPr>
        <w:ind w:left="3650" w:hanging="360"/>
      </w:pPr>
      <w:rPr>
        <w:rFonts w:ascii="Courier New" w:hAnsi="Courier New" w:cs="Courier New" w:hint="default"/>
      </w:rPr>
    </w:lvl>
    <w:lvl w:ilvl="5" w:tplc="08090005">
      <w:start w:val="1"/>
      <w:numFmt w:val="bullet"/>
      <w:lvlText w:val=""/>
      <w:lvlJc w:val="left"/>
      <w:pPr>
        <w:ind w:left="4370" w:hanging="360"/>
      </w:pPr>
      <w:rPr>
        <w:rFonts w:ascii="Wingdings" w:hAnsi="Wingdings" w:hint="default"/>
      </w:rPr>
    </w:lvl>
    <w:lvl w:ilvl="6" w:tplc="08090001">
      <w:start w:val="1"/>
      <w:numFmt w:val="bullet"/>
      <w:lvlText w:val=""/>
      <w:lvlJc w:val="left"/>
      <w:pPr>
        <w:ind w:left="5090" w:hanging="360"/>
      </w:pPr>
      <w:rPr>
        <w:rFonts w:ascii="Symbol" w:hAnsi="Symbol" w:hint="default"/>
      </w:rPr>
    </w:lvl>
    <w:lvl w:ilvl="7" w:tplc="08090003">
      <w:start w:val="1"/>
      <w:numFmt w:val="bullet"/>
      <w:lvlText w:val="o"/>
      <w:lvlJc w:val="left"/>
      <w:pPr>
        <w:ind w:left="5810" w:hanging="360"/>
      </w:pPr>
      <w:rPr>
        <w:rFonts w:ascii="Courier New" w:hAnsi="Courier New" w:cs="Courier New" w:hint="default"/>
      </w:rPr>
    </w:lvl>
    <w:lvl w:ilvl="8" w:tplc="08090005">
      <w:start w:val="1"/>
      <w:numFmt w:val="bullet"/>
      <w:lvlText w:val=""/>
      <w:lvlJc w:val="left"/>
      <w:pPr>
        <w:ind w:left="6530" w:hanging="360"/>
      </w:pPr>
      <w:rPr>
        <w:rFonts w:ascii="Wingdings" w:hAnsi="Wingdings" w:hint="default"/>
      </w:rPr>
    </w:lvl>
  </w:abstractNum>
  <w:abstractNum w:abstractNumId="17" w15:restartNumberingAfterBreak="0">
    <w:nsid w:val="2B6629CE"/>
    <w:multiLevelType w:val="hybridMultilevel"/>
    <w:tmpl w:val="DE0E6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0B464E"/>
    <w:multiLevelType w:val="multilevel"/>
    <w:tmpl w:val="D26C2EE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1.%3"/>
      <w:lvlJc w:val="left"/>
      <w:pPr>
        <w:ind w:left="720" w:hanging="432"/>
      </w:pPr>
      <w:rPr>
        <w:rFonts w:hint="default"/>
      </w:rPr>
    </w:lvl>
    <w:lvl w:ilvl="3">
      <w:start w:val="1"/>
      <w:numFmt w:val="lowerRoman"/>
      <w:pStyle w:val="Overskrift4"/>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pStyle w:val="Overskrift6"/>
      <w:lvlText w:val="%6)"/>
      <w:lvlJc w:val="left"/>
      <w:pPr>
        <w:ind w:left="1152" w:hanging="432"/>
      </w:pPr>
      <w:rPr>
        <w:rFonts w:hint="default"/>
      </w:rPr>
    </w:lvl>
    <w:lvl w:ilvl="6">
      <w:start w:val="1"/>
      <w:numFmt w:val="lowerRoman"/>
      <w:pStyle w:val="Overskrift7"/>
      <w:lvlText w:val="%7)"/>
      <w:lvlJc w:val="right"/>
      <w:pPr>
        <w:ind w:left="1296" w:hanging="288"/>
      </w:pPr>
      <w:rPr>
        <w:rFonts w:hint="default"/>
      </w:rPr>
    </w:lvl>
    <w:lvl w:ilvl="7">
      <w:start w:val="1"/>
      <w:numFmt w:val="lowerLetter"/>
      <w:pStyle w:val="Overskrift8"/>
      <w:lvlText w:val="%8."/>
      <w:lvlJc w:val="left"/>
      <w:pPr>
        <w:ind w:left="1440" w:hanging="432"/>
      </w:pPr>
      <w:rPr>
        <w:rFonts w:hint="default"/>
      </w:rPr>
    </w:lvl>
    <w:lvl w:ilvl="8">
      <w:start w:val="1"/>
      <w:numFmt w:val="lowerRoman"/>
      <w:pStyle w:val="Overskrift9"/>
      <w:lvlText w:val="%9."/>
      <w:lvlJc w:val="right"/>
      <w:pPr>
        <w:ind w:left="1584" w:hanging="144"/>
      </w:pPr>
      <w:rPr>
        <w:rFonts w:hint="default"/>
      </w:rPr>
    </w:lvl>
  </w:abstractNum>
  <w:abstractNum w:abstractNumId="19" w15:restartNumberingAfterBreak="0">
    <w:nsid w:val="32D128F4"/>
    <w:multiLevelType w:val="hybridMultilevel"/>
    <w:tmpl w:val="A1A0FB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38C7635F"/>
    <w:multiLevelType w:val="hybridMultilevel"/>
    <w:tmpl w:val="8DAC6E64"/>
    <w:lvl w:ilvl="0" w:tplc="92625A84">
      <w:start w:val="1"/>
      <w:numFmt w:val="decimal"/>
      <w:lvlText w:val="%1."/>
      <w:lvlJc w:val="left"/>
      <w:pPr>
        <w:ind w:left="720" w:hanging="360"/>
      </w:pPr>
      <w:rPr>
        <w:i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3D8B370D"/>
    <w:multiLevelType w:val="hybridMultilevel"/>
    <w:tmpl w:val="3B10653E"/>
    <w:lvl w:ilvl="0" w:tplc="DAA22C98">
      <w:numFmt w:val="bullet"/>
      <w:lvlText w:val="-"/>
      <w:lvlJc w:val="left"/>
      <w:pPr>
        <w:ind w:left="36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BD7AEF"/>
    <w:multiLevelType w:val="hybridMultilevel"/>
    <w:tmpl w:val="F9F6DE0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08D24B0"/>
    <w:multiLevelType w:val="hybridMultilevel"/>
    <w:tmpl w:val="43082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D80007"/>
    <w:multiLevelType w:val="hybridMultilevel"/>
    <w:tmpl w:val="7C9272AE"/>
    <w:lvl w:ilvl="0" w:tplc="08090019">
      <w:start w:val="1"/>
      <w:numFmt w:val="lowerLetter"/>
      <w:lvlText w:val="%1."/>
      <w:lvlJc w:val="left"/>
      <w:pPr>
        <w:ind w:left="360" w:hanging="360"/>
      </w:pPr>
      <w:rPr>
        <w:rFonts w:hint="default"/>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5" w15:restartNumberingAfterBreak="0">
    <w:nsid w:val="45FB76A7"/>
    <w:multiLevelType w:val="hybridMultilevel"/>
    <w:tmpl w:val="9AE24F76"/>
    <w:lvl w:ilvl="0" w:tplc="38A46C48">
      <w:start w:val="1"/>
      <w:numFmt w:val="lowerRoman"/>
      <w:lvlText w:val="(%1)"/>
      <w:lvlJc w:val="left"/>
      <w:pPr>
        <w:ind w:left="896" w:hanging="720"/>
      </w:pPr>
      <w:rPr>
        <w:rFonts w:hint="default"/>
      </w:rPr>
    </w:lvl>
    <w:lvl w:ilvl="1" w:tplc="08090019" w:tentative="1">
      <w:start w:val="1"/>
      <w:numFmt w:val="lowerLetter"/>
      <w:lvlText w:val="%2."/>
      <w:lvlJc w:val="left"/>
      <w:pPr>
        <w:ind w:left="1256" w:hanging="360"/>
      </w:pPr>
    </w:lvl>
    <w:lvl w:ilvl="2" w:tplc="0809001B" w:tentative="1">
      <w:start w:val="1"/>
      <w:numFmt w:val="lowerRoman"/>
      <w:lvlText w:val="%3."/>
      <w:lvlJc w:val="right"/>
      <w:pPr>
        <w:ind w:left="1976" w:hanging="180"/>
      </w:pPr>
    </w:lvl>
    <w:lvl w:ilvl="3" w:tplc="0809000F" w:tentative="1">
      <w:start w:val="1"/>
      <w:numFmt w:val="decimal"/>
      <w:lvlText w:val="%4."/>
      <w:lvlJc w:val="left"/>
      <w:pPr>
        <w:ind w:left="2696" w:hanging="360"/>
      </w:pPr>
    </w:lvl>
    <w:lvl w:ilvl="4" w:tplc="08090019" w:tentative="1">
      <w:start w:val="1"/>
      <w:numFmt w:val="lowerLetter"/>
      <w:lvlText w:val="%5."/>
      <w:lvlJc w:val="left"/>
      <w:pPr>
        <w:ind w:left="3416" w:hanging="360"/>
      </w:pPr>
    </w:lvl>
    <w:lvl w:ilvl="5" w:tplc="0809001B" w:tentative="1">
      <w:start w:val="1"/>
      <w:numFmt w:val="lowerRoman"/>
      <w:lvlText w:val="%6."/>
      <w:lvlJc w:val="right"/>
      <w:pPr>
        <w:ind w:left="4136" w:hanging="180"/>
      </w:pPr>
    </w:lvl>
    <w:lvl w:ilvl="6" w:tplc="0809000F" w:tentative="1">
      <w:start w:val="1"/>
      <w:numFmt w:val="decimal"/>
      <w:lvlText w:val="%7."/>
      <w:lvlJc w:val="left"/>
      <w:pPr>
        <w:ind w:left="4856" w:hanging="360"/>
      </w:pPr>
    </w:lvl>
    <w:lvl w:ilvl="7" w:tplc="08090019" w:tentative="1">
      <w:start w:val="1"/>
      <w:numFmt w:val="lowerLetter"/>
      <w:lvlText w:val="%8."/>
      <w:lvlJc w:val="left"/>
      <w:pPr>
        <w:ind w:left="5576" w:hanging="360"/>
      </w:pPr>
    </w:lvl>
    <w:lvl w:ilvl="8" w:tplc="0809001B" w:tentative="1">
      <w:start w:val="1"/>
      <w:numFmt w:val="lowerRoman"/>
      <w:lvlText w:val="%9."/>
      <w:lvlJc w:val="right"/>
      <w:pPr>
        <w:ind w:left="6296" w:hanging="180"/>
      </w:pPr>
    </w:lvl>
  </w:abstractNum>
  <w:abstractNum w:abstractNumId="26" w15:restartNumberingAfterBreak="0">
    <w:nsid w:val="4DA15F9A"/>
    <w:multiLevelType w:val="hybridMultilevel"/>
    <w:tmpl w:val="E1E82CFC"/>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7" w15:restartNumberingAfterBreak="0">
    <w:nsid w:val="537746FB"/>
    <w:multiLevelType w:val="hybridMultilevel"/>
    <w:tmpl w:val="911C53C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8" w15:restartNumberingAfterBreak="0">
    <w:nsid w:val="5CDE0002"/>
    <w:multiLevelType w:val="hybridMultilevel"/>
    <w:tmpl w:val="70944B80"/>
    <w:lvl w:ilvl="0" w:tplc="756646CC">
      <w:start w:val="1"/>
      <w:numFmt w:val="decimal"/>
      <w:lvlText w:val="%1."/>
      <w:lvlJc w:val="left"/>
      <w:pPr>
        <w:ind w:left="720" w:hanging="360"/>
      </w:pPr>
      <w:rPr>
        <w:i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9" w15:restartNumberingAfterBreak="0">
    <w:nsid w:val="5EB871BC"/>
    <w:multiLevelType w:val="hybridMultilevel"/>
    <w:tmpl w:val="3760B2A8"/>
    <w:lvl w:ilvl="0" w:tplc="1A522DB6">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553FF5"/>
    <w:multiLevelType w:val="hybridMultilevel"/>
    <w:tmpl w:val="611A9BCC"/>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1" w15:restartNumberingAfterBreak="0">
    <w:nsid w:val="622E5A0C"/>
    <w:multiLevelType w:val="hybridMultilevel"/>
    <w:tmpl w:val="8ED04B2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A5D0C63"/>
    <w:multiLevelType w:val="multilevel"/>
    <w:tmpl w:val="0AF6D762"/>
    <w:lvl w:ilvl="0">
      <w:start w:val="1"/>
      <w:numFmt w:val="decimal"/>
      <w:lvlText w:val="%1."/>
      <w:lvlJc w:val="left"/>
      <w:pPr>
        <w:ind w:left="720" w:hanging="360"/>
      </w:pPr>
      <w:rPr>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432630263">
    <w:abstractNumId w:val="8"/>
  </w:num>
  <w:num w:numId="2" w16cid:durableId="458691988">
    <w:abstractNumId w:val="30"/>
  </w:num>
  <w:num w:numId="3" w16cid:durableId="514080734">
    <w:abstractNumId w:val="12"/>
  </w:num>
  <w:num w:numId="4" w16cid:durableId="457989880">
    <w:abstractNumId w:val="3"/>
  </w:num>
  <w:num w:numId="5" w16cid:durableId="1813058097">
    <w:abstractNumId w:val="32"/>
  </w:num>
  <w:num w:numId="6" w16cid:durableId="83965732">
    <w:abstractNumId w:val="21"/>
  </w:num>
  <w:num w:numId="7" w16cid:durableId="2021393383">
    <w:abstractNumId w:val="2"/>
  </w:num>
  <w:num w:numId="8" w16cid:durableId="2131900289">
    <w:abstractNumId w:val="14"/>
  </w:num>
  <w:num w:numId="9" w16cid:durableId="1186334795">
    <w:abstractNumId w:val="20"/>
  </w:num>
  <w:num w:numId="10" w16cid:durableId="707291301">
    <w:abstractNumId w:val="28"/>
  </w:num>
  <w:num w:numId="11" w16cid:durableId="978071969">
    <w:abstractNumId w:val="23"/>
  </w:num>
  <w:num w:numId="12" w16cid:durableId="506556620">
    <w:abstractNumId w:val="22"/>
  </w:num>
  <w:num w:numId="13" w16cid:durableId="1190411137">
    <w:abstractNumId w:val="31"/>
  </w:num>
  <w:num w:numId="14" w16cid:durableId="1272710580">
    <w:abstractNumId w:val="24"/>
  </w:num>
  <w:num w:numId="15" w16cid:durableId="1508787538">
    <w:abstractNumId w:val="7"/>
  </w:num>
  <w:num w:numId="16" w16cid:durableId="605770405">
    <w:abstractNumId w:val="4"/>
  </w:num>
  <w:num w:numId="17" w16cid:durableId="914322058">
    <w:abstractNumId w:val="17"/>
  </w:num>
  <w:num w:numId="18" w16cid:durableId="322851656">
    <w:abstractNumId w:val="18"/>
  </w:num>
  <w:num w:numId="19" w16cid:durableId="1805614679">
    <w:abstractNumId w:val="9"/>
    <w:lvlOverride w:ilvl="0">
      <w:startOverride w:val="1"/>
    </w:lvlOverride>
    <w:lvlOverride w:ilvl="1"/>
    <w:lvlOverride w:ilvl="2"/>
    <w:lvlOverride w:ilvl="3"/>
    <w:lvlOverride w:ilvl="4"/>
    <w:lvlOverride w:ilvl="5"/>
    <w:lvlOverride w:ilvl="6"/>
    <w:lvlOverride w:ilvl="7"/>
    <w:lvlOverride w:ilvl="8"/>
  </w:num>
  <w:num w:numId="20" w16cid:durableId="2036613173">
    <w:abstractNumId w:val="29"/>
  </w:num>
  <w:num w:numId="21" w16cid:durableId="1818179721">
    <w:abstractNumId w:val="16"/>
  </w:num>
  <w:num w:numId="22" w16cid:durableId="2061711209">
    <w:abstractNumId w:val="25"/>
  </w:num>
  <w:num w:numId="23" w16cid:durableId="1449229517">
    <w:abstractNumId w:val="15"/>
  </w:num>
  <w:num w:numId="24" w16cid:durableId="707219161">
    <w:abstractNumId w:val="1"/>
  </w:num>
  <w:num w:numId="25" w16cid:durableId="843935689">
    <w:abstractNumId w:val="5"/>
  </w:num>
  <w:num w:numId="26" w16cid:durableId="935213957">
    <w:abstractNumId w:val="0"/>
  </w:num>
  <w:num w:numId="27" w16cid:durableId="166407649">
    <w:abstractNumId w:val="6"/>
  </w:num>
  <w:num w:numId="28" w16cid:durableId="1240990797">
    <w:abstractNumId w:val="26"/>
  </w:num>
  <w:num w:numId="29" w16cid:durableId="1952979153">
    <w:abstractNumId w:val="27"/>
  </w:num>
  <w:num w:numId="30" w16cid:durableId="512961816">
    <w:abstractNumId w:val="11"/>
  </w:num>
  <w:num w:numId="31" w16cid:durableId="2035380178">
    <w:abstractNumId w:val="10"/>
  </w:num>
  <w:num w:numId="32" w16cid:durableId="1660888817">
    <w:abstractNumId w:val="13"/>
  </w:num>
  <w:num w:numId="33" w16cid:durableId="178981599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ocumentProtection w:edit="readOnly" w:enforcement="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D8D"/>
    <w:rsid w:val="00007FD7"/>
    <w:rsid w:val="0001304D"/>
    <w:rsid w:val="000133FC"/>
    <w:rsid w:val="00013D8D"/>
    <w:rsid w:val="000226BE"/>
    <w:rsid w:val="00022DE5"/>
    <w:rsid w:val="000230D3"/>
    <w:rsid w:val="00026125"/>
    <w:rsid w:val="000268DC"/>
    <w:rsid w:val="000311BF"/>
    <w:rsid w:val="000312F6"/>
    <w:rsid w:val="00031A54"/>
    <w:rsid w:val="00032EF2"/>
    <w:rsid w:val="00033412"/>
    <w:rsid w:val="00033FFC"/>
    <w:rsid w:val="00035FD8"/>
    <w:rsid w:val="00036426"/>
    <w:rsid w:val="0003777B"/>
    <w:rsid w:val="00044262"/>
    <w:rsid w:val="000449D2"/>
    <w:rsid w:val="000569E5"/>
    <w:rsid w:val="00057032"/>
    <w:rsid w:val="00062612"/>
    <w:rsid w:val="00062C29"/>
    <w:rsid w:val="0006487B"/>
    <w:rsid w:val="00073FB2"/>
    <w:rsid w:val="0007772A"/>
    <w:rsid w:val="00077ED2"/>
    <w:rsid w:val="00081AA0"/>
    <w:rsid w:val="0008385A"/>
    <w:rsid w:val="000847CF"/>
    <w:rsid w:val="00085BCC"/>
    <w:rsid w:val="00090BB5"/>
    <w:rsid w:val="00092555"/>
    <w:rsid w:val="000930CF"/>
    <w:rsid w:val="00093E79"/>
    <w:rsid w:val="000947DE"/>
    <w:rsid w:val="000A019B"/>
    <w:rsid w:val="000A0879"/>
    <w:rsid w:val="000A0F7D"/>
    <w:rsid w:val="000A5F2C"/>
    <w:rsid w:val="000A7AB9"/>
    <w:rsid w:val="000B69B1"/>
    <w:rsid w:val="000B74F8"/>
    <w:rsid w:val="000C15FD"/>
    <w:rsid w:val="000C16B1"/>
    <w:rsid w:val="000C2119"/>
    <w:rsid w:val="000D020C"/>
    <w:rsid w:val="000D1773"/>
    <w:rsid w:val="000D3474"/>
    <w:rsid w:val="000D3DC9"/>
    <w:rsid w:val="000D520A"/>
    <w:rsid w:val="000D5844"/>
    <w:rsid w:val="000E1D54"/>
    <w:rsid w:val="000E252E"/>
    <w:rsid w:val="000F7016"/>
    <w:rsid w:val="001014B4"/>
    <w:rsid w:val="00101D13"/>
    <w:rsid w:val="001048DB"/>
    <w:rsid w:val="00105EE9"/>
    <w:rsid w:val="00115362"/>
    <w:rsid w:val="00115B5D"/>
    <w:rsid w:val="00115B5F"/>
    <w:rsid w:val="00116370"/>
    <w:rsid w:val="001165BE"/>
    <w:rsid w:val="00117731"/>
    <w:rsid w:val="00123795"/>
    <w:rsid w:val="00123EEC"/>
    <w:rsid w:val="00130896"/>
    <w:rsid w:val="00132E50"/>
    <w:rsid w:val="001340CE"/>
    <w:rsid w:val="00135E58"/>
    <w:rsid w:val="00137564"/>
    <w:rsid w:val="00137C96"/>
    <w:rsid w:val="001418EE"/>
    <w:rsid w:val="00142878"/>
    <w:rsid w:val="00143FB2"/>
    <w:rsid w:val="001441B4"/>
    <w:rsid w:val="00146B2B"/>
    <w:rsid w:val="0015007F"/>
    <w:rsid w:val="00151181"/>
    <w:rsid w:val="00151F9C"/>
    <w:rsid w:val="001545F0"/>
    <w:rsid w:val="00156372"/>
    <w:rsid w:val="001605B5"/>
    <w:rsid w:val="00160732"/>
    <w:rsid w:val="0016683D"/>
    <w:rsid w:val="00166BB5"/>
    <w:rsid w:val="00166C46"/>
    <w:rsid w:val="001753C4"/>
    <w:rsid w:val="001778AD"/>
    <w:rsid w:val="00177C2F"/>
    <w:rsid w:val="00180BDC"/>
    <w:rsid w:val="00182CCC"/>
    <w:rsid w:val="00183477"/>
    <w:rsid w:val="00183AE9"/>
    <w:rsid w:val="001846EE"/>
    <w:rsid w:val="00190D43"/>
    <w:rsid w:val="00194586"/>
    <w:rsid w:val="00194616"/>
    <w:rsid w:val="00194D35"/>
    <w:rsid w:val="001A253A"/>
    <w:rsid w:val="001A3B4E"/>
    <w:rsid w:val="001A665A"/>
    <w:rsid w:val="001B0B0F"/>
    <w:rsid w:val="001B706F"/>
    <w:rsid w:val="001C028E"/>
    <w:rsid w:val="001C671F"/>
    <w:rsid w:val="001C71C4"/>
    <w:rsid w:val="001D0C14"/>
    <w:rsid w:val="001D1FCB"/>
    <w:rsid w:val="001D44AE"/>
    <w:rsid w:val="001D51DD"/>
    <w:rsid w:val="001D630D"/>
    <w:rsid w:val="001D7F83"/>
    <w:rsid w:val="001E1DCA"/>
    <w:rsid w:val="001E26A1"/>
    <w:rsid w:val="001E50E6"/>
    <w:rsid w:val="001E55F7"/>
    <w:rsid w:val="001E5CD1"/>
    <w:rsid w:val="001F1B70"/>
    <w:rsid w:val="001F51DA"/>
    <w:rsid w:val="001F5F42"/>
    <w:rsid w:val="00204204"/>
    <w:rsid w:val="00206BFC"/>
    <w:rsid w:val="00207CAA"/>
    <w:rsid w:val="002205EF"/>
    <w:rsid w:val="002272A3"/>
    <w:rsid w:val="00230E68"/>
    <w:rsid w:val="00231385"/>
    <w:rsid w:val="0023168E"/>
    <w:rsid w:val="00232084"/>
    <w:rsid w:val="00235B30"/>
    <w:rsid w:val="002379E2"/>
    <w:rsid w:val="00241EE7"/>
    <w:rsid w:val="002431E6"/>
    <w:rsid w:val="00243640"/>
    <w:rsid w:val="00244976"/>
    <w:rsid w:val="002449E9"/>
    <w:rsid w:val="00247B88"/>
    <w:rsid w:val="00250752"/>
    <w:rsid w:val="00255210"/>
    <w:rsid w:val="002569C8"/>
    <w:rsid w:val="00261443"/>
    <w:rsid w:val="00265343"/>
    <w:rsid w:val="002668A5"/>
    <w:rsid w:val="00274C5E"/>
    <w:rsid w:val="00280148"/>
    <w:rsid w:val="00280B44"/>
    <w:rsid w:val="002845F3"/>
    <w:rsid w:val="00285403"/>
    <w:rsid w:val="00291A9E"/>
    <w:rsid w:val="00291B6E"/>
    <w:rsid w:val="00291D47"/>
    <w:rsid w:val="00292112"/>
    <w:rsid w:val="002951BC"/>
    <w:rsid w:val="002A0A55"/>
    <w:rsid w:val="002A344E"/>
    <w:rsid w:val="002B0342"/>
    <w:rsid w:val="002B2CD2"/>
    <w:rsid w:val="002B7303"/>
    <w:rsid w:val="002C02D6"/>
    <w:rsid w:val="002C1958"/>
    <w:rsid w:val="002C2008"/>
    <w:rsid w:val="002C2783"/>
    <w:rsid w:val="002C4943"/>
    <w:rsid w:val="002C61AF"/>
    <w:rsid w:val="002C730B"/>
    <w:rsid w:val="002D096B"/>
    <w:rsid w:val="002D1A6C"/>
    <w:rsid w:val="002D3246"/>
    <w:rsid w:val="002D5A7F"/>
    <w:rsid w:val="002E013A"/>
    <w:rsid w:val="002E2634"/>
    <w:rsid w:val="002E292F"/>
    <w:rsid w:val="002E4595"/>
    <w:rsid w:val="002E64A1"/>
    <w:rsid w:val="002E6E25"/>
    <w:rsid w:val="002F13CD"/>
    <w:rsid w:val="002F1BE2"/>
    <w:rsid w:val="002F3B96"/>
    <w:rsid w:val="00301BB3"/>
    <w:rsid w:val="003026AF"/>
    <w:rsid w:val="003041DD"/>
    <w:rsid w:val="00305BA1"/>
    <w:rsid w:val="00317B09"/>
    <w:rsid w:val="0032396C"/>
    <w:rsid w:val="00331768"/>
    <w:rsid w:val="00334386"/>
    <w:rsid w:val="0033693A"/>
    <w:rsid w:val="003444D8"/>
    <w:rsid w:val="00346377"/>
    <w:rsid w:val="00352FB5"/>
    <w:rsid w:val="00354AE5"/>
    <w:rsid w:val="00357F12"/>
    <w:rsid w:val="00360167"/>
    <w:rsid w:val="0036346E"/>
    <w:rsid w:val="00367028"/>
    <w:rsid w:val="003727C2"/>
    <w:rsid w:val="00375417"/>
    <w:rsid w:val="0038126A"/>
    <w:rsid w:val="0038169C"/>
    <w:rsid w:val="00386805"/>
    <w:rsid w:val="003955DB"/>
    <w:rsid w:val="00396496"/>
    <w:rsid w:val="003A012D"/>
    <w:rsid w:val="003A0899"/>
    <w:rsid w:val="003A7137"/>
    <w:rsid w:val="003B1E37"/>
    <w:rsid w:val="003B258A"/>
    <w:rsid w:val="003B2644"/>
    <w:rsid w:val="003B7135"/>
    <w:rsid w:val="003D12DB"/>
    <w:rsid w:val="003D150F"/>
    <w:rsid w:val="003D5D0B"/>
    <w:rsid w:val="003E4968"/>
    <w:rsid w:val="003E4EA6"/>
    <w:rsid w:val="003E7280"/>
    <w:rsid w:val="003F45A5"/>
    <w:rsid w:val="003F4822"/>
    <w:rsid w:val="003F72B4"/>
    <w:rsid w:val="004029E5"/>
    <w:rsid w:val="00406ADB"/>
    <w:rsid w:val="00407C99"/>
    <w:rsid w:val="00413E02"/>
    <w:rsid w:val="004153AB"/>
    <w:rsid w:val="00420CCA"/>
    <w:rsid w:val="00427F41"/>
    <w:rsid w:val="00430F22"/>
    <w:rsid w:val="00431D9E"/>
    <w:rsid w:val="00431F63"/>
    <w:rsid w:val="00432637"/>
    <w:rsid w:val="0043392D"/>
    <w:rsid w:val="004339C3"/>
    <w:rsid w:val="0043520B"/>
    <w:rsid w:val="00440150"/>
    <w:rsid w:val="00443A8A"/>
    <w:rsid w:val="004467E5"/>
    <w:rsid w:val="0044696C"/>
    <w:rsid w:val="00447B4B"/>
    <w:rsid w:val="004503D5"/>
    <w:rsid w:val="004515FA"/>
    <w:rsid w:val="00451884"/>
    <w:rsid w:val="004547B8"/>
    <w:rsid w:val="00456C81"/>
    <w:rsid w:val="00463218"/>
    <w:rsid w:val="00465961"/>
    <w:rsid w:val="00466311"/>
    <w:rsid w:val="004671BA"/>
    <w:rsid w:val="00471FFB"/>
    <w:rsid w:val="0047560E"/>
    <w:rsid w:val="00476F5F"/>
    <w:rsid w:val="00482201"/>
    <w:rsid w:val="004840DE"/>
    <w:rsid w:val="004854F2"/>
    <w:rsid w:val="004934F2"/>
    <w:rsid w:val="0049746F"/>
    <w:rsid w:val="004A035F"/>
    <w:rsid w:val="004A0391"/>
    <w:rsid w:val="004A5D2C"/>
    <w:rsid w:val="004A6DE5"/>
    <w:rsid w:val="004A77F0"/>
    <w:rsid w:val="004B5597"/>
    <w:rsid w:val="004B60E9"/>
    <w:rsid w:val="004C0769"/>
    <w:rsid w:val="004C1A87"/>
    <w:rsid w:val="004C4EBD"/>
    <w:rsid w:val="004E16D7"/>
    <w:rsid w:val="004E2243"/>
    <w:rsid w:val="004E26A1"/>
    <w:rsid w:val="004F2298"/>
    <w:rsid w:val="004F576A"/>
    <w:rsid w:val="004F7719"/>
    <w:rsid w:val="00501FDA"/>
    <w:rsid w:val="0050271B"/>
    <w:rsid w:val="005140C4"/>
    <w:rsid w:val="005153B3"/>
    <w:rsid w:val="00515453"/>
    <w:rsid w:val="00522F0B"/>
    <w:rsid w:val="00525F4C"/>
    <w:rsid w:val="005372E1"/>
    <w:rsid w:val="005440BC"/>
    <w:rsid w:val="00544143"/>
    <w:rsid w:val="00546DEC"/>
    <w:rsid w:val="005535EB"/>
    <w:rsid w:val="00554237"/>
    <w:rsid w:val="00565571"/>
    <w:rsid w:val="005663BF"/>
    <w:rsid w:val="005673F8"/>
    <w:rsid w:val="00567796"/>
    <w:rsid w:val="00573403"/>
    <w:rsid w:val="00575249"/>
    <w:rsid w:val="00575448"/>
    <w:rsid w:val="00575533"/>
    <w:rsid w:val="005809D9"/>
    <w:rsid w:val="00582129"/>
    <w:rsid w:val="00587810"/>
    <w:rsid w:val="00587C2F"/>
    <w:rsid w:val="00591634"/>
    <w:rsid w:val="00591770"/>
    <w:rsid w:val="0059210C"/>
    <w:rsid w:val="0059345B"/>
    <w:rsid w:val="00595E50"/>
    <w:rsid w:val="005A221E"/>
    <w:rsid w:val="005A3F5E"/>
    <w:rsid w:val="005A44E2"/>
    <w:rsid w:val="005A5A02"/>
    <w:rsid w:val="005B17A8"/>
    <w:rsid w:val="005B26B2"/>
    <w:rsid w:val="005B3996"/>
    <w:rsid w:val="005B4607"/>
    <w:rsid w:val="005B69F6"/>
    <w:rsid w:val="005B6A94"/>
    <w:rsid w:val="005B7BFF"/>
    <w:rsid w:val="005C059F"/>
    <w:rsid w:val="005C1700"/>
    <w:rsid w:val="005C27A4"/>
    <w:rsid w:val="005D04CA"/>
    <w:rsid w:val="005D3D6A"/>
    <w:rsid w:val="005D6DDD"/>
    <w:rsid w:val="005D7664"/>
    <w:rsid w:val="005E01BD"/>
    <w:rsid w:val="005E04C6"/>
    <w:rsid w:val="005E18FB"/>
    <w:rsid w:val="005E251D"/>
    <w:rsid w:val="005E2AA2"/>
    <w:rsid w:val="005E6AF3"/>
    <w:rsid w:val="005E6E93"/>
    <w:rsid w:val="005F09FD"/>
    <w:rsid w:val="005F3392"/>
    <w:rsid w:val="005F3584"/>
    <w:rsid w:val="005F3C72"/>
    <w:rsid w:val="0060630D"/>
    <w:rsid w:val="00611BD6"/>
    <w:rsid w:val="006134B6"/>
    <w:rsid w:val="00613DEE"/>
    <w:rsid w:val="0061525B"/>
    <w:rsid w:val="00615E01"/>
    <w:rsid w:val="00617BED"/>
    <w:rsid w:val="0062068D"/>
    <w:rsid w:val="0062346F"/>
    <w:rsid w:val="00644E0B"/>
    <w:rsid w:val="006457AD"/>
    <w:rsid w:val="00652249"/>
    <w:rsid w:val="006568EE"/>
    <w:rsid w:val="00656B28"/>
    <w:rsid w:val="00657F73"/>
    <w:rsid w:val="0066115E"/>
    <w:rsid w:val="00661CAD"/>
    <w:rsid w:val="0066278A"/>
    <w:rsid w:val="006663C1"/>
    <w:rsid w:val="00666EE4"/>
    <w:rsid w:val="0066754D"/>
    <w:rsid w:val="00670750"/>
    <w:rsid w:val="0067160F"/>
    <w:rsid w:val="00672123"/>
    <w:rsid w:val="00674680"/>
    <w:rsid w:val="00674A87"/>
    <w:rsid w:val="0067796F"/>
    <w:rsid w:val="0068352F"/>
    <w:rsid w:val="00691ECB"/>
    <w:rsid w:val="0069406D"/>
    <w:rsid w:val="00695025"/>
    <w:rsid w:val="00696721"/>
    <w:rsid w:val="00696752"/>
    <w:rsid w:val="00697455"/>
    <w:rsid w:val="006A1274"/>
    <w:rsid w:val="006A5549"/>
    <w:rsid w:val="006A740A"/>
    <w:rsid w:val="006A7819"/>
    <w:rsid w:val="006B115F"/>
    <w:rsid w:val="006B633F"/>
    <w:rsid w:val="006C04E0"/>
    <w:rsid w:val="006C1FE5"/>
    <w:rsid w:val="006C31D3"/>
    <w:rsid w:val="006C3B77"/>
    <w:rsid w:val="006C59AB"/>
    <w:rsid w:val="006C7DB7"/>
    <w:rsid w:val="006D36FF"/>
    <w:rsid w:val="006E090B"/>
    <w:rsid w:val="006E22FF"/>
    <w:rsid w:val="006E5A62"/>
    <w:rsid w:val="006F7FDC"/>
    <w:rsid w:val="007018F5"/>
    <w:rsid w:val="0070235A"/>
    <w:rsid w:val="0070363C"/>
    <w:rsid w:val="007064EB"/>
    <w:rsid w:val="00712ADB"/>
    <w:rsid w:val="0071476C"/>
    <w:rsid w:val="00715B42"/>
    <w:rsid w:val="007277CD"/>
    <w:rsid w:val="00732F72"/>
    <w:rsid w:val="00733633"/>
    <w:rsid w:val="00742186"/>
    <w:rsid w:val="0074539F"/>
    <w:rsid w:val="0074587E"/>
    <w:rsid w:val="00746572"/>
    <w:rsid w:val="00746BED"/>
    <w:rsid w:val="0075043B"/>
    <w:rsid w:val="00752AF4"/>
    <w:rsid w:val="00755450"/>
    <w:rsid w:val="00757D6F"/>
    <w:rsid w:val="00760E1D"/>
    <w:rsid w:val="007719C1"/>
    <w:rsid w:val="0077426B"/>
    <w:rsid w:val="00776A8C"/>
    <w:rsid w:val="00776CA7"/>
    <w:rsid w:val="00780E83"/>
    <w:rsid w:val="00780FCE"/>
    <w:rsid w:val="007831E9"/>
    <w:rsid w:val="00785A2C"/>
    <w:rsid w:val="007872BA"/>
    <w:rsid w:val="0079041C"/>
    <w:rsid w:val="00792C1A"/>
    <w:rsid w:val="007A0688"/>
    <w:rsid w:val="007A0B37"/>
    <w:rsid w:val="007A13CC"/>
    <w:rsid w:val="007A29F8"/>
    <w:rsid w:val="007A3921"/>
    <w:rsid w:val="007A3AD0"/>
    <w:rsid w:val="007A497D"/>
    <w:rsid w:val="007A5976"/>
    <w:rsid w:val="007B3522"/>
    <w:rsid w:val="007B48E8"/>
    <w:rsid w:val="007B7BD9"/>
    <w:rsid w:val="007B7E95"/>
    <w:rsid w:val="007C00D9"/>
    <w:rsid w:val="007C055B"/>
    <w:rsid w:val="007C1B9A"/>
    <w:rsid w:val="007C2294"/>
    <w:rsid w:val="007C2D8D"/>
    <w:rsid w:val="007D239A"/>
    <w:rsid w:val="007E0090"/>
    <w:rsid w:val="007E25B9"/>
    <w:rsid w:val="007E3C6B"/>
    <w:rsid w:val="007E4FD1"/>
    <w:rsid w:val="007E5577"/>
    <w:rsid w:val="007F129E"/>
    <w:rsid w:val="007F166E"/>
    <w:rsid w:val="007F199B"/>
    <w:rsid w:val="007F1A2F"/>
    <w:rsid w:val="007F2588"/>
    <w:rsid w:val="007F319D"/>
    <w:rsid w:val="0080127A"/>
    <w:rsid w:val="00801B52"/>
    <w:rsid w:val="00802E22"/>
    <w:rsid w:val="008034C1"/>
    <w:rsid w:val="00804FF1"/>
    <w:rsid w:val="00805AB1"/>
    <w:rsid w:val="0081205A"/>
    <w:rsid w:val="00813747"/>
    <w:rsid w:val="0081638B"/>
    <w:rsid w:val="008163DE"/>
    <w:rsid w:val="0081650C"/>
    <w:rsid w:val="0082226B"/>
    <w:rsid w:val="00824F28"/>
    <w:rsid w:val="00827B60"/>
    <w:rsid w:val="008311AB"/>
    <w:rsid w:val="0083275C"/>
    <w:rsid w:val="00836EEA"/>
    <w:rsid w:val="00837062"/>
    <w:rsid w:val="0083738A"/>
    <w:rsid w:val="0084707B"/>
    <w:rsid w:val="00851091"/>
    <w:rsid w:val="00852175"/>
    <w:rsid w:val="00853FF5"/>
    <w:rsid w:val="00854E4E"/>
    <w:rsid w:val="0085558E"/>
    <w:rsid w:val="0085765F"/>
    <w:rsid w:val="00861947"/>
    <w:rsid w:val="00873803"/>
    <w:rsid w:val="0087515D"/>
    <w:rsid w:val="00881F35"/>
    <w:rsid w:val="00887067"/>
    <w:rsid w:val="00890342"/>
    <w:rsid w:val="00893955"/>
    <w:rsid w:val="0089501B"/>
    <w:rsid w:val="008A00DF"/>
    <w:rsid w:val="008A4E7A"/>
    <w:rsid w:val="008A6FD9"/>
    <w:rsid w:val="008B2062"/>
    <w:rsid w:val="008B3996"/>
    <w:rsid w:val="008B463D"/>
    <w:rsid w:val="008B579D"/>
    <w:rsid w:val="008B7068"/>
    <w:rsid w:val="008C02D5"/>
    <w:rsid w:val="008C0F92"/>
    <w:rsid w:val="008C4FCA"/>
    <w:rsid w:val="008C5569"/>
    <w:rsid w:val="008C5BCA"/>
    <w:rsid w:val="008C7254"/>
    <w:rsid w:val="008D2D3A"/>
    <w:rsid w:val="008D61AA"/>
    <w:rsid w:val="008D6F20"/>
    <w:rsid w:val="008E0EDC"/>
    <w:rsid w:val="008E352D"/>
    <w:rsid w:val="008E5135"/>
    <w:rsid w:val="008E643C"/>
    <w:rsid w:val="008F0E7C"/>
    <w:rsid w:val="008F3174"/>
    <w:rsid w:val="008F323B"/>
    <w:rsid w:val="008F3BCE"/>
    <w:rsid w:val="008F7E78"/>
    <w:rsid w:val="00900DAE"/>
    <w:rsid w:val="009019BD"/>
    <w:rsid w:val="009157F3"/>
    <w:rsid w:val="009224E8"/>
    <w:rsid w:val="0092258E"/>
    <w:rsid w:val="00924549"/>
    <w:rsid w:val="00924688"/>
    <w:rsid w:val="00924DA2"/>
    <w:rsid w:val="00926504"/>
    <w:rsid w:val="00926C39"/>
    <w:rsid w:val="00930E1E"/>
    <w:rsid w:val="00930F57"/>
    <w:rsid w:val="009366C8"/>
    <w:rsid w:val="0094109D"/>
    <w:rsid w:val="009437E5"/>
    <w:rsid w:val="00943C87"/>
    <w:rsid w:val="00944CCF"/>
    <w:rsid w:val="00950727"/>
    <w:rsid w:val="00950D8E"/>
    <w:rsid w:val="009515AF"/>
    <w:rsid w:val="00951D87"/>
    <w:rsid w:val="0095615E"/>
    <w:rsid w:val="00965685"/>
    <w:rsid w:val="00966C00"/>
    <w:rsid w:val="00975D8D"/>
    <w:rsid w:val="00980269"/>
    <w:rsid w:val="00980A6A"/>
    <w:rsid w:val="00981A44"/>
    <w:rsid w:val="00983353"/>
    <w:rsid w:val="0098642E"/>
    <w:rsid w:val="00987AE4"/>
    <w:rsid w:val="00990A98"/>
    <w:rsid w:val="00991F74"/>
    <w:rsid w:val="009928DD"/>
    <w:rsid w:val="00992D67"/>
    <w:rsid w:val="00993731"/>
    <w:rsid w:val="00997CEB"/>
    <w:rsid w:val="009B151E"/>
    <w:rsid w:val="009B2248"/>
    <w:rsid w:val="009B3773"/>
    <w:rsid w:val="009B4831"/>
    <w:rsid w:val="009C1055"/>
    <w:rsid w:val="009C6486"/>
    <w:rsid w:val="009D24EC"/>
    <w:rsid w:val="009D2CC6"/>
    <w:rsid w:val="009D42C8"/>
    <w:rsid w:val="009D48F0"/>
    <w:rsid w:val="009D4E84"/>
    <w:rsid w:val="009D5BD1"/>
    <w:rsid w:val="009D72BB"/>
    <w:rsid w:val="009E1B25"/>
    <w:rsid w:val="009E3B4E"/>
    <w:rsid w:val="009E432A"/>
    <w:rsid w:val="009E473D"/>
    <w:rsid w:val="009E5E3D"/>
    <w:rsid w:val="009F4B17"/>
    <w:rsid w:val="00A0181C"/>
    <w:rsid w:val="00A01FE4"/>
    <w:rsid w:val="00A04C2F"/>
    <w:rsid w:val="00A05BBF"/>
    <w:rsid w:val="00A06C63"/>
    <w:rsid w:val="00A1158A"/>
    <w:rsid w:val="00A121B3"/>
    <w:rsid w:val="00A143EF"/>
    <w:rsid w:val="00A218B9"/>
    <w:rsid w:val="00A2694C"/>
    <w:rsid w:val="00A3034D"/>
    <w:rsid w:val="00A31304"/>
    <w:rsid w:val="00A35361"/>
    <w:rsid w:val="00A36A6D"/>
    <w:rsid w:val="00A370F0"/>
    <w:rsid w:val="00A4196A"/>
    <w:rsid w:val="00A43620"/>
    <w:rsid w:val="00A4549F"/>
    <w:rsid w:val="00A4775F"/>
    <w:rsid w:val="00A50C5C"/>
    <w:rsid w:val="00A5719A"/>
    <w:rsid w:val="00A62CBF"/>
    <w:rsid w:val="00A64F3C"/>
    <w:rsid w:val="00A713E9"/>
    <w:rsid w:val="00A7180E"/>
    <w:rsid w:val="00A71A54"/>
    <w:rsid w:val="00A73155"/>
    <w:rsid w:val="00A736CB"/>
    <w:rsid w:val="00A755F4"/>
    <w:rsid w:val="00A776E8"/>
    <w:rsid w:val="00A83E22"/>
    <w:rsid w:val="00A8734B"/>
    <w:rsid w:val="00A912D7"/>
    <w:rsid w:val="00A912DC"/>
    <w:rsid w:val="00A9250D"/>
    <w:rsid w:val="00A9410F"/>
    <w:rsid w:val="00AA0C2F"/>
    <w:rsid w:val="00AA20A6"/>
    <w:rsid w:val="00AA2321"/>
    <w:rsid w:val="00AA25D6"/>
    <w:rsid w:val="00AB343D"/>
    <w:rsid w:val="00AB3669"/>
    <w:rsid w:val="00AB46A0"/>
    <w:rsid w:val="00AC3A77"/>
    <w:rsid w:val="00AC7D7B"/>
    <w:rsid w:val="00AD0244"/>
    <w:rsid w:val="00AD139C"/>
    <w:rsid w:val="00AD321C"/>
    <w:rsid w:val="00AD369C"/>
    <w:rsid w:val="00AD6EF4"/>
    <w:rsid w:val="00AD7011"/>
    <w:rsid w:val="00AE3084"/>
    <w:rsid w:val="00AE67C7"/>
    <w:rsid w:val="00AF13E7"/>
    <w:rsid w:val="00AF142F"/>
    <w:rsid w:val="00AF1FA8"/>
    <w:rsid w:val="00AF2CDE"/>
    <w:rsid w:val="00AF2DB5"/>
    <w:rsid w:val="00AF2FA8"/>
    <w:rsid w:val="00AF470F"/>
    <w:rsid w:val="00AF6E9B"/>
    <w:rsid w:val="00AF73B7"/>
    <w:rsid w:val="00B03D6A"/>
    <w:rsid w:val="00B10578"/>
    <w:rsid w:val="00B1058A"/>
    <w:rsid w:val="00B12523"/>
    <w:rsid w:val="00B267CF"/>
    <w:rsid w:val="00B31F11"/>
    <w:rsid w:val="00B32332"/>
    <w:rsid w:val="00B34B14"/>
    <w:rsid w:val="00B3592C"/>
    <w:rsid w:val="00B35F16"/>
    <w:rsid w:val="00B369D7"/>
    <w:rsid w:val="00B371CF"/>
    <w:rsid w:val="00B44492"/>
    <w:rsid w:val="00B46AC2"/>
    <w:rsid w:val="00B57F95"/>
    <w:rsid w:val="00B67BC5"/>
    <w:rsid w:val="00B71EF1"/>
    <w:rsid w:val="00B72342"/>
    <w:rsid w:val="00B7514E"/>
    <w:rsid w:val="00B810CF"/>
    <w:rsid w:val="00B815B0"/>
    <w:rsid w:val="00B90595"/>
    <w:rsid w:val="00B93B0F"/>
    <w:rsid w:val="00B975A0"/>
    <w:rsid w:val="00BA169C"/>
    <w:rsid w:val="00BA2AF4"/>
    <w:rsid w:val="00BA333A"/>
    <w:rsid w:val="00BA426C"/>
    <w:rsid w:val="00BA56F0"/>
    <w:rsid w:val="00BA6C50"/>
    <w:rsid w:val="00BA7814"/>
    <w:rsid w:val="00BB19BC"/>
    <w:rsid w:val="00BB322A"/>
    <w:rsid w:val="00BB5507"/>
    <w:rsid w:val="00BB7807"/>
    <w:rsid w:val="00BC19C9"/>
    <w:rsid w:val="00BC5525"/>
    <w:rsid w:val="00BD04EC"/>
    <w:rsid w:val="00BD07BD"/>
    <w:rsid w:val="00BD4E07"/>
    <w:rsid w:val="00BD5CD9"/>
    <w:rsid w:val="00BE1298"/>
    <w:rsid w:val="00BF02CD"/>
    <w:rsid w:val="00BF095E"/>
    <w:rsid w:val="00BF2DB6"/>
    <w:rsid w:val="00BF410D"/>
    <w:rsid w:val="00BF41CC"/>
    <w:rsid w:val="00BF4515"/>
    <w:rsid w:val="00BF576A"/>
    <w:rsid w:val="00BF6368"/>
    <w:rsid w:val="00C002BA"/>
    <w:rsid w:val="00C07F32"/>
    <w:rsid w:val="00C11E45"/>
    <w:rsid w:val="00C12A07"/>
    <w:rsid w:val="00C155E3"/>
    <w:rsid w:val="00C17AEC"/>
    <w:rsid w:val="00C224F1"/>
    <w:rsid w:val="00C22E31"/>
    <w:rsid w:val="00C233D8"/>
    <w:rsid w:val="00C25E6A"/>
    <w:rsid w:val="00C31AC0"/>
    <w:rsid w:val="00C31EAE"/>
    <w:rsid w:val="00C33793"/>
    <w:rsid w:val="00C369BE"/>
    <w:rsid w:val="00C370EE"/>
    <w:rsid w:val="00C37A95"/>
    <w:rsid w:val="00C37EB3"/>
    <w:rsid w:val="00C40B96"/>
    <w:rsid w:val="00C4329B"/>
    <w:rsid w:val="00C47195"/>
    <w:rsid w:val="00C52CA6"/>
    <w:rsid w:val="00C54120"/>
    <w:rsid w:val="00C60B37"/>
    <w:rsid w:val="00C61B52"/>
    <w:rsid w:val="00C62695"/>
    <w:rsid w:val="00C63463"/>
    <w:rsid w:val="00C707A8"/>
    <w:rsid w:val="00C7347A"/>
    <w:rsid w:val="00C747E3"/>
    <w:rsid w:val="00C7627C"/>
    <w:rsid w:val="00C8104E"/>
    <w:rsid w:val="00C853EC"/>
    <w:rsid w:val="00C856A7"/>
    <w:rsid w:val="00C86B70"/>
    <w:rsid w:val="00C87B17"/>
    <w:rsid w:val="00C91017"/>
    <w:rsid w:val="00C91848"/>
    <w:rsid w:val="00C92987"/>
    <w:rsid w:val="00C93DDB"/>
    <w:rsid w:val="00C97012"/>
    <w:rsid w:val="00CA3609"/>
    <w:rsid w:val="00CA460C"/>
    <w:rsid w:val="00CA6F87"/>
    <w:rsid w:val="00CA7E0A"/>
    <w:rsid w:val="00CB14DA"/>
    <w:rsid w:val="00CB2490"/>
    <w:rsid w:val="00CB584A"/>
    <w:rsid w:val="00CB66A2"/>
    <w:rsid w:val="00CB7373"/>
    <w:rsid w:val="00CC246E"/>
    <w:rsid w:val="00CC39F8"/>
    <w:rsid w:val="00CD0877"/>
    <w:rsid w:val="00CD14FF"/>
    <w:rsid w:val="00CD2E61"/>
    <w:rsid w:val="00CD429F"/>
    <w:rsid w:val="00CD4580"/>
    <w:rsid w:val="00CD7EA0"/>
    <w:rsid w:val="00CE1A93"/>
    <w:rsid w:val="00CE3402"/>
    <w:rsid w:val="00CE5106"/>
    <w:rsid w:val="00CE748C"/>
    <w:rsid w:val="00CE7820"/>
    <w:rsid w:val="00CF6F1F"/>
    <w:rsid w:val="00D03999"/>
    <w:rsid w:val="00D04E4E"/>
    <w:rsid w:val="00D0537D"/>
    <w:rsid w:val="00D13D91"/>
    <w:rsid w:val="00D16C75"/>
    <w:rsid w:val="00D22C39"/>
    <w:rsid w:val="00D22FBB"/>
    <w:rsid w:val="00D23E63"/>
    <w:rsid w:val="00D25D75"/>
    <w:rsid w:val="00D3335F"/>
    <w:rsid w:val="00D42230"/>
    <w:rsid w:val="00D43A27"/>
    <w:rsid w:val="00D52939"/>
    <w:rsid w:val="00D52A4C"/>
    <w:rsid w:val="00D52BFE"/>
    <w:rsid w:val="00D5378C"/>
    <w:rsid w:val="00D5395C"/>
    <w:rsid w:val="00D53BAF"/>
    <w:rsid w:val="00D556D0"/>
    <w:rsid w:val="00D606FA"/>
    <w:rsid w:val="00D6216D"/>
    <w:rsid w:val="00D62B96"/>
    <w:rsid w:val="00D6346E"/>
    <w:rsid w:val="00D637C0"/>
    <w:rsid w:val="00D65E56"/>
    <w:rsid w:val="00D70323"/>
    <w:rsid w:val="00D72277"/>
    <w:rsid w:val="00D8138C"/>
    <w:rsid w:val="00D8234B"/>
    <w:rsid w:val="00D8417E"/>
    <w:rsid w:val="00D8563C"/>
    <w:rsid w:val="00D862D9"/>
    <w:rsid w:val="00D93412"/>
    <w:rsid w:val="00D935B2"/>
    <w:rsid w:val="00D94EC2"/>
    <w:rsid w:val="00DA1C2D"/>
    <w:rsid w:val="00DA6047"/>
    <w:rsid w:val="00DA7110"/>
    <w:rsid w:val="00DB2294"/>
    <w:rsid w:val="00DB344E"/>
    <w:rsid w:val="00DB4F04"/>
    <w:rsid w:val="00DB51D5"/>
    <w:rsid w:val="00DB652A"/>
    <w:rsid w:val="00DC535F"/>
    <w:rsid w:val="00DD01F5"/>
    <w:rsid w:val="00DD2047"/>
    <w:rsid w:val="00DD568F"/>
    <w:rsid w:val="00DD7DF1"/>
    <w:rsid w:val="00DE22E8"/>
    <w:rsid w:val="00DE390E"/>
    <w:rsid w:val="00DE6EDA"/>
    <w:rsid w:val="00DF1E4C"/>
    <w:rsid w:val="00DF589E"/>
    <w:rsid w:val="00DF5D35"/>
    <w:rsid w:val="00DF75ED"/>
    <w:rsid w:val="00E051BB"/>
    <w:rsid w:val="00E15011"/>
    <w:rsid w:val="00E2147D"/>
    <w:rsid w:val="00E21CA8"/>
    <w:rsid w:val="00E22EBD"/>
    <w:rsid w:val="00E2508B"/>
    <w:rsid w:val="00E260CF"/>
    <w:rsid w:val="00E27872"/>
    <w:rsid w:val="00E30F38"/>
    <w:rsid w:val="00E31213"/>
    <w:rsid w:val="00E333EF"/>
    <w:rsid w:val="00E337BC"/>
    <w:rsid w:val="00E347D7"/>
    <w:rsid w:val="00E46312"/>
    <w:rsid w:val="00E57539"/>
    <w:rsid w:val="00E62455"/>
    <w:rsid w:val="00E62BDA"/>
    <w:rsid w:val="00E665D4"/>
    <w:rsid w:val="00E80A3A"/>
    <w:rsid w:val="00E8181A"/>
    <w:rsid w:val="00E833FD"/>
    <w:rsid w:val="00E87704"/>
    <w:rsid w:val="00E92374"/>
    <w:rsid w:val="00E95221"/>
    <w:rsid w:val="00EA5516"/>
    <w:rsid w:val="00EA559C"/>
    <w:rsid w:val="00EA5E01"/>
    <w:rsid w:val="00EB0497"/>
    <w:rsid w:val="00EB3912"/>
    <w:rsid w:val="00EB7B45"/>
    <w:rsid w:val="00EC00B2"/>
    <w:rsid w:val="00ED74A2"/>
    <w:rsid w:val="00EE02CF"/>
    <w:rsid w:val="00EE28C8"/>
    <w:rsid w:val="00EF05A4"/>
    <w:rsid w:val="00EF124C"/>
    <w:rsid w:val="00EF3440"/>
    <w:rsid w:val="00EF4663"/>
    <w:rsid w:val="00EF5BC9"/>
    <w:rsid w:val="00EF6864"/>
    <w:rsid w:val="00EF7E2B"/>
    <w:rsid w:val="00F02A68"/>
    <w:rsid w:val="00F076B0"/>
    <w:rsid w:val="00F11ABF"/>
    <w:rsid w:val="00F139D9"/>
    <w:rsid w:val="00F141F1"/>
    <w:rsid w:val="00F17294"/>
    <w:rsid w:val="00F203CE"/>
    <w:rsid w:val="00F2095B"/>
    <w:rsid w:val="00F215BB"/>
    <w:rsid w:val="00F22803"/>
    <w:rsid w:val="00F2363A"/>
    <w:rsid w:val="00F241F9"/>
    <w:rsid w:val="00F24CCA"/>
    <w:rsid w:val="00F26066"/>
    <w:rsid w:val="00F26B32"/>
    <w:rsid w:val="00F26D31"/>
    <w:rsid w:val="00F319BF"/>
    <w:rsid w:val="00F34BFF"/>
    <w:rsid w:val="00F3646E"/>
    <w:rsid w:val="00F37F1E"/>
    <w:rsid w:val="00F402CC"/>
    <w:rsid w:val="00F412D9"/>
    <w:rsid w:val="00F4190B"/>
    <w:rsid w:val="00F41A90"/>
    <w:rsid w:val="00F446A6"/>
    <w:rsid w:val="00F468CF"/>
    <w:rsid w:val="00F47A5D"/>
    <w:rsid w:val="00F47BD6"/>
    <w:rsid w:val="00F51A76"/>
    <w:rsid w:val="00F555E8"/>
    <w:rsid w:val="00F60990"/>
    <w:rsid w:val="00F61843"/>
    <w:rsid w:val="00F61B46"/>
    <w:rsid w:val="00F66BC7"/>
    <w:rsid w:val="00F70385"/>
    <w:rsid w:val="00F749F0"/>
    <w:rsid w:val="00F76534"/>
    <w:rsid w:val="00F766BD"/>
    <w:rsid w:val="00F77AFA"/>
    <w:rsid w:val="00F82EDF"/>
    <w:rsid w:val="00F847CA"/>
    <w:rsid w:val="00FA12CE"/>
    <w:rsid w:val="00FA772B"/>
    <w:rsid w:val="00FA7B63"/>
    <w:rsid w:val="00FB08B3"/>
    <w:rsid w:val="00FB0B14"/>
    <w:rsid w:val="00FB0D6C"/>
    <w:rsid w:val="00FB55F6"/>
    <w:rsid w:val="00FC001D"/>
    <w:rsid w:val="00FC2AD8"/>
    <w:rsid w:val="00FC3247"/>
    <w:rsid w:val="00FC37B4"/>
    <w:rsid w:val="00FC53B7"/>
    <w:rsid w:val="00FC791A"/>
    <w:rsid w:val="00FD20B0"/>
    <w:rsid w:val="00FD2519"/>
    <w:rsid w:val="00FD26DA"/>
    <w:rsid w:val="00FE16C3"/>
    <w:rsid w:val="00FE49B0"/>
    <w:rsid w:val="00FF283B"/>
    <w:rsid w:val="00FF43F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ADECF"/>
  <w15:docId w15:val="{FAFAA82C-F54B-43A8-B1F1-0D3BD64C3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Overskrift4">
    <w:name w:val="heading 4"/>
    <w:basedOn w:val="Normal"/>
    <w:next w:val="Normal"/>
    <w:link w:val="Overskrift4Tegn"/>
    <w:uiPriority w:val="9"/>
    <w:semiHidden/>
    <w:qFormat/>
    <w:rsid w:val="00CD429F"/>
    <w:pPr>
      <w:keepNext/>
      <w:keepLines/>
      <w:numPr>
        <w:ilvl w:val="3"/>
        <w:numId w:val="18"/>
      </w:numPr>
      <w:spacing w:before="200" w:after="0" w:line="240" w:lineRule="auto"/>
      <w:outlineLvl w:val="3"/>
    </w:pPr>
    <w:rPr>
      <w:rFonts w:asciiTheme="majorHAnsi" w:eastAsiaTheme="majorEastAsia" w:hAnsiTheme="majorHAnsi" w:cstheme="majorBidi"/>
      <w:b/>
      <w:bCs/>
      <w:i/>
      <w:iCs/>
      <w:color w:val="4F81BD" w:themeColor="accent1"/>
      <w:szCs w:val="24"/>
    </w:rPr>
  </w:style>
  <w:style w:type="paragraph" w:styleId="Overskrift6">
    <w:name w:val="heading 6"/>
    <w:basedOn w:val="Normal"/>
    <w:next w:val="Normal"/>
    <w:link w:val="Overskrift6Tegn"/>
    <w:uiPriority w:val="9"/>
    <w:semiHidden/>
    <w:qFormat/>
    <w:rsid w:val="00CD429F"/>
    <w:pPr>
      <w:keepNext/>
      <w:keepLines/>
      <w:numPr>
        <w:ilvl w:val="5"/>
        <w:numId w:val="18"/>
      </w:numPr>
      <w:spacing w:before="200" w:after="0" w:line="240" w:lineRule="auto"/>
      <w:outlineLvl w:val="5"/>
    </w:pPr>
    <w:rPr>
      <w:rFonts w:asciiTheme="majorHAnsi" w:eastAsiaTheme="majorEastAsia" w:hAnsiTheme="majorHAnsi" w:cstheme="majorBidi"/>
      <w:i/>
      <w:iCs/>
      <w:color w:val="243F60" w:themeColor="accent1" w:themeShade="7F"/>
      <w:szCs w:val="24"/>
    </w:rPr>
  </w:style>
  <w:style w:type="paragraph" w:styleId="Overskrift7">
    <w:name w:val="heading 7"/>
    <w:basedOn w:val="Normal"/>
    <w:next w:val="Normal"/>
    <w:link w:val="Overskrift7Tegn"/>
    <w:uiPriority w:val="9"/>
    <w:semiHidden/>
    <w:qFormat/>
    <w:rsid w:val="00CD429F"/>
    <w:pPr>
      <w:keepNext/>
      <w:keepLines/>
      <w:numPr>
        <w:ilvl w:val="6"/>
        <w:numId w:val="18"/>
      </w:numPr>
      <w:spacing w:before="200" w:after="0" w:line="240" w:lineRule="auto"/>
      <w:outlineLvl w:val="6"/>
    </w:pPr>
    <w:rPr>
      <w:rFonts w:asciiTheme="majorHAnsi" w:eastAsiaTheme="majorEastAsia" w:hAnsiTheme="majorHAnsi" w:cstheme="majorBidi"/>
      <w:i/>
      <w:iCs/>
      <w:color w:val="404040" w:themeColor="text1" w:themeTint="BF"/>
      <w:szCs w:val="24"/>
    </w:rPr>
  </w:style>
  <w:style w:type="paragraph" w:styleId="Overskrift8">
    <w:name w:val="heading 8"/>
    <w:basedOn w:val="Normal"/>
    <w:next w:val="Normal"/>
    <w:link w:val="Overskrift8Tegn"/>
    <w:uiPriority w:val="9"/>
    <w:semiHidden/>
    <w:qFormat/>
    <w:rsid w:val="00CD429F"/>
    <w:pPr>
      <w:keepNext/>
      <w:keepLines/>
      <w:numPr>
        <w:ilvl w:val="7"/>
        <w:numId w:val="18"/>
      </w:numPr>
      <w:spacing w:before="200" w:after="0" w:line="240" w:lineRule="auto"/>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qFormat/>
    <w:rsid w:val="00CD429F"/>
    <w:pPr>
      <w:keepNext/>
      <w:keepLines/>
      <w:numPr>
        <w:ilvl w:val="8"/>
        <w:numId w:val="18"/>
      </w:numPr>
      <w:spacing w:before="200" w:after="0" w:line="240" w:lineRule="auto"/>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Merknadsreferanse">
    <w:name w:val="annotation reference"/>
    <w:uiPriority w:val="99"/>
    <w:semiHidden/>
    <w:unhideWhenUsed/>
    <w:rsid w:val="00502EDA"/>
    <w:rPr>
      <w:sz w:val="16"/>
      <w:szCs w:val="16"/>
    </w:rPr>
  </w:style>
  <w:style w:type="paragraph" w:styleId="Merknadstekst">
    <w:name w:val="annotation text"/>
    <w:basedOn w:val="Normal"/>
    <w:link w:val="MerknadstekstTegn"/>
    <w:uiPriority w:val="99"/>
    <w:unhideWhenUsed/>
    <w:rsid w:val="00502EDA"/>
    <w:rPr>
      <w:sz w:val="20"/>
      <w:szCs w:val="20"/>
    </w:rPr>
  </w:style>
  <w:style w:type="character" w:customStyle="1" w:styleId="MerknadstekstTegn">
    <w:name w:val="Merknadstekst Tegn"/>
    <w:link w:val="Merknadstekst"/>
    <w:uiPriority w:val="99"/>
    <w:rsid w:val="00502EDA"/>
    <w:rPr>
      <w:lang w:eastAsia="en-US"/>
    </w:rPr>
  </w:style>
  <w:style w:type="paragraph" w:styleId="Kommentaremne">
    <w:name w:val="annotation subject"/>
    <w:basedOn w:val="Merknadstekst"/>
    <w:next w:val="Merknadstekst"/>
    <w:link w:val="KommentaremneTegn"/>
    <w:uiPriority w:val="99"/>
    <w:semiHidden/>
    <w:unhideWhenUsed/>
    <w:rsid w:val="00502EDA"/>
    <w:rPr>
      <w:b/>
      <w:bCs/>
    </w:rPr>
  </w:style>
  <w:style w:type="character" w:customStyle="1" w:styleId="KommentaremneTegn">
    <w:name w:val="Kommentaremne Tegn"/>
    <w:link w:val="Kommentaremne"/>
    <w:uiPriority w:val="99"/>
    <w:semiHidden/>
    <w:rsid w:val="00502EDA"/>
    <w:rPr>
      <w:b/>
      <w:bCs/>
      <w:lang w:eastAsia="en-US"/>
    </w:rPr>
  </w:style>
  <w:style w:type="paragraph" w:styleId="Bobletekst">
    <w:name w:val="Balloon Text"/>
    <w:basedOn w:val="Normal"/>
    <w:link w:val="BobletekstTegn"/>
    <w:uiPriority w:val="99"/>
    <w:semiHidden/>
    <w:unhideWhenUsed/>
    <w:rsid w:val="00502EDA"/>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502EDA"/>
    <w:rPr>
      <w:rFonts w:ascii="Tahoma" w:hAnsi="Tahoma" w:cs="Tahoma"/>
      <w:sz w:val="16"/>
      <w:szCs w:val="16"/>
      <w:lang w:eastAsia="en-US"/>
    </w:rPr>
  </w:style>
  <w:style w:type="paragraph" w:styleId="Listeavsnitt">
    <w:name w:val="List Paragraph"/>
    <w:basedOn w:val="Normal"/>
    <w:uiPriority w:val="34"/>
    <w:qFormat/>
    <w:rsid w:val="00276E7E"/>
    <w:pPr>
      <w:ind w:left="720"/>
      <w:contextualSpacing/>
    </w:pPr>
  </w:style>
  <w:style w:type="paragraph" w:styleId="Fotnotetekst">
    <w:name w:val="footnote text"/>
    <w:basedOn w:val="Normal"/>
    <w:link w:val="FotnotetekstTegn"/>
    <w:uiPriority w:val="99"/>
    <w:unhideWhenUsed/>
    <w:rsid w:val="00A2493C"/>
    <w:pPr>
      <w:spacing w:after="0" w:line="240" w:lineRule="auto"/>
    </w:pPr>
    <w:rPr>
      <w:sz w:val="20"/>
      <w:szCs w:val="20"/>
    </w:rPr>
  </w:style>
  <w:style w:type="character" w:customStyle="1" w:styleId="FotnotetekstTegn">
    <w:name w:val="Fotnotetekst Tegn"/>
    <w:link w:val="Fotnotetekst"/>
    <w:uiPriority w:val="99"/>
    <w:rsid w:val="00A2493C"/>
    <w:rPr>
      <w:lang w:eastAsia="en-US"/>
    </w:rPr>
  </w:style>
  <w:style w:type="character" w:styleId="Fotnotereferanse">
    <w:name w:val="footnote reference"/>
    <w:aliases w:val="Footnote Reference Number,Footnote Reference_LVL6,Footnote Reference_LVL61,Footnote Reference_LVL62,Footnote Reference_LVL63,Footnote Reference_LVL64"/>
    <w:semiHidden/>
    <w:rsid w:val="00A2493C"/>
    <w:rPr>
      <w:vertAlign w:val="superscript"/>
    </w:rPr>
  </w:style>
  <w:style w:type="paragraph" w:styleId="Topptekst">
    <w:name w:val="header"/>
    <w:basedOn w:val="Normal"/>
    <w:link w:val="TopptekstTegn"/>
    <w:uiPriority w:val="99"/>
    <w:unhideWhenUsed/>
    <w:rsid w:val="00AE5798"/>
    <w:pPr>
      <w:tabs>
        <w:tab w:val="center" w:pos="4513"/>
        <w:tab w:val="right" w:pos="9026"/>
      </w:tabs>
    </w:pPr>
  </w:style>
  <w:style w:type="character" w:customStyle="1" w:styleId="TopptekstTegn">
    <w:name w:val="Topptekst Tegn"/>
    <w:link w:val="Topptekst"/>
    <w:uiPriority w:val="99"/>
    <w:rsid w:val="00AE5798"/>
    <w:rPr>
      <w:sz w:val="22"/>
      <w:szCs w:val="22"/>
      <w:lang w:eastAsia="en-US"/>
    </w:rPr>
  </w:style>
  <w:style w:type="paragraph" w:styleId="Bunntekst">
    <w:name w:val="footer"/>
    <w:basedOn w:val="Normal"/>
    <w:link w:val="BunntekstTegn"/>
    <w:uiPriority w:val="99"/>
    <w:unhideWhenUsed/>
    <w:rsid w:val="00AE5798"/>
    <w:pPr>
      <w:tabs>
        <w:tab w:val="center" w:pos="4513"/>
        <w:tab w:val="right" w:pos="9026"/>
      </w:tabs>
    </w:pPr>
  </w:style>
  <w:style w:type="character" w:customStyle="1" w:styleId="BunntekstTegn">
    <w:name w:val="Bunntekst Tegn"/>
    <w:link w:val="Bunntekst"/>
    <w:uiPriority w:val="99"/>
    <w:rsid w:val="00AE5798"/>
    <w:rPr>
      <w:sz w:val="22"/>
      <w:szCs w:val="22"/>
      <w:lang w:eastAsia="en-US"/>
    </w:rPr>
  </w:style>
  <w:style w:type="character" w:styleId="Hyperkobling">
    <w:name w:val="Hyperlink"/>
    <w:uiPriority w:val="99"/>
    <w:unhideWhenUsed/>
    <w:rsid w:val="00AE5798"/>
    <w:rPr>
      <w:color w:val="0000FF"/>
      <w:u w:val="single"/>
    </w:rPr>
  </w:style>
  <w:style w:type="character" w:styleId="Plassholdertekst">
    <w:name w:val="Placeholder Text"/>
    <w:basedOn w:val="Standardskriftforavsnitt"/>
    <w:uiPriority w:val="99"/>
    <w:semiHidden/>
    <w:rsid w:val="00204204"/>
    <w:rPr>
      <w:color w:val="808080"/>
    </w:rPr>
  </w:style>
  <w:style w:type="paragraph" w:styleId="Revisjon">
    <w:name w:val="Revision"/>
    <w:hidden/>
    <w:uiPriority w:val="99"/>
    <w:semiHidden/>
    <w:rsid w:val="00F26D31"/>
    <w:rPr>
      <w:sz w:val="22"/>
      <w:szCs w:val="22"/>
      <w:lang w:eastAsia="en-US"/>
    </w:rPr>
  </w:style>
  <w:style w:type="paragraph" w:customStyle="1" w:styleId="CM1">
    <w:name w:val="CM1"/>
    <w:basedOn w:val="Normal"/>
    <w:next w:val="Normal"/>
    <w:uiPriority w:val="99"/>
    <w:rsid w:val="00D5395C"/>
    <w:pPr>
      <w:autoSpaceDE w:val="0"/>
      <w:autoSpaceDN w:val="0"/>
      <w:adjustRightInd w:val="0"/>
      <w:spacing w:after="0" w:line="240" w:lineRule="auto"/>
    </w:pPr>
    <w:rPr>
      <w:rFonts w:ascii="EUAlbertina" w:hAnsi="EUAlbertina"/>
      <w:sz w:val="24"/>
      <w:szCs w:val="24"/>
      <w:lang w:val="en-IE"/>
    </w:rPr>
  </w:style>
  <w:style w:type="paragraph" w:customStyle="1" w:styleId="CM4">
    <w:name w:val="CM4"/>
    <w:basedOn w:val="Normal"/>
    <w:next w:val="Normal"/>
    <w:uiPriority w:val="99"/>
    <w:rsid w:val="00D5395C"/>
    <w:pPr>
      <w:autoSpaceDE w:val="0"/>
      <w:autoSpaceDN w:val="0"/>
      <w:adjustRightInd w:val="0"/>
      <w:spacing w:after="0" w:line="240" w:lineRule="auto"/>
    </w:pPr>
    <w:rPr>
      <w:rFonts w:ascii="EUAlbertina" w:hAnsi="EUAlbertina"/>
      <w:sz w:val="24"/>
      <w:szCs w:val="24"/>
      <w:lang w:val="en-IE"/>
    </w:rPr>
  </w:style>
  <w:style w:type="character" w:customStyle="1" w:styleId="UnresolvedMention1">
    <w:name w:val="Unresolved Mention1"/>
    <w:basedOn w:val="Standardskriftforavsnitt"/>
    <w:uiPriority w:val="99"/>
    <w:semiHidden/>
    <w:unhideWhenUsed/>
    <w:rsid w:val="00F076B0"/>
    <w:rPr>
      <w:color w:val="605E5C"/>
      <w:shd w:val="clear" w:color="auto" w:fill="E1DFDD"/>
    </w:rPr>
  </w:style>
  <w:style w:type="character" w:customStyle="1" w:styleId="Overskrift4Tegn">
    <w:name w:val="Overskrift 4 Tegn"/>
    <w:basedOn w:val="Standardskriftforavsnitt"/>
    <w:link w:val="Overskrift4"/>
    <w:uiPriority w:val="9"/>
    <w:semiHidden/>
    <w:rsid w:val="00CD429F"/>
    <w:rPr>
      <w:rFonts w:asciiTheme="majorHAnsi" w:eastAsiaTheme="majorEastAsia" w:hAnsiTheme="majorHAnsi" w:cstheme="majorBidi"/>
      <w:b/>
      <w:bCs/>
      <w:i/>
      <w:iCs/>
      <w:color w:val="4F81BD" w:themeColor="accent1"/>
      <w:sz w:val="22"/>
      <w:szCs w:val="24"/>
      <w:lang w:eastAsia="en-US"/>
    </w:rPr>
  </w:style>
  <w:style w:type="character" w:customStyle="1" w:styleId="Overskrift6Tegn">
    <w:name w:val="Overskrift 6 Tegn"/>
    <w:basedOn w:val="Standardskriftforavsnitt"/>
    <w:link w:val="Overskrift6"/>
    <w:uiPriority w:val="9"/>
    <w:semiHidden/>
    <w:rsid w:val="00CD429F"/>
    <w:rPr>
      <w:rFonts w:asciiTheme="majorHAnsi" w:eastAsiaTheme="majorEastAsia" w:hAnsiTheme="majorHAnsi" w:cstheme="majorBidi"/>
      <w:i/>
      <w:iCs/>
      <w:color w:val="243F60" w:themeColor="accent1" w:themeShade="7F"/>
      <w:sz w:val="22"/>
      <w:szCs w:val="24"/>
      <w:lang w:eastAsia="en-US"/>
    </w:rPr>
  </w:style>
  <w:style w:type="character" w:customStyle="1" w:styleId="Overskrift7Tegn">
    <w:name w:val="Overskrift 7 Tegn"/>
    <w:basedOn w:val="Standardskriftforavsnitt"/>
    <w:link w:val="Overskrift7"/>
    <w:uiPriority w:val="9"/>
    <w:semiHidden/>
    <w:rsid w:val="00CD429F"/>
    <w:rPr>
      <w:rFonts w:asciiTheme="majorHAnsi" w:eastAsiaTheme="majorEastAsia" w:hAnsiTheme="majorHAnsi" w:cstheme="majorBidi"/>
      <w:i/>
      <w:iCs/>
      <w:color w:val="404040" w:themeColor="text1" w:themeTint="BF"/>
      <w:sz w:val="22"/>
      <w:szCs w:val="24"/>
      <w:lang w:eastAsia="en-US"/>
    </w:rPr>
  </w:style>
  <w:style w:type="character" w:customStyle="1" w:styleId="Overskrift8Tegn">
    <w:name w:val="Overskrift 8 Tegn"/>
    <w:basedOn w:val="Standardskriftforavsnitt"/>
    <w:link w:val="Overskrift8"/>
    <w:uiPriority w:val="9"/>
    <w:semiHidden/>
    <w:rsid w:val="00CD429F"/>
    <w:rPr>
      <w:rFonts w:asciiTheme="majorHAnsi" w:eastAsiaTheme="majorEastAsia" w:hAnsiTheme="majorHAnsi" w:cstheme="majorBidi"/>
      <w:color w:val="404040" w:themeColor="text1" w:themeTint="BF"/>
      <w:lang w:eastAsia="en-US"/>
    </w:rPr>
  </w:style>
  <w:style w:type="character" w:customStyle="1" w:styleId="Overskrift9Tegn">
    <w:name w:val="Overskrift 9 Tegn"/>
    <w:basedOn w:val="Standardskriftforavsnitt"/>
    <w:link w:val="Overskrift9"/>
    <w:uiPriority w:val="9"/>
    <w:semiHidden/>
    <w:rsid w:val="00CD429F"/>
    <w:rPr>
      <w:rFonts w:asciiTheme="majorHAnsi" w:eastAsiaTheme="majorEastAsia" w:hAnsiTheme="majorHAnsi" w:cstheme="majorBidi"/>
      <w:i/>
      <w:iCs/>
      <w:color w:val="404040" w:themeColor="text1" w:themeTint="BF"/>
      <w:lang w:eastAsia="en-US"/>
    </w:rPr>
  </w:style>
  <w:style w:type="character" w:styleId="Utheving">
    <w:name w:val="Emphasis"/>
    <w:basedOn w:val="Standardskriftforavsnitt"/>
    <w:uiPriority w:val="20"/>
    <w:qFormat/>
    <w:rsid w:val="00265343"/>
    <w:rPr>
      <w:i/>
      <w:iCs/>
    </w:rPr>
  </w:style>
  <w:style w:type="character" w:styleId="Ulstomtale">
    <w:name w:val="Unresolved Mention"/>
    <w:basedOn w:val="Standardskriftforavsnitt"/>
    <w:uiPriority w:val="99"/>
    <w:semiHidden/>
    <w:unhideWhenUsed/>
    <w:rsid w:val="00291B6E"/>
    <w:rPr>
      <w:color w:val="605E5C"/>
      <w:shd w:val="clear" w:color="auto" w:fill="E1DFDD"/>
    </w:rPr>
  </w:style>
  <w:style w:type="character" w:styleId="Omtale">
    <w:name w:val="Mention"/>
    <w:basedOn w:val="Standardskriftforavsnitt"/>
    <w:uiPriority w:val="99"/>
    <w:unhideWhenUsed/>
    <w:rsid w:val="00291B6E"/>
    <w:rPr>
      <w:color w:val="2B579A"/>
      <w:shd w:val="clear" w:color="auto" w:fill="E1DFDD"/>
    </w:rPr>
  </w:style>
  <w:style w:type="character" w:styleId="Fulgthyperkobling">
    <w:name w:val="FollowedHyperlink"/>
    <w:basedOn w:val="Standardskriftforavsnitt"/>
    <w:uiPriority w:val="99"/>
    <w:semiHidden/>
    <w:unhideWhenUsed/>
    <w:rsid w:val="00291B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31678">
      <w:bodyDiv w:val="1"/>
      <w:marLeft w:val="0"/>
      <w:marRight w:val="0"/>
      <w:marTop w:val="0"/>
      <w:marBottom w:val="0"/>
      <w:divBdr>
        <w:top w:val="none" w:sz="0" w:space="0" w:color="auto"/>
        <w:left w:val="none" w:sz="0" w:space="0" w:color="auto"/>
        <w:bottom w:val="none" w:sz="0" w:space="0" w:color="auto"/>
        <w:right w:val="none" w:sz="0" w:space="0" w:color="auto"/>
      </w:divBdr>
    </w:div>
    <w:div w:id="114563586">
      <w:bodyDiv w:val="1"/>
      <w:marLeft w:val="0"/>
      <w:marRight w:val="0"/>
      <w:marTop w:val="0"/>
      <w:marBottom w:val="0"/>
      <w:divBdr>
        <w:top w:val="none" w:sz="0" w:space="0" w:color="auto"/>
        <w:left w:val="none" w:sz="0" w:space="0" w:color="auto"/>
        <w:bottom w:val="none" w:sz="0" w:space="0" w:color="auto"/>
        <w:right w:val="none" w:sz="0" w:space="0" w:color="auto"/>
      </w:divBdr>
    </w:div>
    <w:div w:id="362874968">
      <w:bodyDiv w:val="1"/>
      <w:marLeft w:val="0"/>
      <w:marRight w:val="0"/>
      <w:marTop w:val="0"/>
      <w:marBottom w:val="0"/>
      <w:divBdr>
        <w:top w:val="none" w:sz="0" w:space="0" w:color="auto"/>
        <w:left w:val="none" w:sz="0" w:space="0" w:color="auto"/>
        <w:bottom w:val="none" w:sz="0" w:space="0" w:color="auto"/>
        <w:right w:val="none" w:sz="0" w:space="0" w:color="auto"/>
      </w:divBdr>
    </w:div>
    <w:div w:id="401802484">
      <w:bodyDiv w:val="1"/>
      <w:marLeft w:val="0"/>
      <w:marRight w:val="0"/>
      <w:marTop w:val="0"/>
      <w:marBottom w:val="0"/>
      <w:divBdr>
        <w:top w:val="none" w:sz="0" w:space="0" w:color="auto"/>
        <w:left w:val="none" w:sz="0" w:space="0" w:color="auto"/>
        <w:bottom w:val="none" w:sz="0" w:space="0" w:color="auto"/>
        <w:right w:val="none" w:sz="0" w:space="0" w:color="auto"/>
      </w:divBdr>
    </w:div>
    <w:div w:id="638657555">
      <w:bodyDiv w:val="1"/>
      <w:marLeft w:val="0"/>
      <w:marRight w:val="0"/>
      <w:marTop w:val="0"/>
      <w:marBottom w:val="0"/>
      <w:divBdr>
        <w:top w:val="none" w:sz="0" w:space="0" w:color="auto"/>
        <w:left w:val="none" w:sz="0" w:space="0" w:color="auto"/>
        <w:bottom w:val="none" w:sz="0" w:space="0" w:color="auto"/>
        <w:right w:val="none" w:sz="0" w:space="0" w:color="auto"/>
      </w:divBdr>
    </w:div>
    <w:div w:id="671102665">
      <w:bodyDiv w:val="1"/>
      <w:marLeft w:val="0"/>
      <w:marRight w:val="0"/>
      <w:marTop w:val="0"/>
      <w:marBottom w:val="0"/>
      <w:divBdr>
        <w:top w:val="none" w:sz="0" w:space="0" w:color="auto"/>
        <w:left w:val="none" w:sz="0" w:space="0" w:color="auto"/>
        <w:bottom w:val="none" w:sz="0" w:space="0" w:color="auto"/>
        <w:right w:val="none" w:sz="0" w:space="0" w:color="auto"/>
      </w:divBdr>
    </w:div>
    <w:div w:id="1094715461">
      <w:bodyDiv w:val="1"/>
      <w:marLeft w:val="0"/>
      <w:marRight w:val="0"/>
      <w:marTop w:val="0"/>
      <w:marBottom w:val="0"/>
      <w:divBdr>
        <w:top w:val="none" w:sz="0" w:space="0" w:color="auto"/>
        <w:left w:val="none" w:sz="0" w:space="0" w:color="auto"/>
        <w:bottom w:val="none" w:sz="0" w:space="0" w:color="auto"/>
        <w:right w:val="none" w:sz="0" w:space="0" w:color="auto"/>
      </w:divBdr>
    </w:div>
    <w:div w:id="1264994553">
      <w:bodyDiv w:val="1"/>
      <w:marLeft w:val="0"/>
      <w:marRight w:val="0"/>
      <w:marTop w:val="0"/>
      <w:marBottom w:val="0"/>
      <w:divBdr>
        <w:top w:val="none" w:sz="0" w:space="0" w:color="auto"/>
        <w:left w:val="none" w:sz="0" w:space="0" w:color="auto"/>
        <w:bottom w:val="none" w:sz="0" w:space="0" w:color="auto"/>
        <w:right w:val="none" w:sz="0" w:space="0" w:color="auto"/>
      </w:divBdr>
    </w:div>
    <w:div w:id="1422605230">
      <w:bodyDiv w:val="1"/>
      <w:marLeft w:val="0"/>
      <w:marRight w:val="0"/>
      <w:marTop w:val="0"/>
      <w:marBottom w:val="0"/>
      <w:divBdr>
        <w:top w:val="none" w:sz="0" w:space="0" w:color="auto"/>
        <w:left w:val="none" w:sz="0" w:space="0" w:color="auto"/>
        <w:bottom w:val="none" w:sz="0" w:space="0" w:color="auto"/>
        <w:right w:val="none" w:sz="0" w:space="0" w:color="auto"/>
      </w:divBdr>
      <w:divsChild>
        <w:div w:id="496920976">
          <w:marLeft w:val="0"/>
          <w:marRight w:val="0"/>
          <w:marTop w:val="0"/>
          <w:marBottom w:val="0"/>
          <w:divBdr>
            <w:top w:val="none" w:sz="0" w:space="0" w:color="auto"/>
            <w:left w:val="none" w:sz="0" w:space="0" w:color="auto"/>
            <w:bottom w:val="none" w:sz="0" w:space="0" w:color="auto"/>
            <w:right w:val="none" w:sz="0" w:space="0" w:color="auto"/>
          </w:divBdr>
        </w:div>
      </w:divsChild>
    </w:div>
    <w:div w:id="1476411743">
      <w:bodyDiv w:val="1"/>
      <w:marLeft w:val="0"/>
      <w:marRight w:val="0"/>
      <w:marTop w:val="0"/>
      <w:marBottom w:val="0"/>
      <w:divBdr>
        <w:top w:val="none" w:sz="0" w:space="0" w:color="auto"/>
        <w:left w:val="none" w:sz="0" w:space="0" w:color="auto"/>
        <w:bottom w:val="none" w:sz="0" w:space="0" w:color="auto"/>
        <w:right w:val="none" w:sz="0" w:space="0" w:color="auto"/>
      </w:divBdr>
    </w:div>
    <w:div w:id="1536772657">
      <w:bodyDiv w:val="1"/>
      <w:marLeft w:val="0"/>
      <w:marRight w:val="0"/>
      <w:marTop w:val="0"/>
      <w:marBottom w:val="0"/>
      <w:divBdr>
        <w:top w:val="none" w:sz="0" w:space="0" w:color="auto"/>
        <w:left w:val="none" w:sz="0" w:space="0" w:color="auto"/>
        <w:bottom w:val="none" w:sz="0" w:space="0" w:color="auto"/>
        <w:right w:val="none" w:sz="0" w:space="0" w:color="auto"/>
      </w:divBdr>
      <w:divsChild>
        <w:div w:id="1367483016">
          <w:marLeft w:val="0"/>
          <w:marRight w:val="0"/>
          <w:marTop w:val="0"/>
          <w:marBottom w:val="0"/>
          <w:divBdr>
            <w:top w:val="none" w:sz="0" w:space="0" w:color="auto"/>
            <w:left w:val="none" w:sz="0" w:space="0" w:color="auto"/>
            <w:bottom w:val="none" w:sz="0" w:space="0" w:color="auto"/>
            <w:right w:val="none" w:sz="0" w:space="0" w:color="auto"/>
          </w:divBdr>
          <w:divsChild>
            <w:div w:id="1888688505">
              <w:marLeft w:val="0"/>
              <w:marRight w:val="0"/>
              <w:marTop w:val="0"/>
              <w:marBottom w:val="0"/>
              <w:divBdr>
                <w:top w:val="none" w:sz="0" w:space="0" w:color="auto"/>
                <w:left w:val="none" w:sz="0" w:space="0" w:color="auto"/>
                <w:bottom w:val="none" w:sz="0" w:space="0" w:color="auto"/>
                <w:right w:val="none" w:sz="0" w:space="0" w:color="auto"/>
              </w:divBdr>
              <w:divsChild>
                <w:div w:id="620265167">
                  <w:marLeft w:val="0"/>
                  <w:marRight w:val="0"/>
                  <w:marTop w:val="0"/>
                  <w:marBottom w:val="0"/>
                  <w:divBdr>
                    <w:top w:val="none" w:sz="0" w:space="0" w:color="auto"/>
                    <w:left w:val="none" w:sz="0" w:space="0" w:color="auto"/>
                    <w:bottom w:val="none" w:sz="0" w:space="0" w:color="auto"/>
                    <w:right w:val="none" w:sz="0" w:space="0" w:color="auto"/>
                  </w:divBdr>
                  <w:divsChild>
                    <w:div w:id="830756527">
                      <w:marLeft w:val="-150"/>
                      <w:marRight w:val="-150"/>
                      <w:marTop w:val="0"/>
                      <w:marBottom w:val="0"/>
                      <w:divBdr>
                        <w:top w:val="none" w:sz="0" w:space="0" w:color="auto"/>
                        <w:left w:val="none" w:sz="0" w:space="0" w:color="auto"/>
                        <w:bottom w:val="none" w:sz="0" w:space="0" w:color="auto"/>
                        <w:right w:val="none" w:sz="0" w:space="0" w:color="auto"/>
                      </w:divBdr>
                      <w:divsChild>
                        <w:div w:id="994261701">
                          <w:marLeft w:val="0"/>
                          <w:marRight w:val="0"/>
                          <w:marTop w:val="0"/>
                          <w:marBottom w:val="0"/>
                          <w:divBdr>
                            <w:top w:val="none" w:sz="0" w:space="0" w:color="auto"/>
                            <w:left w:val="none" w:sz="0" w:space="0" w:color="auto"/>
                            <w:bottom w:val="none" w:sz="0" w:space="0" w:color="auto"/>
                            <w:right w:val="none" w:sz="0" w:space="0" w:color="auto"/>
                          </w:divBdr>
                          <w:divsChild>
                            <w:div w:id="938638092">
                              <w:marLeft w:val="0"/>
                              <w:marRight w:val="0"/>
                              <w:marTop w:val="0"/>
                              <w:marBottom w:val="0"/>
                              <w:divBdr>
                                <w:top w:val="none" w:sz="0" w:space="0" w:color="auto"/>
                                <w:left w:val="none" w:sz="0" w:space="0" w:color="auto"/>
                                <w:bottom w:val="none" w:sz="0" w:space="0" w:color="auto"/>
                                <w:right w:val="none" w:sz="0" w:space="0" w:color="auto"/>
                              </w:divBdr>
                              <w:divsChild>
                                <w:div w:id="1932815466">
                                  <w:marLeft w:val="0"/>
                                  <w:marRight w:val="0"/>
                                  <w:marTop w:val="0"/>
                                  <w:marBottom w:val="300"/>
                                  <w:divBdr>
                                    <w:top w:val="none" w:sz="0" w:space="0" w:color="auto"/>
                                    <w:left w:val="none" w:sz="0" w:space="0" w:color="auto"/>
                                    <w:bottom w:val="none" w:sz="0" w:space="0" w:color="auto"/>
                                    <w:right w:val="none" w:sz="0" w:space="0" w:color="auto"/>
                                  </w:divBdr>
                                  <w:divsChild>
                                    <w:div w:id="257953953">
                                      <w:marLeft w:val="0"/>
                                      <w:marRight w:val="0"/>
                                      <w:marTop w:val="0"/>
                                      <w:marBottom w:val="0"/>
                                      <w:divBdr>
                                        <w:top w:val="none" w:sz="0" w:space="0" w:color="auto"/>
                                        <w:left w:val="none" w:sz="0" w:space="0" w:color="auto"/>
                                        <w:bottom w:val="none" w:sz="0" w:space="0" w:color="auto"/>
                                        <w:right w:val="none" w:sz="0" w:space="0" w:color="auto"/>
                                      </w:divBdr>
                                      <w:divsChild>
                                        <w:div w:id="1915772461">
                                          <w:marLeft w:val="0"/>
                                          <w:marRight w:val="0"/>
                                          <w:marTop w:val="0"/>
                                          <w:marBottom w:val="0"/>
                                          <w:divBdr>
                                            <w:top w:val="none" w:sz="0" w:space="0" w:color="auto"/>
                                            <w:left w:val="none" w:sz="0" w:space="0" w:color="auto"/>
                                            <w:bottom w:val="none" w:sz="0" w:space="0" w:color="auto"/>
                                            <w:right w:val="none" w:sz="0" w:space="0" w:color="auto"/>
                                          </w:divBdr>
                                          <w:divsChild>
                                            <w:div w:id="1329135736">
                                              <w:marLeft w:val="0"/>
                                              <w:marRight w:val="0"/>
                                              <w:marTop w:val="0"/>
                                              <w:marBottom w:val="0"/>
                                              <w:divBdr>
                                                <w:top w:val="none" w:sz="0" w:space="0" w:color="auto"/>
                                                <w:left w:val="none" w:sz="0" w:space="0" w:color="auto"/>
                                                <w:bottom w:val="none" w:sz="0" w:space="0" w:color="auto"/>
                                                <w:right w:val="none" w:sz="0" w:space="0" w:color="auto"/>
                                              </w:divBdr>
                                              <w:divsChild>
                                                <w:div w:id="812135053">
                                                  <w:marLeft w:val="0"/>
                                                  <w:marRight w:val="0"/>
                                                  <w:marTop w:val="0"/>
                                                  <w:marBottom w:val="0"/>
                                                  <w:divBdr>
                                                    <w:top w:val="none" w:sz="0" w:space="0" w:color="auto"/>
                                                    <w:left w:val="none" w:sz="0" w:space="0" w:color="auto"/>
                                                    <w:bottom w:val="none" w:sz="0" w:space="0" w:color="auto"/>
                                                    <w:right w:val="none" w:sz="0" w:space="0" w:color="auto"/>
                                                  </w:divBdr>
                                                  <w:divsChild>
                                                    <w:div w:id="1860466300">
                                                      <w:marLeft w:val="0"/>
                                                      <w:marRight w:val="0"/>
                                                      <w:marTop w:val="0"/>
                                                      <w:marBottom w:val="0"/>
                                                      <w:divBdr>
                                                        <w:top w:val="none" w:sz="0" w:space="0" w:color="auto"/>
                                                        <w:left w:val="none" w:sz="0" w:space="0" w:color="auto"/>
                                                        <w:bottom w:val="none" w:sz="0" w:space="0" w:color="auto"/>
                                                        <w:right w:val="none" w:sz="0" w:space="0" w:color="auto"/>
                                                      </w:divBdr>
                                                      <w:divsChild>
                                                        <w:div w:id="776875010">
                                                          <w:marLeft w:val="0"/>
                                                          <w:marRight w:val="0"/>
                                                          <w:marTop w:val="0"/>
                                                          <w:marBottom w:val="0"/>
                                                          <w:divBdr>
                                                            <w:top w:val="none" w:sz="0" w:space="0" w:color="auto"/>
                                                            <w:left w:val="none" w:sz="0" w:space="0" w:color="auto"/>
                                                            <w:bottom w:val="none" w:sz="0" w:space="0" w:color="auto"/>
                                                            <w:right w:val="none" w:sz="0" w:space="0" w:color="auto"/>
                                                          </w:divBdr>
                                                          <w:divsChild>
                                                            <w:div w:id="1483352809">
                                                              <w:marLeft w:val="0"/>
                                                              <w:marRight w:val="0"/>
                                                              <w:marTop w:val="0"/>
                                                              <w:marBottom w:val="0"/>
                                                              <w:divBdr>
                                                                <w:top w:val="none" w:sz="0" w:space="0" w:color="auto"/>
                                                                <w:left w:val="none" w:sz="0" w:space="0" w:color="auto"/>
                                                                <w:bottom w:val="none" w:sz="0" w:space="0" w:color="auto"/>
                                                                <w:right w:val="none" w:sz="0" w:space="0" w:color="auto"/>
                                                              </w:divBdr>
                                                              <w:divsChild>
                                                                <w:div w:id="414204868">
                                                                  <w:marLeft w:val="0"/>
                                                                  <w:marRight w:val="0"/>
                                                                  <w:marTop w:val="0"/>
                                                                  <w:marBottom w:val="0"/>
                                                                  <w:divBdr>
                                                                    <w:top w:val="none" w:sz="0" w:space="0" w:color="auto"/>
                                                                    <w:left w:val="none" w:sz="0" w:space="0" w:color="auto"/>
                                                                    <w:bottom w:val="none" w:sz="0" w:space="0" w:color="auto"/>
                                                                    <w:right w:val="none" w:sz="0" w:space="0" w:color="auto"/>
                                                                  </w:divBdr>
                                                                  <w:divsChild>
                                                                    <w:div w:id="285237632">
                                                                      <w:marLeft w:val="0"/>
                                                                      <w:marRight w:val="0"/>
                                                                      <w:marTop w:val="0"/>
                                                                      <w:marBottom w:val="0"/>
                                                                      <w:divBdr>
                                                                        <w:top w:val="none" w:sz="0" w:space="0" w:color="auto"/>
                                                                        <w:left w:val="none" w:sz="0" w:space="0" w:color="auto"/>
                                                                        <w:bottom w:val="none" w:sz="0" w:space="0" w:color="auto"/>
                                                                        <w:right w:val="none" w:sz="0" w:space="0" w:color="auto"/>
                                                                      </w:divBdr>
                                                                      <w:divsChild>
                                                                        <w:div w:id="63798872">
                                                                          <w:marLeft w:val="0"/>
                                                                          <w:marRight w:val="0"/>
                                                                          <w:marTop w:val="0"/>
                                                                          <w:marBottom w:val="0"/>
                                                                          <w:divBdr>
                                                                            <w:top w:val="none" w:sz="0" w:space="0" w:color="auto"/>
                                                                            <w:left w:val="none" w:sz="0" w:space="0" w:color="auto"/>
                                                                            <w:bottom w:val="none" w:sz="0" w:space="0" w:color="auto"/>
                                                                            <w:right w:val="none" w:sz="0" w:space="0" w:color="auto"/>
                                                                          </w:divBdr>
                                                                          <w:divsChild>
                                                                            <w:div w:id="371926559">
                                                                              <w:marLeft w:val="0"/>
                                                                              <w:marRight w:val="0"/>
                                                                              <w:marTop w:val="0"/>
                                                                              <w:marBottom w:val="0"/>
                                                                              <w:divBdr>
                                                                                <w:top w:val="none" w:sz="0" w:space="0" w:color="auto"/>
                                                                                <w:left w:val="none" w:sz="0" w:space="0" w:color="auto"/>
                                                                                <w:bottom w:val="none" w:sz="0" w:space="0" w:color="auto"/>
                                                                                <w:right w:val="none" w:sz="0" w:space="0" w:color="auto"/>
                                                                              </w:divBdr>
                                                                              <w:divsChild>
                                                                                <w:div w:id="123502234">
                                                                                  <w:marLeft w:val="0"/>
                                                                                  <w:marRight w:val="0"/>
                                                                                  <w:marTop w:val="0"/>
                                                                                  <w:marBottom w:val="0"/>
                                                                                  <w:divBdr>
                                                                                    <w:top w:val="none" w:sz="0" w:space="0" w:color="auto"/>
                                                                                    <w:left w:val="none" w:sz="0" w:space="0" w:color="auto"/>
                                                                                    <w:bottom w:val="none" w:sz="0" w:space="0" w:color="auto"/>
                                                                                    <w:right w:val="none" w:sz="0" w:space="0" w:color="auto"/>
                                                                                  </w:divBdr>
                                                                                  <w:divsChild>
                                                                                    <w:div w:id="800614881">
                                                                                      <w:marLeft w:val="0"/>
                                                                                      <w:marRight w:val="0"/>
                                                                                      <w:marTop w:val="0"/>
                                                                                      <w:marBottom w:val="0"/>
                                                                                      <w:divBdr>
                                                                                        <w:top w:val="none" w:sz="0" w:space="0" w:color="auto"/>
                                                                                        <w:left w:val="none" w:sz="0" w:space="0" w:color="auto"/>
                                                                                        <w:bottom w:val="none" w:sz="0" w:space="0" w:color="auto"/>
                                                                                        <w:right w:val="none" w:sz="0" w:space="0" w:color="auto"/>
                                                                                      </w:divBdr>
                                                                                      <w:divsChild>
                                                                                        <w:div w:id="1727945689">
                                                                                          <w:marLeft w:val="0"/>
                                                                                          <w:marRight w:val="0"/>
                                                                                          <w:marTop w:val="0"/>
                                                                                          <w:marBottom w:val="0"/>
                                                                                          <w:divBdr>
                                                                                            <w:top w:val="none" w:sz="0" w:space="0" w:color="auto"/>
                                                                                            <w:left w:val="none" w:sz="0" w:space="0" w:color="auto"/>
                                                                                            <w:bottom w:val="none" w:sz="0" w:space="0" w:color="auto"/>
                                                                                            <w:right w:val="none" w:sz="0" w:space="0" w:color="auto"/>
                                                                                          </w:divBdr>
                                                                                          <w:divsChild>
                                                                                            <w:div w:id="168532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6156078">
      <w:bodyDiv w:val="1"/>
      <w:marLeft w:val="0"/>
      <w:marRight w:val="0"/>
      <w:marTop w:val="0"/>
      <w:marBottom w:val="0"/>
      <w:divBdr>
        <w:top w:val="none" w:sz="0" w:space="0" w:color="auto"/>
        <w:left w:val="none" w:sz="0" w:space="0" w:color="auto"/>
        <w:bottom w:val="none" w:sz="0" w:space="0" w:color="auto"/>
        <w:right w:val="none" w:sz="0" w:space="0" w:color="auto"/>
      </w:divBdr>
    </w:div>
    <w:div w:id="1655374160">
      <w:bodyDiv w:val="1"/>
      <w:marLeft w:val="0"/>
      <w:marRight w:val="0"/>
      <w:marTop w:val="0"/>
      <w:marBottom w:val="0"/>
      <w:divBdr>
        <w:top w:val="none" w:sz="0" w:space="0" w:color="auto"/>
        <w:left w:val="none" w:sz="0" w:space="0" w:color="auto"/>
        <w:bottom w:val="none" w:sz="0" w:space="0" w:color="auto"/>
        <w:right w:val="none" w:sz="0" w:space="0" w:color="auto"/>
      </w:divBdr>
      <w:divsChild>
        <w:div w:id="826212605">
          <w:marLeft w:val="0"/>
          <w:marRight w:val="0"/>
          <w:marTop w:val="0"/>
          <w:marBottom w:val="0"/>
          <w:divBdr>
            <w:top w:val="none" w:sz="0" w:space="0" w:color="auto"/>
            <w:left w:val="none" w:sz="0" w:space="0" w:color="auto"/>
            <w:bottom w:val="none" w:sz="0" w:space="0" w:color="auto"/>
            <w:right w:val="none" w:sz="0" w:space="0" w:color="auto"/>
          </w:divBdr>
          <w:divsChild>
            <w:div w:id="398213419">
              <w:marLeft w:val="0"/>
              <w:marRight w:val="0"/>
              <w:marTop w:val="0"/>
              <w:marBottom w:val="0"/>
              <w:divBdr>
                <w:top w:val="none" w:sz="0" w:space="0" w:color="auto"/>
                <w:left w:val="none" w:sz="0" w:space="0" w:color="auto"/>
                <w:bottom w:val="none" w:sz="0" w:space="0" w:color="auto"/>
                <w:right w:val="none" w:sz="0" w:space="0" w:color="auto"/>
              </w:divBdr>
              <w:divsChild>
                <w:div w:id="1250777642">
                  <w:marLeft w:val="0"/>
                  <w:marRight w:val="0"/>
                  <w:marTop w:val="0"/>
                  <w:marBottom w:val="0"/>
                  <w:divBdr>
                    <w:top w:val="none" w:sz="0" w:space="0" w:color="auto"/>
                    <w:left w:val="none" w:sz="0" w:space="0" w:color="auto"/>
                    <w:bottom w:val="none" w:sz="0" w:space="0" w:color="auto"/>
                    <w:right w:val="none" w:sz="0" w:space="0" w:color="auto"/>
                  </w:divBdr>
                  <w:divsChild>
                    <w:div w:id="522206137">
                      <w:marLeft w:val="-150"/>
                      <w:marRight w:val="-150"/>
                      <w:marTop w:val="0"/>
                      <w:marBottom w:val="0"/>
                      <w:divBdr>
                        <w:top w:val="none" w:sz="0" w:space="0" w:color="auto"/>
                        <w:left w:val="none" w:sz="0" w:space="0" w:color="auto"/>
                        <w:bottom w:val="none" w:sz="0" w:space="0" w:color="auto"/>
                        <w:right w:val="none" w:sz="0" w:space="0" w:color="auto"/>
                      </w:divBdr>
                      <w:divsChild>
                        <w:div w:id="1207914639">
                          <w:marLeft w:val="0"/>
                          <w:marRight w:val="0"/>
                          <w:marTop w:val="0"/>
                          <w:marBottom w:val="0"/>
                          <w:divBdr>
                            <w:top w:val="none" w:sz="0" w:space="0" w:color="auto"/>
                            <w:left w:val="none" w:sz="0" w:space="0" w:color="auto"/>
                            <w:bottom w:val="none" w:sz="0" w:space="0" w:color="auto"/>
                            <w:right w:val="none" w:sz="0" w:space="0" w:color="auto"/>
                          </w:divBdr>
                          <w:divsChild>
                            <w:div w:id="2073692599">
                              <w:marLeft w:val="0"/>
                              <w:marRight w:val="0"/>
                              <w:marTop w:val="0"/>
                              <w:marBottom w:val="0"/>
                              <w:divBdr>
                                <w:top w:val="none" w:sz="0" w:space="0" w:color="auto"/>
                                <w:left w:val="none" w:sz="0" w:space="0" w:color="auto"/>
                                <w:bottom w:val="none" w:sz="0" w:space="0" w:color="auto"/>
                                <w:right w:val="none" w:sz="0" w:space="0" w:color="auto"/>
                              </w:divBdr>
                              <w:divsChild>
                                <w:div w:id="515314486">
                                  <w:marLeft w:val="0"/>
                                  <w:marRight w:val="0"/>
                                  <w:marTop w:val="0"/>
                                  <w:marBottom w:val="300"/>
                                  <w:divBdr>
                                    <w:top w:val="none" w:sz="0" w:space="0" w:color="auto"/>
                                    <w:left w:val="none" w:sz="0" w:space="0" w:color="auto"/>
                                    <w:bottom w:val="none" w:sz="0" w:space="0" w:color="auto"/>
                                    <w:right w:val="none" w:sz="0" w:space="0" w:color="auto"/>
                                  </w:divBdr>
                                  <w:divsChild>
                                    <w:div w:id="342248988">
                                      <w:marLeft w:val="0"/>
                                      <w:marRight w:val="0"/>
                                      <w:marTop w:val="0"/>
                                      <w:marBottom w:val="0"/>
                                      <w:divBdr>
                                        <w:top w:val="none" w:sz="0" w:space="0" w:color="auto"/>
                                        <w:left w:val="none" w:sz="0" w:space="0" w:color="auto"/>
                                        <w:bottom w:val="none" w:sz="0" w:space="0" w:color="auto"/>
                                        <w:right w:val="none" w:sz="0" w:space="0" w:color="auto"/>
                                      </w:divBdr>
                                      <w:divsChild>
                                        <w:div w:id="1863519180">
                                          <w:marLeft w:val="0"/>
                                          <w:marRight w:val="0"/>
                                          <w:marTop w:val="0"/>
                                          <w:marBottom w:val="0"/>
                                          <w:divBdr>
                                            <w:top w:val="none" w:sz="0" w:space="0" w:color="auto"/>
                                            <w:left w:val="none" w:sz="0" w:space="0" w:color="auto"/>
                                            <w:bottom w:val="none" w:sz="0" w:space="0" w:color="auto"/>
                                            <w:right w:val="none" w:sz="0" w:space="0" w:color="auto"/>
                                          </w:divBdr>
                                          <w:divsChild>
                                            <w:div w:id="643464414">
                                              <w:marLeft w:val="0"/>
                                              <w:marRight w:val="0"/>
                                              <w:marTop w:val="0"/>
                                              <w:marBottom w:val="0"/>
                                              <w:divBdr>
                                                <w:top w:val="none" w:sz="0" w:space="0" w:color="auto"/>
                                                <w:left w:val="none" w:sz="0" w:space="0" w:color="auto"/>
                                                <w:bottom w:val="none" w:sz="0" w:space="0" w:color="auto"/>
                                                <w:right w:val="none" w:sz="0" w:space="0" w:color="auto"/>
                                              </w:divBdr>
                                              <w:divsChild>
                                                <w:div w:id="400450778">
                                                  <w:marLeft w:val="0"/>
                                                  <w:marRight w:val="0"/>
                                                  <w:marTop w:val="0"/>
                                                  <w:marBottom w:val="0"/>
                                                  <w:divBdr>
                                                    <w:top w:val="none" w:sz="0" w:space="0" w:color="auto"/>
                                                    <w:left w:val="none" w:sz="0" w:space="0" w:color="auto"/>
                                                    <w:bottom w:val="none" w:sz="0" w:space="0" w:color="auto"/>
                                                    <w:right w:val="none" w:sz="0" w:space="0" w:color="auto"/>
                                                  </w:divBdr>
                                                  <w:divsChild>
                                                    <w:div w:id="985430762">
                                                      <w:marLeft w:val="0"/>
                                                      <w:marRight w:val="0"/>
                                                      <w:marTop w:val="0"/>
                                                      <w:marBottom w:val="0"/>
                                                      <w:divBdr>
                                                        <w:top w:val="none" w:sz="0" w:space="0" w:color="auto"/>
                                                        <w:left w:val="none" w:sz="0" w:space="0" w:color="auto"/>
                                                        <w:bottom w:val="none" w:sz="0" w:space="0" w:color="auto"/>
                                                        <w:right w:val="none" w:sz="0" w:space="0" w:color="auto"/>
                                                      </w:divBdr>
                                                      <w:divsChild>
                                                        <w:div w:id="1841771992">
                                                          <w:marLeft w:val="0"/>
                                                          <w:marRight w:val="0"/>
                                                          <w:marTop w:val="0"/>
                                                          <w:marBottom w:val="0"/>
                                                          <w:divBdr>
                                                            <w:top w:val="none" w:sz="0" w:space="0" w:color="auto"/>
                                                            <w:left w:val="none" w:sz="0" w:space="0" w:color="auto"/>
                                                            <w:bottom w:val="none" w:sz="0" w:space="0" w:color="auto"/>
                                                            <w:right w:val="none" w:sz="0" w:space="0" w:color="auto"/>
                                                          </w:divBdr>
                                                          <w:divsChild>
                                                            <w:div w:id="1078331665">
                                                              <w:marLeft w:val="0"/>
                                                              <w:marRight w:val="0"/>
                                                              <w:marTop w:val="0"/>
                                                              <w:marBottom w:val="0"/>
                                                              <w:divBdr>
                                                                <w:top w:val="none" w:sz="0" w:space="0" w:color="auto"/>
                                                                <w:left w:val="none" w:sz="0" w:space="0" w:color="auto"/>
                                                                <w:bottom w:val="none" w:sz="0" w:space="0" w:color="auto"/>
                                                                <w:right w:val="none" w:sz="0" w:space="0" w:color="auto"/>
                                                              </w:divBdr>
                                                              <w:divsChild>
                                                                <w:div w:id="571430853">
                                                                  <w:marLeft w:val="0"/>
                                                                  <w:marRight w:val="0"/>
                                                                  <w:marTop w:val="0"/>
                                                                  <w:marBottom w:val="0"/>
                                                                  <w:divBdr>
                                                                    <w:top w:val="none" w:sz="0" w:space="0" w:color="auto"/>
                                                                    <w:left w:val="none" w:sz="0" w:space="0" w:color="auto"/>
                                                                    <w:bottom w:val="none" w:sz="0" w:space="0" w:color="auto"/>
                                                                    <w:right w:val="none" w:sz="0" w:space="0" w:color="auto"/>
                                                                  </w:divBdr>
                                                                  <w:divsChild>
                                                                    <w:div w:id="834616292">
                                                                      <w:marLeft w:val="0"/>
                                                                      <w:marRight w:val="0"/>
                                                                      <w:marTop w:val="0"/>
                                                                      <w:marBottom w:val="0"/>
                                                                      <w:divBdr>
                                                                        <w:top w:val="none" w:sz="0" w:space="0" w:color="auto"/>
                                                                        <w:left w:val="none" w:sz="0" w:space="0" w:color="auto"/>
                                                                        <w:bottom w:val="none" w:sz="0" w:space="0" w:color="auto"/>
                                                                        <w:right w:val="none" w:sz="0" w:space="0" w:color="auto"/>
                                                                      </w:divBdr>
                                                                      <w:divsChild>
                                                                        <w:div w:id="1184172377">
                                                                          <w:marLeft w:val="0"/>
                                                                          <w:marRight w:val="0"/>
                                                                          <w:marTop w:val="0"/>
                                                                          <w:marBottom w:val="0"/>
                                                                          <w:divBdr>
                                                                            <w:top w:val="none" w:sz="0" w:space="0" w:color="auto"/>
                                                                            <w:left w:val="none" w:sz="0" w:space="0" w:color="auto"/>
                                                                            <w:bottom w:val="none" w:sz="0" w:space="0" w:color="auto"/>
                                                                            <w:right w:val="none" w:sz="0" w:space="0" w:color="auto"/>
                                                                          </w:divBdr>
                                                                          <w:divsChild>
                                                                            <w:div w:id="691880513">
                                                                              <w:marLeft w:val="0"/>
                                                                              <w:marRight w:val="0"/>
                                                                              <w:marTop w:val="0"/>
                                                                              <w:marBottom w:val="0"/>
                                                                              <w:divBdr>
                                                                                <w:top w:val="none" w:sz="0" w:space="0" w:color="auto"/>
                                                                                <w:left w:val="none" w:sz="0" w:space="0" w:color="auto"/>
                                                                                <w:bottom w:val="none" w:sz="0" w:space="0" w:color="auto"/>
                                                                                <w:right w:val="none" w:sz="0" w:space="0" w:color="auto"/>
                                                                              </w:divBdr>
                                                                              <w:divsChild>
                                                                                <w:div w:id="1959024761">
                                                                                  <w:marLeft w:val="0"/>
                                                                                  <w:marRight w:val="0"/>
                                                                                  <w:marTop w:val="0"/>
                                                                                  <w:marBottom w:val="0"/>
                                                                                  <w:divBdr>
                                                                                    <w:top w:val="none" w:sz="0" w:space="0" w:color="auto"/>
                                                                                    <w:left w:val="none" w:sz="0" w:space="0" w:color="auto"/>
                                                                                    <w:bottom w:val="none" w:sz="0" w:space="0" w:color="auto"/>
                                                                                    <w:right w:val="none" w:sz="0" w:space="0" w:color="auto"/>
                                                                                  </w:divBdr>
                                                                                  <w:divsChild>
                                                                                    <w:div w:id="1647661768">
                                                                                      <w:marLeft w:val="0"/>
                                                                                      <w:marRight w:val="0"/>
                                                                                      <w:marTop w:val="0"/>
                                                                                      <w:marBottom w:val="0"/>
                                                                                      <w:divBdr>
                                                                                        <w:top w:val="none" w:sz="0" w:space="0" w:color="auto"/>
                                                                                        <w:left w:val="none" w:sz="0" w:space="0" w:color="auto"/>
                                                                                        <w:bottom w:val="none" w:sz="0" w:space="0" w:color="auto"/>
                                                                                        <w:right w:val="none" w:sz="0" w:space="0" w:color="auto"/>
                                                                                      </w:divBdr>
                                                                                      <w:divsChild>
                                                                                        <w:div w:id="1769689286">
                                                                                          <w:marLeft w:val="0"/>
                                                                                          <w:marRight w:val="0"/>
                                                                                          <w:marTop w:val="0"/>
                                                                                          <w:marBottom w:val="0"/>
                                                                                          <w:divBdr>
                                                                                            <w:top w:val="none" w:sz="0" w:space="0" w:color="auto"/>
                                                                                            <w:left w:val="none" w:sz="0" w:space="0" w:color="auto"/>
                                                                                            <w:bottom w:val="none" w:sz="0" w:space="0" w:color="auto"/>
                                                                                            <w:right w:val="none" w:sz="0" w:space="0" w:color="auto"/>
                                                                                          </w:divBdr>
                                                                                          <w:divsChild>
                                                                                            <w:div w:id="1850096817">
                                                                                              <w:marLeft w:val="0"/>
                                                                                              <w:marRight w:val="0"/>
                                                                                              <w:marTop w:val="0"/>
                                                                                              <w:marBottom w:val="0"/>
                                                                                              <w:divBdr>
                                                                                                <w:top w:val="none" w:sz="0" w:space="0" w:color="auto"/>
                                                                                                <w:left w:val="none" w:sz="0" w:space="0" w:color="auto"/>
                                                                                                <w:bottom w:val="none" w:sz="0" w:space="0" w:color="auto"/>
                                                                                                <w:right w:val="none" w:sz="0" w:space="0" w:color="auto"/>
                                                                                              </w:divBdr>
                                                                                            </w:div>
                                                                                            <w:div w:id="209716590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6541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egjeringen.no/no/dokumenter/horing-endringer-i-kapitalkravsforordningen-crr3/id304371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cropru.notifications@ecb.europa.e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ho@fin.dep.no"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finanstilsynet.no/en/news-archive/news/2024/risk-outlook--june-2024/" TargetMode="External"/><Relationship Id="rId3" Type="http://schemas.openxmlformats.org/officeDocument/2006/relationships/hyperlink" Target="https://www.finanstilsynet.no/en/news-archive/news/2024/risk-outlook--december-2024/" TargetMode="External"/><Relationship Id="rId7" Type="http://schemas.openxmlformats.org/officeDocument/2006/relationships/hyperlink" Target="https://www.imf.org/en/Publications/CR/Issues/2024/09/17/Norway-2024-Article-IV-Consultation-Press-Release-Staff-Report-and-Statement-by-the-555052" TargetMode="External"/><Relationship Id="rId2" Type="http://schemas.openxmlformats.org/officeDocument/2006/relationships/hyperlink" Target="https://www.finanstilsynet.no/en/news-archive/news/2024/risk-outlook--june-2024/" TargetMode="External"/><Relationship Id="rId1" Type="http://schemas.openxmlformats.org/officeDocument/2006/relationships/hyperlink" Target="https://www.norges-bank.no/contentassets/324cc9184f6c4ba09452ffd364078035/sm_2019_10_eng.pdf?v=03122019153005" TargetMode="External"/><Relationship Id="rId6" Type="http://schemas.openxmlformats.org/officeDocument/2006/relationships/hyperlink" Target="https://www.norges-bank.no/en/news-events/news-publications/Reports/Financial-Stability-report/2024-2-financial-stability/" TargetMode="External"/><Relationship Id="rId5" Type="http://schemas.openxmlformats.org/officeDocument/2006/relationships/hyperlink" Target="https://www.norges-bank.no/en/news-events/news-publications/Reports/Financial-Stability-report/2024-2-financial-stability/" TargetMode="External"/><Relationship Id="rId4" Type="http://schemas.openxmlformats.org/officeDocument/2006/relationships/hyperlink" Target="https://www.norges-bank.no/en/news-events/news-publications/Reports/Financial-Stability-report/2024-1-finansiell-stabilitet/" TargetMode="External"/><Relationship Id="rId9" Type="http://schemas.openxmlformats.org/officeDocument/2006/relationships/hyperlink" Target="https://www.regjeringen.no/en/historical-archive/solbergs-government/Ministries/fin/press-releases/2016/denmark-finland-norway-and-sweden-sign-memorandum-of-understanding-on-significant-branches/id2524824/"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DADADC5D06491D9DFBE65BCC32C818"/>
        <w:category>
          <w:name w:val="General"/>
          <w:gallery w:val="placeholder"/>
        </w:category>
        <w:types>
          <w:type w:val="bbPlcHdr"/>
        </w:types>
        <w:behaviors>
          <w:behavior w:val="content"/>
        </w:behaviors>
        <w:guid w:val="{46FC0F24-5D86-4B72-ADCA-E3AA4B9E7131}"/>
      </w:docPartPr>
      <w:docPartBody>
        <w:p w:rsidR="00730251" w:rsidRDefault="004F5D4E" w:rsidP="004F5D4E">
          <w:pPr>
            <w:pStyle w:val="74DADADC5D06491D9DFBE65BCC32C8181"/>
          </w:pPr>
          <w:r w:rsidRPr="00DC0B74">
            <w:rPr>
              <w:rStyle w:val="Plassholdertekst"/>
            </w:rPr>
            <w:t>Choose an item.</w:t>
          </w:r>
        </w:p>
      </w:docPartBody>
    </w:docPart>
    <w:docPart>
      <w:docPartPr>
        <w:name w:val="AA91E6561464439AAA55492FCED57561"/>
        <w:category>
          <w:name w:val="General"/>
          <w:gallery w:val="placeholder"/>
        </w:category>
        <w:types>
          <w:type w:val="bbPlcHdr"/>
        </w:types>
        <w:behaviors>
          <w:behavior w:val="content"/>
        </w:behaviors>
        <w:guid w:val="{F7BFFAA9-3A5A-48A3-8813-68A3AEBA4775}"/>
      </w:docPartPr>
      <w:docPartBody>
        <w:p w:rsidR="00730251" w:rsidRDefault="004F5D4E" w:rsidP="004F5D4E">
          <w:pPr>
            <w:pStyle w:val="AA91E6561464439AAA55492FCED575611"/>
          </w:pPr>
          <w:r w:rsidRPr="00F847CA">
            <w:rPr>
              <w:rStyle w:val="Plassholdertekst"/>
              <w:rFonts w:ascii="Arial" w:eastAsia="Times New Roman" w:hAnsi="Arial" w:cs="Arial"/>
              <w:sz w:val="20"/>
              <w:szCs w:val="20"/>
              <w:lang w:eastAsia="de-DE" w:bidi="pa-IN"/>
            </w:rPr>
            <w:t>Click or tap to enter a date.</w:t>
          </w:r>
        </w:p>
      </w:docPartBody>
    </w:docPart>
    <w:docPart>
      <w:docPartPr>
        <w:name w:val="164500B82A324940AE91E407240F1B3B"/>
        <w:category>
          <w:name w:val="Generelt"/>
          <w:gallery w:val="placeholder"/>
        </w:category>
        <w:types>
          <w:type w:val="bbPlcHdr"/>
        </w:types>
        <w:behaviors>
          <w:behavior w:val="content"/>
        </w:behaviors>
        <w:guid w:val="{2617A06D-C04F-4CB6-AFE1-226FE18D77C1}"/>
      </w:docPartPr>
      <w:docPartBody>
        <w:p w:rsidR="00360E56" w:rsidRDefault="002D75D4" w:rsidP="002D75D4">
          <w:pPr>
            <w:pStyle w:val="164500B82A324940AE91E407240F1B3B"/>
          </w:pPr>
          <w:r w:rsidRPr="00BF6DFD">
            <w:rPr>
              <w:rStyle w:val="Plassholdertekst"/>
            </w:rPr>
            <w:t>Click here to enter a date.</w:t>
          </w:r>
        </w:p>
      </w:docPartBody>
    </w:docPart>
    <w:docPart>
      <w:docPartPr>
        <w:name w:val="C88465883AB24265B0520FB20A34C2FF"/>
        <w:category>
          <w:name w:val="Generelt"/>
          <w:gallery w:val="placeholder"/>
        </w:category>
        <w:types>
          <w:type w:val="bbPlcHdr"/>
        </w:types>
        <w:behaviors>
          <w:behavior w:val="content"/>
        </w:behaviors>
        <w:guid w:val="{B95D19C9-D5D5-48E5-9A8F-2735521BE4EE}"/>
      </w:docPartPr>
      <w:docPartBody>
        <w:p w:rsidR="00360E56" w:rsidRDefault="002D75D4" w:rsidP="002D75D4">
          <w:pPr>
            <w:pStyle w:val="C88465883AB24265B0520FB20A34C2FF"/>
          </w:pPr>
          <w:r w:rsidRPr="00BF6DFD">
            <w:rPr>
              <w:rStyle w:val="Plassholdertekst"/>
            </w:rPr>
            <w:t>Click here to enter a date.</w:t>
          </w:r>
        </w:p>
      </w:docPartBody>
    </w:docPart>
    <w:docPart>
      <w:docPartPr>
        <w:name w:val="B273B5A5F7BF4F039F4ECDFC0CD87503"/>
        <w:category>
          <w:name w:val="Generelt"/>
          <w:gallery w:val="placeholder"/>
        </w:category>
        <w:types>
          <w:type w:val="bbPlcHdr"/>
        </w:types>
        <w:behaviors>
          <w:behavior w:val="content"/>
        </w:behaviors>
        <w:guid w:val="{757A7200-AB08-4F32-88E8-FF255AB9B556}"/>
      </w:docPartPr>
      <w:docPartBody>
        <w:p w:rsidR="00360E56" w:rsidRDefault="002D75D4" w:rsidP="002D75D4">
          <w:pPr>
            <w:pStyle w:val="B273B5A5F7BF4F039F4ECDFC0CD87503"/>
          </w:pPr>
          <w:r w:rsidRPr="00BF6DFD">
            <w:rPr>
              <w:rStyle w:val="Plassholderteks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Raavi">
    <w:panose1 w:val="02000500000000000000"/>
    <w:charset w:val="00"/>
    <w:family w:val="swiss"/>
    <w:pitch w:val="variable"/>
    <w:sig w:usb0="0002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2E90"/>
    <w:rsid w:val="00081790"/>
    <w:rsid w:val="0010500C"/>
    <w:rsid w:val="0011232D"/>
    <w:rsid w:val="00115439"/>
    <w:rsid w:val="001173B6"/>
    <w:rsid w:val="00133B7F"/>
    <w:rsid w:val="001957C0"/>
    <w:rsid w:val="001A4E2A"/>
    <w:rsid w:val="001A67EF"/>
    <w:rsid w:val="00232D0C"/>
    <w:rsid w:val="00232E90"/>
    <w:rsid w:val="002661F4"/>
    <w:rsid w:val="002D75D4"/>
    <w:rsid w:val="002E43F0"/>
    <w:rsid w:val="00300E93"/>
    <w:rsid w:val="0030622E"/>
    <w:rsid w:val="00316C26"/>
    <w:rsid w:val="00323E42"/>
    <w:rsid w:val="00360E56"/>
    <w:rsid w:val="003B311C"/>
    <w:rsid w:val="00400BA3"/>
    <w:rsid w:val="00450BF9"/>
    <w:rsid w:val="00453988"/>
    <w:rsid w:val="00466025"/>
    <w:rsid w:val="0047560E"/>
    <w:rsid w:val="00475970"/>
    <w:rsid w:val="00477464"/>
    <w:rsid w:val="004B6234"/>
    <w:rsid w:val="004D53C0"/>
    <w:rsid w:val="004F4D4C"/>
    <w:rsid w:val="004F5D4E"/>
    <w:rsid w:val="00525119"/>
    <w:rsid w:val="00537665"/>
    <w:rsid w:val="00585DB7"/>
    <w:rsid w:val="00612C4E"/>
    <w:rsid w:val="00625995"/>
    <w:rsid w:val="006345EB"/>
    <w:rsid w:val="0063731E"/>
    <w:rsid w:val="00641A17"/>
    <w:rsid w:val="0065702D"/>
    <w:rsid w:val="00674CC9"/>
    <w:rsid w:val="006B215D"/>
    <w:rsid w:val="00700E66"/>
    <w:rsid w:val="0070317C"/>
    <w:rsid w:val="00730251"/>
    <w:rsid w:val="00762DD0"/>
    <w:rsid w:val="00775B6B"/>
    <w:rsid w:val="0079294A"/>
    <w:rsid w:val="007C1BE8"/>
    <w:rsid w:val="008254C9"/>
    <w:rsid w:val="00830D5E"/>
    <w:rsid w:val="00843C75"/>
    <w:rsid w:val="0089762A"/>
    <w:rsid w:val="008A0C4C"/>
    <w:rsid w:val="008F7F7E"/>
    <w:rsid w:val="009007F3"/>
    <w:rsid w:val="00964FC8"/>
    <w:rsid w:val="009819FB"/>
    <w:rsid w:val="00987FE4"/>
    <w:rsid w:val="00992DA4"/>
    <w:rsid w:val="009B155C"/>
    <w:rsid w:val="009C7FA1"/>
    <w:rsid w:val="009D6C2D"/>
    <w:rsid w:val="009F481A"/>
    <w:rsid w:val="009F4FE8"/>
    <w:rsid w:val="009F6026"/>
    <w:rsid w:val="00A12D38"/>
    <w:rsid w:val="00A203ED"/>
    <w:rsid w:val="00A31AF5"/>
    <w:rsid w:val="00A56CB6"/>
    <w:rsid w:val="00AA0283"/>
    <w:rsid w:val="00AB1E48"/>
    <w:rsid w:val="00AB775E"/>
    <w:rsid w:val="00AD7510"/>
    <w:rsid w:val="00AF13E7"/>
    <w:rsid w:val="00AF7E00"/>
    <w:rsid w:val="00B16561"/>
    <w:rsid w:val="00B44BA3"/>
    <w:rsid w:val="00B612B6"/>
    <w:rsid w:val="00BA1FC9"/>
    <w:rsid w:val="00BF1969"/>
    <w:rsid w:val="00C40CCD"/>
    <w:rsid w:val="00C4520D"/>
    <w:rsid w:val="00C62184"/>
    <w:rsid w:val="00C73082"/>
    <w:rsid w:val="00C74236"/>
    <w:rsid w:val="00C808C5"/>
    <w:rsid w:val="00C84491"/>
    <w:rsid w:val="00C86F91"/>
    <w:rsid w:val="00CA7E0A"/>
    <w:rsid w:val="00CB2490"/>
    <w:rsid w:val="00CB25F5"/>
    <w:rsid w:val="00CB4158"/>
    <w:rsid w:val="00CB7485"/>
    <w:rsid w:val="00CC0FD5"/>
    <w:rsid w:val="00CF1F3D"/>
    <w:rsid w:val="00CF7B7A"/>
    <w:rsid w:val="00D13608"/>
    <w:rsid w:val="00D20BEB"/>
    <w:rsid w:val="00D373B2"/>
    <w:rsid w:val="00D404ED"/>
    <w:rsid w:val="00D56CC5"/>
    <w:rsid w:val="00D75490"/>
    <w:rsid w:val="00D93412"/>
    <w:rsid w:val="00D94D2C"/>
    <w:rsid w:val="00D96AEB"/>
    <w:rsid w:val="00DC10A6"/>
    <w:rsid w:val="00E4314B"/>
    <w:rsid w:val="00E95913"/>
    <w:rsid w:val="00F00E72"/>
    <w:rsid w:val="00F139A5"/>
    <w:rsid w:val="00F6149C"/>
    <w:rsid w:val="00FB51DE"/>
    <w:rsid w:val="00FE0A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E3B83D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2D75D4"/>
    <w:rPr>
      <w:color w:val="808080"/>
    </w:rPr>
  </w:style>
  <w:style w:type="paragraph" w:customStyle="1" w:styleId="74DADADC5D06491D9DFBE65BCC32C8181">
    <w:name w:val="74DADADC5D06491D9DFBE65BCC32C8181"/>
    <w:rsid w:val="004F5D4E"/>
    <w:rPr>
      <w:rFonts w:ascii="Calibri" w:eastAsia="Calibri" w:hAnsi="Calibri" w:cs="Times New Roman"/>
      <w:lang w:eastAsia="en-US"/>
    </w:rPr>
  </w:style>
  <w:style w:type="paragraph" w:customStyle="1" w:styleId="AA91E6561464439AAA55492FCED575611">
    <w:name w:val="AA91E6561464439AAA55492FCED575611"/>
    <w:rsid w:val="004F5D4E"/>
    <w:rPr>
      <w:rFonts w:ascii="Calibri" w:eastAsia="Calibri" w:hAnsi="Calibri" w:cs="Times New Roman"/>
      <w:lang w:eastAsia="en-US"/>
    </w:rPr>
  </w:style>
  <w:style w:type="paragraph" w:customStyle="1" w:styleId="164500B82A324940AE91E407240F1B3B">
    <w:name w:val="164500B82A324940AE91E407240F1B3B"/>
    <w:rsid w:val="002D75D4"/>
    <w:pPr>
      <w:spacing w:after="160" w:line="278" w:lineRule="auto"/>
    </w:pPr>
    <w:rPr>
      <w:kern w:val="2"/>
      <w:sz w:val="24"/>
      <w:szCs w:val="24"/>
      <w:lang w:val="nb-NO" w:eastAsia="nb-NO"/>
      <w14:ligatures w14:val="standardContextual"/>
    </w:rPr>
  </w:style>
  <w:style w:type="paragraph" w:customStyle="1" w:styleId="C88465883AB24265B0520FB20A34C2FF">
    <w:name w:val="C88465883AB24265B0520FB20A34C2FF"/>
    <w:rsid w:val="002D75D4"/>
    <w:pPr>
      <w:spacing w:after="160" w:line="278" w:lineRule="auto"/>
    </w:pPr>
    <w:rPr>
      <w:kern w:val="2"/>
      <w:sz w:val="24"/>
      <w:szCs w:val="24"/>
      <w:lang w:val="nb-NO" w:eastAsia="nb-NO"/>
      <w14:ligatures w14:val="standardContextual"/>
    </w:rPr>
  </w:style>
  <w:style w:type="paragraph" w:customStyle="1" w:styleId="B273B5A5F7BF4F039F4ECDFC0CD87503">
    <w:name w:val="B273B5A5F7BF4F039F4ECDFC0CD87503"/>
    <w:rsid w:val="002D75D4"/>
    <w:pPr>
      <w:spacing w:after="160" w:line="278" w:lineRule="auto"/>
    </w:pPr>
    <w:rPr>
      <w:kern w:val="2"/>
      <w:sz w:val="24"/>
      <w:szCs w:val="24"/>
      <w:lang w:val="nb-NO" w:eastAsia="nb-NO"/>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a586b747-2a7c-4f57-bcd1-e81df5c8c005" origin="userSelected">
  <element uid="id_classification_generalbusiness" value=""/>
</sisl>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735feac-f0be-43ce-a8ab-1f5553f2ff56">
      <UserInfo>
        <DisplayName/>
        <AccountId xsi:nil="true"/>
        <AccountType/>
      </UserInfo>
    </SharedWithUsers>
    <FinDepTema xmlns="01539f81-e93e-4dd6-a657-4c59cec43199" xsi:nil="true"/>
    <ArkivertIWebSak xmlns="01539f81-e93e-4dd6-a657-4c59cec43199">false</ArkivertIWebSak>
    <SharedWithDetails xmlns="4735feac-f0be-43ce-a8ab-1f5553f2ff5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 ma:contentTypeID="0x01010071A41AA488C1824C99A7109071BD853B" ma:contentTypeVersion="17" ma:contentTypeDescription="Opprett et nytt dokument." ma:contentTypeScope="" ma:versionID="66f51a23ec883347eaf54e4f1a1d4556">
  <xsd:schema xmlns:xsd="http://www.w3.org/2001/XMLSchema" xmlns:xs="http://www.w3.org/2001/XMLSchema" xmlns:p="http://schemas.microsoft.com/office/2006/metadata/properties" xmlns:ns2="01539f81-e93e-4dd6-a657-4c59cec43199" xmlns:ns3="4735feac-f0be-43ce-a8ab-1f5553f2ff56" targetNamespace="http://schemas.microsoft.com/office/2006/metadata/properties" ma:root="true" ma:fieldsID="5bd930f32ba560964b4c2406c82fbb50" ns2:_="" ns3:_="">
    <xsd:import namespace="01539f81-e93e-4dd6-a657-4c59cec43199"/>
    <xsd:import namespace="4735feac-f0be-43ce-a8ab-1f5553f2ff56"/>
    <xsd:element name="properties">
      <xsd:complexType>
        <xsd:sequence>
          <xsd:element name="documentManagement">
            <xsd:complexType>
              <xsd:all>
                <xsd:element ref="ns2:FinDepTema" minOccurs="0"/>
                <xsd:element ref="ns2:ArkivertIWebSak"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39f81-e93e-4dd6-a657-4c59cec43199" elementFormDefault="qualified">
    <xsd:import namespace="http://schemas.microsoft.com/office/2006/documentManagement/types"/>
    <xsd:import namespace="http://schemas.microsoft.com/office/infopath/2007/PartnerControls"/>
    <xsd:element name="FinDepTema" ma:index="8" nillable="true" ma:displayName="FinDepTema" ma:internalName="FinDepTema" ma:readOnly="false">
      <xsd:simpleType>
        <xsd:restriction base="dms:Note">
          <xsd:maxLength value="255"/>
        </xsd:restriction>
      </xsd:simpleType>
    </xsd:element>
    <xsd:element name="ArkivertIWebSak" ma:index="9" nillable="true" ma:displayName="Arkivert i Websak" ma:default="0" ma:internalName="ArkivertIWebSak"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735feac-f0be-43ce-a8ab-1f5553f2ff56"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7"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0FE1D1-5A53-4584-86D1-1ABC932A4167}">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C1B55C86-01BB-4A98-9975-5ECBAF2C16C1}">
  <ds:schemaRefs>
    <ds:schemaRef ds:uri="http://schemas.microsoft.com/sharepoint/v3/contenttype/forms"/>
  </ds:schemaRefs>
</ds:datastoreItem>
</file>

<file path=customXml/itemProps3.xml><?xml version="1.0" encoding="utf-8"?>
<ds:datastoreItem xmlns:ds="http://schemas.openxmlformats.org/officeDocument/2006/customXml" ds:itemID="{BDAF3A0F-F7D6-480C-942A-06AE32425F94}">
  <ds:schemaRefs>
    <ds:schemaRef ds:uri="http://schemas.microsoft.com/office/2006/metadata/properties"/>
    <ds:schemaRef ds:uri="http://schemas.microsoft.com/office/infopath/2007/PartnerControls"/>
    <ds:schemaRef ds:uri="4735feac-f0be-43ce-a8ab-1f5553f2ff56"/>
    <ds:schemaRef ds:uri="01539f81-e93e-4dd6-a657-4c59cec43199"/>
  </ds:schemaRefs>
</ds:datastoreItem>
</file>

<file path=customXml/itemProps4.xml><?xml version="1.0" encoding="utf-8"?>
<ds:datastoreItem xmlns:ds="http://schemas.openxmlformats.org/officeDocument/2006/customXml" ds:itemID="{9837C979-4410-4A66-8505-61799EE5638E}">
  <ds:schemaRefs>
    <ds:schemaRef ds:uri="http://schemas.openxmlformats.org/officeDocument/2006/bibliography"/>
  </ds:schemaRefs>
</ds:datastoreItem>
</file>

<file path=customXml/itemProps5.xml><?xml version="1.0" encoding="utf-8"?>
<ds:datastoreItem xmlns:ds="http://schemas.openxmlformats.org/officeDocument/2006/customXml" ds:itemID="{36AC2D21-99BE-43EE-8168-A00E32902B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539f81-e93e-4dd6-a657-4c59cec43199"/>
    <ds:schemaRef ds:uri="4735feac-f0be-43ce-a8ab-1f5553f2ff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3803</Words>
  <Characters>20156</Characters>
  <Application>Microsoft Office Word</Application>
  <DocSecurity>12</DocSecurity>
  <Lines>167</Lines>
  <Paragraphs>47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23912</CharactersWithSpaces>
  <SharedDoc>false</SharedDoc>
  <HLinks>
    <vt:vector size="78" baseType="variant">
      <vt:variant>
        <vt:i4>5898318</vt:i4>
      </vt:variant>
      <vt:variant>
        <vt:i4>9</vt:i4>
      </vt:variant>
      <vt:variant>
        <vt:i4>0</vt:i4>
      </vt:variant>
      <vt:variant>
        <vt:i4>5</vt:i4>
      </vt:variant>
      <vt:variant>
        <vt:lpwstr>https://www.regjeringen.no/no/dokumenter/horing-endringer-i-kapitalkravsforordningen-crr3/id3043712/</vt:lpwstr>
      </vt:variant>
      <vt:variant>
        <vt:lpwstr/>
      </vt:variant>
      <vt:variant>
        <vt:i4>6422528</vt:i4>
      </vt:variant>
      <vt:variant>
        <vt:i4>6</vt:i4>
      </vt:variant>
      <vt:variant>
        <vt:i4>0</vt:i4>
      </vt:variant>
      <vt:variant>
        <vt:i4>5</vt:i4>
      </vt:variant>
      <vt:variant>
        <vt:lpwstr>mailto:FISMA-E-3-NOTIFICATIONS@ec.europa.eu</vt:lpwstr>
      </vt:variant>
      <vt:variant>
        <vt:lpwstr/>
      </vt:variant>
      <vt:variant>
        <vt:i4>3276891</vt:i4>
      </vt:variant>
      <vt:variant>
        <vt:i4>3</vt:i4>
      </vt:variant>
      <vt:variant>
        <vt:i4>0</vt:i4>
      </vt:variant>
      <vt:variant>
        <vt:i4>5</vt:i4>
      </vt:variant>
      <vt:variant>
        <vt:lpwstr>mailto:notifications@esrb.europa.eu</vt:lpwstr>
      </vt:variant>
      <vt:variant>
        <vt:lpwstr/>
      </vt:variant>
      <vt:variant>
        <vt:i4>4522085</vt:i4>
      </vt:variant>
      <vt:variant>
        <vt:i4>0</vt:i4>
      </vt:variant>
      <vt:variant>
        <vt:i4>0</vt:i4>
      </vt:variant>
      <vt:variant>
        <vt:i4>5</vt:i4>
      </vt:variant>
      <vt:variant>
        <vt:lpwstr>mailto:macropru.notifications@ecb.europa.eu</vt:lpwstr>
      </vt:variant>
      <vt:variant>
        <vt:lpwstr/>
      </vt:variant>
      <vt:variant>
        <vt:i4>524363</vt:i4>
      </vt:variant>
      <vt:variant>
        <vt:i4>24</vt:i4>
      </vt:variant>
      <vt:variant>
        <vt:i4>0</vt:i4>
      </vt:variant>
      <vt:variant>
        <vt:i4>5</vt:i4>
      </vt:variant>
      <vt:variant>
        <vt:lpwstr>https://www.regjeringen.no/en/historical-archive/solbergs-government/Ministries/fin/press-releases/2016/denmark-finland-norway-and-sweden-sign-memorandum-of-understanding-on-significant-branches/id2524824/</vt:lpwstr>
      </vt:variant>
      <vt:variant>
        <vt:lpwstr/>
      </vt:variant>
      <vt:variant>
        <vt:i4>6094937</vt:i4>
      </vt:variant>
      <vt:variant>
        <vt:i4>21</vt:i4>
      </vt:variant>
      <vt:variant>
        <vt:i4>0</vt:i4>
      </vt:variant>
      <vt:variant>
        <vt:i4>5</vt:i4>
      </vt:variant>
      <vt:variant>
        <vt:lpwstr>https://www.finanstilsynet.no/en/news-archive/news/2024/risk-outlook--june-2024/</vt:lpwstr>
      </vt:variant>
      <vt:variant>
        <vt:lpwstr/>
      </vt:variant>
      <vt:variant>
        <vt:i4>7602219</vt:i4>
      </vt:variant>
      <vt:variant>
        <vt:i4>18</vt:i4>
      </vt:variant>
      <vt:variant>
        <vt:i4>0</vt:i4>
      </vt:variant>
      <vt:variant>
        <vt:i4>5</vt:i4>
      </vt:variant>
      <vt:variant>
        <vt:lpwstr>https://www.imf.org/en/Publications/CR/Issues/2024/09/17/Norway-2024-Article-IV-Consultation-Press-Release-Staff-Report-and-Statement-by-the-555052</vt:lpwstr>
      </vt:variant>
      <vt:variant>
        <vt:lpwstr/>
      </vt:variant>
      <vt:variant>
        <vt:i4>7340066</vt:i4>
      </vt:variant>
      <vt:variant>
        <vt:i4>15</vt:i4>
      </vt:variant>
      <vt:variant>
        <vt:i4>0</vt:i4>
      </vt:variant>
      <vt:variant>
        <vt:i4>5</vt:i4>
      </vt:variant>
      <vt:variant>
        <vt:lpwstr>https://www.norges-bank.no/en/news-events/news-publications/Reports/Financial-Stability-report/2024-2-financial-stability/</vt:lpwstr>
      </vt:variant>
      <vt:variant>
        <vt:lpwstr/>
      </vt:variant>
      <vt:variant>
        <vt:i4>7340066</vt:i4>
      </vt:variant>
      <vt:variant>
        <vt:i4>12</vt:i4>
      </vt:variant>
      <vt:variant>
        <vt:i4>0</vt:i4>
      </vt:variant>
      <vt:variant>
        <vt:i4>5</vt:i4>
      </vt:variant>
      <vt:variant>
        <vt:lpwstr>https://www.norges-bank.no/en/news-events/news-publications/Reports/Financial-Stability-report/2024-2-financial-stability/</vt:lpwstr>
      </vt:variant>
      <vt:variant>
        <vt:lpwstr/>
      </vt:variant>
      <vt:variant>
        <vt:i4>6029341</vt:i4>
      </vt:variant>
      <vt:variant>
        <vt:i4>9</vt:i4>
      </vt:variant>
      <vt:variant>
        <vt:i4>0</vt:i4>
      </vt:variant>
      <vt:variant>
        <vt:i4>5</vt:i4>
      </vt:variant>
      <vt:variant>
        <vt:lpwstr>https://www.norges-bank.no/en/news-events/news-publications/Reports/Financial-Stability-report/2024-1-finansiell-stabilitet/</vt:lpwstr>
      </vt:variant>
      <vt:variant>
        <vt:lpwstr/>
      </vt:variant>
      <vt:variant>
        <vt:i4>6094930</vt:i4>
      </vt:variant>
      <vt:variant>
        <vt:i4>6</vt:i4>
      </vt:variant>
      <vt:variant>
        <vt:i4>0</vt:i4>
      </vt:variant>
      <vt:variant>
        <vt:i4>5</vt:i4>
      </vt:variant>
      <vt:variant>
        <vt:lpwstr>https://www.finanstilsynet.no/en/news-archive/news/2024/risk-outlook--december-2024/</vt:lpwstr>
      </vt:variant>
      <vt:variant>
        <vt:lpwstr/>
      </vt:variant>
      <vt:variant>
        <vt:i4>6094937</vt:i4>
      </vt:variant>
      <vt:variant>
        <vt:i4>3</vt:i4>
      </vt:variant>
      <vt:variant>
        <vt:i4>0</vt:i4>
      </vt:variant>
      <vt:variant>
        <vt:i4>5</vt:i4>
      </vt:variant>
      <vt:variant>
        <vt:lpwstr>https://www.finanstilsynet.no/en/news-archive/news/2024/risk-outlook--june-2024/</vt:lpwstr>
      </vt:variant>
      <vt:variant>
        <vt:lpwstr/>
      </vt:variant>
      <vt:variant>
        <vt:i4>7995473</vt:i4>
      </vt:variant>
      <vt:variant>
        <vt:i4>0</vt:i4>
      </vt:variant>
      <vt:variant>
        <vt:i4>0</vt:i4>
      </vt:variant>
      <vt:variant>
        <vt:i4>5</vt:i4>
      </vt:variant>
      <vt:variant>
        <vt:lpwstr>https://www.norges-bank.no/contentassets/324cc9184f6c4ba09452ffd364078035/sm_2019_10_eng.pdf?v=03122019153005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notification under Article 458 CRR (national flexibility measure)</dc:title>
  <dc:subject/>
  <dc:creator>Lavinia.Forcellese@ecb.europa.eu</dc:creator>
  <cp:keywords/>
  <cp:lastModifiedBy>Ida Laingen</cp:lastModifiedBy>
  <cp:revision>2</cp:revision>
  <dcterms:created xsi:type="dcterms:W3CDTF">2024-12-20T13:21:00Z</dcterms:created>
  <dcterms:modified xsi:type="dcterms:W3CDTF">2024-12-20T13:21:00Z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0x01010071A41AA488C1824C99A7109071BD853B</vt:lpwstr>
  </property>
  <property fmtid="{D5CDD505-2E9C-101B-9397-08002B2CF9AE}" pid="3" name="MediaServiceImageTags">
    <vt:lpwstr/>
  </property>
</Properties>
</file>